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left"/>
      </w:pPr>
      <w:r>
        <w:t xml:space="preserve">Portfolio: Business Process Modelling and Enterprise Architecture</w:t>
      </w:r>
    </w:p>
    <w:p>
      <w:pPr>
        <w:pStyle w:val="Heading2"/>
        <w:keepNext/>
      </w:pPr>
      <w:r>
        <w:t xml:space="preserve">Hospital Patient Referral, Treatment and Administration System</w:t>
      </w:r>
    </w:p>
    <w:p>
      <w:r>
        <w:rPr>
          <w:b/>
        </w:rPr>
        <w:t xml:space="preserve">Module:</w:t>
      </w:r>
      <w:r>
        <w:t xml:space="preserve"> UFCEP4-0-3 | </w:t>
      </w:r>
      <w:r>
        <w:rPr>
          <w:b/>
        </w:rPr>
        <w:t xml:space="preserve">Assessment:</w:t>
      </w:r>
      <w:r>
        <w:t xml:space="preserve"> Portfolio (50%) | </w:t>
      </w:r>
      <w:r>
        <w:rPr>
          <w:b/>
        </w:rPr>
        <w:t xml:space="preserve">School of Computing and Creative Technologies, UWE Bristol</w:t>
      </w:r>
      <w:r>
        <w:t xml:space="preserve"> | </w:t>
      </w:r>
      <w:r>
        <w:rPr>
          <w:b/>
        </w:rPr>
        <w:t xml:space="preserve">Submission:</w:t>
      </w:r>
      <w:r>
        <w:t xml:space="preserve"> 22 October 2026</w:t>
      </w:r>
    </w:p>
    <w:p>
      <w:r>
        <w:rPr>
          <w:b/>
        </w:rPr>
        <w:t xml:space="preserve">Group:</w:t>
      </w:r>
      <w:r>
        <w:t xml:space="preserve"> max (BPMN and integration), finn (external workers, i* modelling), henry (requirements and traceability, alignment evaluation, agile and documentation), peter (forms, QA and testing). Four members, agreed with the module tutor.</w:t>
      </w:r>
    </w:p>
    <w:p>
      <w:pPr>
        <w:pStyle w:val="Heading3"/>
        <w:keepNext/>
      </w:pPr>
      <w:r>
        <w:t xml:space="preserve">Contents</w:t>
      </w:r>
    </w:p>
    <w:tbl>
      <w:tblPr>
        <w:tblStyle w:val="TableGrid"/>
        <w:tblW w:w="9638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Layout w:type="fixed"/>
        <w:tblCellMar>
          <w:top w:w="0" w:type="dxa"/>
          <w:left w:w="90" w:type="dxa"/>
          <w:bottom w:w="0" w:type="dxa"/>
          <w:right w:w="90" w:type="dxa"/>
        </w:tblCellMar>
        <w:tblLook w:val="04A0" w:firstRow="1" w:lastRow="0" w:firstColumn="0" w:lastColumn="0" w:noHBand="0" w:noVBand="1"/>
      </w:tblPr>
      <w:tblGrid>
        <w:gridCol w:w="1446"/>
        <w:gridCol w:w="6778"/>
        <w:gridCol w:w="1414"/>
      </w:tblGrid>
      <w:tr>
        <w:trPr>
          <w:tblHeader/>
        </w:trPr>
        <w:tc>
          <w:tcPr>
            <w:tcW w:w="1446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Section</w:t>
            </w:r>
          </w:p>
        </w:tc>
        <w:tc>
          <w:tcPr>
            <w:tcW w:w="6778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Deliverable</w:t>
            </w:r>
          </w:p>
        </w:tc>
        <w:tc>
          <w:tcPr>
            <w:tcW w:w="1414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Criterion</w:t>
            </w:r>
          </w:p>
        </w:tc>
      </w:tr>
      <w:tr>
        <w:tc>
          <w:tcPr>
            <w:tcW w:w="144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6778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Strategic BPMN models and i* SD/SR modelling rationale (Tasks 01 and 02)</w:t>
            </w:r>
          </w:p>
        </w:tc>
        <w:tc>
          <w:tcPr>
            <w:tcW w:w="141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20% + 20%</w:t>
            </w:r>
          </w:p>
        </w:tc>
      </w:tr>
      <w:tr>
        <w:tc>
          <w:tcPr>
            <w:tcW w:w="144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w="6778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Evaluation of alignment with requirements (Task 03)</w:t>
            </w:r>
          </w:p>
        </w:tc>
        <w:tc>
          <w:tcPr>
            <w:tcW w:w="141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15%</w:t>
            </w:r>
          </w:p>
        </w:tc>
      </w:tr>
      <w:tr>
        <w:tc>
          <w:tcPr>
            <w:tcW w:w="144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w="6778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Evaluation of acceptance criteria (Task 04)</w:t>
            </w:r>
          </w:p>
        </w:tc>
        <w:tc>
          <w:tcPr>
            <w:tcW w:w="141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15%</w:t>
            </w:r>
          </w:p>
        </w:tc>
      </w:tr>
      <w:tr>
        <w:tc>
          <w:tcPr>
            <w:tcW w:w="144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w="6778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Agile delivery record: Sprints 3 and 4, standups, reviews, retrospectives, feedback actions</w:t>
            </w:r>
          </w:p>
        </w:tc>
        <w:tc>
          <w:tcPr>
            <w:tcW w:w="141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30%</w:t>
            </w:r>
          </w:p>
        </w:tc>
      </w:tr>
      <w:tr>
        <w:tc>
          <w:tcPr>
            <w:tcW w:w="144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References</w:t>
            </w:r>
          </w:p>
        </w:tc>
        <w:tc>
          <w:tcPr>
            <w:tcW w:w="6778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Sources used for the notation, the framework and the case study</w:t>
            </w:r>
          </w:p>
        </w:tc>
        <w:tc>
          <w:tcPr>
            <w:tcW w:w="141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144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Appendix</w:t>
            </w:r>
          </w:p>
        </w:tc>
        <w:tc>
          <w:tcPr>
            <w:tcW w:w="6778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Model inventory, validation, deployment and execution evidence, defect log</w:t>
            </w:r>
          </w:p>
        </w:tc>
        <w:tc>
          <w:tcPr>
            <w:tcW w:w="141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—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 xml:space="preserve">Files submitted</w:t>
      </w:r>
    </w:p>
    <w:tbl>
      <w:tblPr>
        <w:tblStyle w:val="TableGrid"/>
        <w:tblW w:w="9638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Layout w:type="fixed"/>
        <w:tblCellMar>
          <w:top w:w="0" w:type="dxa"/>
          <w:left w:w="90" w:type="dxa"/>
          <w:bottom w:w="0" w:type="dxa"/>
          <w:right w:w="90" w:type="dxa"/>
        </w:tblCellMar>
        <w:tblLook w:val="04A0" w:firstRow="1" w:lastRow="0" w:firstColumn="0" w:lastColumn="0" w:noHBand="0" w:noVBand="1"/>
      </w:tblPr>
      <w:tblGrid>
        <w:gridCol w:w="5956"/>
        <w:gridCol w:w="3682"/>
      </w:tblGrid>
      <w:tr>
        <w:trPr>
          <w:tblHeader/>
        </w:trPr>
        <w:tc>
          <w:tcPr>
            <w:tcW w:w="5956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Deliverable</w:t>
            </w:r>
          </w:p>
        </w:tc>
        <w:tc>
          <w:tcPr>
            <w:tcW w:w="3682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Format</w:t>
            </w:r>
          </w:p>
        </w:tc>
      </w:tr>
      <w:tr>
        <w:tc>
          <w:tcPr>
            <w:tcW w:w="595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Operational model </w:t>
            </w:r>
            <w:r>
              <w:rPr>
                <w:rFonts w:ascii="Consolas" w:hAnsi="Consolas"/>
                <w:sz w:val="21"/>
                <w:szCs w:val="21"/>
              </w:rPr>
              <w:t xml:space="preserve">O1_Operational_Merged</w:t>
            </w:r>
          </w:p>
        </w:tc>
        <w:tc>
          <w:tcPr>
            <w:tcW w:w="3682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.bpmn</w:t>
            </w:r>
            <w:r>
              <w:rPr>
                <w:sz w:val="21"/>
                <w:szCs w:val="21"/>
              </w:rPr>
              <w:t xml:space="preserve"> + PDF</w:t>
            </w:r>
          </w:p>
        </w:tc>
      </w:tr>
      <w:tr>
        <w:tc>
          <w:tcPr>
            <w:tcW w:w="595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Strategic models </w:t>
            </w:r>
            <w:r>
              <w:rPr>
                <w:rFonts w:ascii="Consolas" w:hAnsi="Consolas"/>
                <w:sz w:val="21"/>
                <w:szCs w:val="21"/>
              </w:rPr>
              <w:t xml:space="preserve">S1_Strategic_Landscape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S2_Strategic_Referral_To_Authorisation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S3_Strategic_Treatment_To_Aftercare</w:t>
            </w:r>
          </w:p>
        </w:tc>
        <w:tc>
          <w:tcPr>
            <w:tcW w:w="3682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.bpmn</w:t>
            </w:r>
            <w:r>
              <w:rPr>
                <w:sz w:val="21"/>
                <w:szCs w:val="21"/>
              </w:rPr>
              <w:t xml:space="preserve"> + PDF</w:t>
            </w:r>
          </w:p>
        </w:tc>
      </w:tr>
      <w:tr>
        <w:tc>
          <w:tcPr>
            <w:tcW w:w="595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Camunda Forms for every user task</w:t>
            </w:r>
          </w:p>
        </w:tc>
        <w:tc>
          <w:tcPr>
            <w:tcW w:w="3682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68 </w:t>
            </w:r>
            <w:r>
              <w:rPr>
                <w:rFonts w:ascii="Consolas" w:hAnsi="Consolas"/>
                <w:sz w:val="21"/>
                <w:szCs w:val="21"/>
              </w:rPr>
              <w:t xml:space="preserve">.form</w:t>
            </w:r>
            <w:r>
              <w:rPr>
                <w:sz w:val="21"/>
                <w:szCs w:val="21"/>
              </w:rPr>
              <w:t xml:space="preserve"> files</w:t>
            </w:r>
          </w:p>
        </w:tc>
      </w:tr>
      <w:tr>
        <w:tc>
          <w:tcPr>
            <w:tcW w:w="595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i* models: SD and SR</w:t>
            </w:r>
          </w:p>
        </w:tc>
        <w:tc>
          <w:tcPr>
            <w:tcW w:w="3682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PDF + editable SVG and JSON source</w:t>
            </w:r>
          </w:p>
        </w:tc>
      </w:tr>
      <w:tr>
        <w:tc>
          <w:tcPr>
            <w:tcW w:w="595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Alignment evaluation, acceptance evaluation, agile record</w:t>
            </w:r>
          </w:p>
        </w:tc>
        <w:tc>
          <w:tcPr>
            <w:tcW w:w="3682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this document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 xml:space="preserve">A note on the evidence</w:t>
      </w:r>
    </w:p>
    <w:p>
      <w:r>
        <w:t xml:space="preserve">Four things are kept separate throughout. The </w:t>
      </w:r>
      <w:r>
        <w:rPr>
          <w:b/>
        </w:rPr>
        <w:t xml:space="preserve">models</w:t>
      </w:r>
      <w:r>
        <w:t xml:space="preserve"> state intended behaviour and were validated with the Camunda Modeler toolchain. The </w:t>
      </w:r>
      <w:r>
        <w:rPr>
          <w:b/>
        </w:rPr>
        <w:t xml:space="preserve">deployed system</w:t>
      </w:r>
      <w:r>
        <w:t xml:space="preserve"> is the same model set deployed to a running Camunda 8 cluster and executed: eighteen acceptance tests were run against it and all eighteen passed. The </w:t>
      </w:r>
      <w:r>
        <w:rPr>
          <w:b/>
        </w:rPr>
        <w:t xml:space="preserve">initial release</w:t>
      </w:r>
      <w:r>
        <w:t xml:space="preserve"> covers referral through to treatment scheduling; the correspondence, enquiry, follow-up and reporting scope is modelled but not implemented. The </w:t>
      </w:r>
      <w:r>
        <w:rPr>
          <w:b/>
        </w:rPr>
        <w:t xml:space="preserve">Sprint 1 and Sprint 2 working files</w:t>
      </w:r>
      <w:r>
        <w:t xml:space="preserve"> are earlier increments whose defects are catalogued in the appendices.</w:t>
      </w:r>
    </w:p>
    <w:p>
      <w:r>
        <w:t xml:space="preserve">Deploying the models found four defects that model validation had not: three BPMN XSD sequence violations and one runtime form-binding defect. They are recorded, fixed and re-verified in section 5.</w:t>
      </w:r>
    </w:p>
    <w:p>
      <w:pPr>
        <w:pBdr>
          <w:bottom w:val="single" w:sz="6" w:space="1" w:color="AAAAAA"/>
        </w:pBdr>
      </w:pP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en-GB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40"/>
      <w:outlineLvl w:val="0"/>
    </w:pPr>
    <w:rPr>
      <w:b/>
      <w:sz w:val="44"/>
      <w:szCs w:val="44"/>
      <w:color w:val="1F3864"/>
    </w:rPr>
  </w:style>
  <w:style w:type="paragraph" w:styleId="Heading1">
    <w:name w:val="heading 1"/>
    <w:basedOn w:val="Normal"/>
    <w:next w:val="Normal"/>
    <w:pPr>
      <w:keepNext/>
      <w:spacing w:before="320" w:after="160"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80" w:after="140"/>
      <w:outlineLvl w:val="1"/>
    </w:pPr>
    <w:rPr>
      <w:b/>
      <w:color w:val="2E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120"/>
      <w:outlineLvl w:val="2"/>
    </w:pPr>
    <w:rPr>
      <w:b/>
      <w:color w:val="2E5496"/>
      <w:sz w:val="23"/>
      <w:szCs w:val="23"/>
    </w:rPr>
  </w:style>
  <w:style w:type="paragraph" w:styleId="Heading4">
    <w:name w:val="heading 4"/>
    <w:basedOn w:val="Normal"/>
    <w:next w:val="Normal"/>
    <w:pPr>
      <w:keepNext/>
      <w:spacing w:before="200" w:after="100"/>
      <w:outlineLvl w:val="3"/>
    </w:pPr>
    <w:rPr>
      <w:b/>
      <w:color w:val="404040"/>
      <w:sz w:val="21"/>
      <w:szCs w:val="21"/>
    </w:rPr>
  </w:style>
  <w:style w:type="paragraph" w:styleId="ListBullet">
    <w:name w:val="List Bullet"/>
    <w:basedOn w:val="Normal"/>
    <w:pPr>
      <w:ind w:left="420" w:hanging="240"/>
      <w:spacing w:after="40"/>
    </w:pPr>
  </w:style>
  <w:style w:type="paragraph" w:styleId="ListNumber">
    <w:name w:val="List Number"/>
    <w:basedOn w:val="Normal"/>
    <w:pPr>
      <w:ind w:left="420" w:hanging="240"/>
      <w:spacing w:after="40"/>
    </w:pPr>
  </w:style>
  <w:style w:type="paragraph" w:styleId="Quote">
    <w:name w:val="Quote"/>
    <w:basedOn w:val="Normal"/>
    <w:pPr>
      <w:ind w:left="560"/>
    </w:pPr>
    <w:rPr>
      <w:i/>
      <w:color w:val="595959"/>
    </w:rPr>
  </w:style>
  <w:style w:type="paragraph" w:styleId="Code">
    <w:name w:val="Code"/>
    <w:basedOn w:val="Normal"/>
    <w:pPr>
      <w:spacing w:after="0" w:line="240" w:lineRule="auto"/>
      <w:ind w:left="120"/>
    </w:pPr>
    <w:rPr>
      <w:rFonts w:ascii="Consolas" w:hAnsi="Consolas"/>
      <w:sz w:val="15"/>
    </w:rPr>
  </w:style>
  <w:style w:type="table" w:styleId="TableGrid">
    <w:name w:val="Table Grid"/>
    <w:tblPr>
      <w:tblBorders>
        <w:top w:val="single" w:sz="6" w:color="808080"/>
        <w:left w:val="single" w:sz="6" w:color="808080"/>
        <w:bottom w:val="single" w:sz="6" w:color="808080"/>
        <w:right w:val="single" w:sz="6" w:color="808080"/>
        <w:insideH w:val="single" w:sz="6" w:color="808080"/>
        <w:insideV w:val="single" w:sz="6" w:color="80808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00-cover</dc:title>
  <dc:creator>UFCEP4-0-3 group</dc:creator>
  <cp:lastModifiedBy>UFCEP4-0-3 group</cp:lastModifiedBy>
</cp:coreProperties>
</file>