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Agile delivery record: Sprints 3 and 4</w:t>
      </w:r>
    </w:p>
    <w:p>
      <w:pPr>
        <w:pStyle w:val="Heading2"/>
        <w:keepNext/>
      </w:pPr>
      <w:r>
        <w:t xml:space="preserve">1. Sprints 3 and 4</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1094"/>
        <w:gridCol w:w="4272"/>
        <w:gridCol w:w="4272"/>
      </w:tblGrid>
      <w:tr>
        <w:trPr>
          <w:tblHeader/>
        </w:trPr>
        <w:tc>
          <w:tcPr>
            <w:tcW w:w="1094" w:type="dxa"/>
            <w:shd w:val="clear" w:fill="EDEDED"/>
            <w:vAlign w:val="top"/>
          </w:tcPr>
          <w:p>
            <w:pPr>
              <w:spacing w:before="20" w:after="20"/>
            </w:pPr>
            <w:r>
              <w:rPr>
                <w:sz w:val="21"/>
                <w:szCs w:val="21"/>
              </w:rPr>
              <w:t xml:space="preserve"/>
            </w:r>
          </w:p>
        </w:tc>
        <w:tc>
          <w:tcPr>
            <w:tcW w:w="4272" w:type="dxa"/>
            <w:shd w:val="clear" w:fill="EDEDED"/>
            <w:vAlign w:val="top"/>
          </w:tcPr>
          <w:p>
            <w:pPr>
              <w:spacing w:before="20" w:after="20"/>
            </w:pPr>
            <w:r>
              <w:rPr>
                <w:b/>
                <w:sz w:val="21"/>
                <w:szCs w:val="21"/>
              </w:rPr>
              <w:t xml:space="preserve">Sprint 3</w:t>
            </w:r>
          </w:p>
        </w:tc>
        <w:tc>
          <w:tcPr>
            <w:tcW w:w="4272" w:type="dxa"/>
            <w:shd w:val="clear" w:fill="EDEDED"/>
            <w:vAlign w:val="top"/>
          </w:tcPr>
          <w:p>
            <w:pPr>
              <w:spacing w:before="20" w:after="20"/>
            </w:pPr>
            <w:r>
              <w:rPr>
                <w:b/>
                <w:sz w:val="21"/>
                <w:szCs w:val="21"/>
              </w:rPr>
              <w:t xml:space="preserve">Sprint 4</w:t>
            </w:r>
          </w:p>
        </w:tc>
      </w:tr>
      <w:tr>
        <w:tc>
          <w:tcPr>
            <w:tcW w:w="1094" w:type="dxa"/>
            <w:vAlign w:val="top"/>
          </w:tcPr>
          <w:p>
            <w:pPr>
              <w:spacing w:before="20" w:after="20"/>
            </w:pPr>
            <w:r>
              <w:rPr>
                <w:sz w:val="21"/>
                <w:szCs w:val="21"/>
              </w:rPr>
              <w:t xml:space="preserve">Dates</w:t>
            </w:r>
          </w:p>
        </w:tc>
        <w:tc>
          <w:tcPr>
            <w:tcW w:w="4272" w:type="dxa"/>
            <w:vAlign w:val="top"/>
          </w:tcPr>
          <w:p>
            <w:pPr>
              <w:spacing w:before="20" w:after="20"/>
            </w:pPr>
            <w:r>
              <w:rPr>
                <w:sz w:val="21"/>
                <w:szCs w:val="21"/>
              </w:rPr>
              <w:t xml:space="preserve">13–19 October 2026</w:t>
            </w:r>
          </w:p>
        </w:tc>
        <w:tc>
          <w:tcPr>
            <w:tcW w:w="4272" w:type="dxa"/>
            <w:vAlign w:val="top"/>
          </w:tcPr>
          <w:p>
            <w:pPr>
              <w:spacing w:before="20" w:after="20"/>
            </w:pPr>
            <w:r>
              <w:rPr>
                <w:sz w:val="21"/>
                <w:szCs w:val="21"/>
              </w:rPr>
              <w:t xml:space="preserve">20–22 October 2026</w:t>
            </w:r>
          </w:p>
        </w:tc>
      </w:tr>
      <w:tr>
        <w:tc>
          <w:tcPr>
            <w:tcW w:w="1094" w:type="dxa"/>
            <w:vAlign w:val="top"/>
          </w:tcPr>
          <w:p>
            <w:pPr>
              <w:spacing w:before="20" w:after="20"/>
            </w:pPr>
            <w:r>
              <w:rPr>
                <w:sz w:val="21"/>
                <w:szCs w:val="21"/>
              </w:rPr>
              <w:t xml:space="preserve">Sprint goal</w:t>
            </w:r>
          </w:p>
        </w:tc>
        <w:tc>
          <w:tcPr>
            <w:tcW w:w="4272" w:type="dxa"/>
            <w:vAlign w:val="top"/>
          </w:tcPr>
          <w:p>
            <w:pPr>
              <w:spacing w:before="20" w:after="20"/>
            </w:pPr>
            <w:r>
              <w:rPr>
                <w:sz w:val="21"/>
                <w:szCs w:val="21"/>
              </w:rPr>
              <w:t xml:space="preserve">Produce draft strategic BPMN models and draft i* models, with a first requirements trace, so that SR3 has a reviewable increment</w:t>
            </w:r>
          </w:p>
        </w:tc>
        <w:tc>
          <w:tcPr>
            <w:tcW w:w="4272" w:type="dxa"/>
            <w:vAlign w:val="top"/>
          </w:tcPr>
          <w:p>
            <w:pPr>
              <w:spacing w:before="20" w:after="20"/>
            </w:pPr>
            <w:r>
              <w:rPr>
                <w:sz w:val="21"/>
                <w:szCs w:val="21"/>
              </w:rPr>
              <w:t xml:space="preserve">Integrate the earlier fragments, correct the defects found in them, validate and deploy the final models, complete both evaluations, and hand in</w:t>
            </w:r>
          </w:p>
        </w:tc>
      </w:tr>
      <w:tr>
        <w:tc>
          <w:tcPr>
            <w:tcW w:w="1094" w:type="dxa"/>
            <w:vAlign w:val="top"/>
          </w:tcPr>
          <w:p>
            <w:pPr>
              <w:spacing w:before="20" w:after="20"/>
            </w:pPr>
            <w:r>
              <w:rPr>
                <w:sz w:val="21"/>
                <w:szCs w:val="21"/>
              </w:rPr>
              <w:t xml:space="preserve">Backlog items</w:t>
            </w:r>
          </w:p>
        </w:tc>
        <w:tc>
          <w:tcPr>
            <w:tcW w:w="4272" w:type="dxa"/>
            <w:vAlign w:val="top"/>
          </w:tcPr>
          <w:p>
            <w:pPr>
              <w:spacing w:before="20" w:after="20"/>
            </w:pPr>
            <w:r>
              <w:rPr>
                <w:sz w:val="21"/>
                <w:szCs w:val="21"/>
              </w:rPr>
              <w:t xml:space="preserve">20 (</w:t>
            </w:r>
            <w:r>
              <w:rPr>
                <w:rFonts w:ascii="Consolas" w:hAnsi="Consolas"/>
                <w:sz w:val="21"/>
                <w:szCs w:val="21"/>
              </w:rPr>
              <w:t xml:space="preserve">S3-01</w:t>
            </w:r>
            <w:r>
              <w:rPr>
                <w:sz w:val="21"/>
                <w:szCs w:val="21"/>
              </w:rPr>
              <w:t xml:space="preserve"> to </w:t>
            </w:r>
            <w:r>
              <w:rPr>
                <w:rFonts w:ascii="Consolas" w:hAnsi="Consolas"/>
                <w:sz w:val="21"/>
                <w:szCs w:val="21"/>
              </w:rPr>
              <w:t xml:space="preserve">S3-20</w:t>
            </w:r>
            <w:r>
              <w:rPr>
                <w:sz w:val="21"/>
                <w:szCs w:val="21"/>
              </w:rPr>
              <w:t xml:space="preserve">)</w:t>
            </w:r>
          </w:p>
        </w:tc>
        <w:tc>
          <w:tcPr>
            <w:tcW w:w="4272" w:type="dxa"/>
            <w:vAlign w:val="top"/>
          </w:tcPr>
          <w:p>
            <w:pPr>
              <w:spacing w:before="20" w:after="20"/>
            </w:pPr>
            <w:r>
              <w:rPr>
                <w:sz w:val="21"/>
                <w:szCs w:val="21"/>
              </w:rPr>
              <w:t xml:space="preserve">24 (</w:t>
            </w:r>
            <w:r>
              <w:rPr>
                <w:rFonts w:ascii="Consolas" w:hAnsi="Consolas"/>
                <w:sz w:val="21"/>
                <w:szCs w:val="21"/>
              </w:rPr>
              <w:t xml:space="preserve">S4-01</w:t>
            </w:r>
            <w:r>
              <w:rPr>
                <w:sz w:val="21"/>
                <w:szCs w:val="21"/>
              </w:rPr>
              <w:t xml:space="preserve"> to </w:t>
            </w:r>
            <w:r>
              <w:rPr>
                <w:rFonts w:ascii="Consolas" w:hAnsi="Consolas"/>
                <w:sz w:val="21"/>
                <w:szCs w:val="21"/>
              </w:rPr>
              <w:t xml:space="preserve">S4-24</w:t>
            </w:r>
            <w:r>
              <w:rPr>
                <w:sz w:val="21"/>
                <w:szCs w:val="21"/>
              </w:rPr>
              <w:t xml:space="preserve">)</w:t>
            </w:r>
          </w:p>
        </w:tc>
      </w:tr>
      <w:tr>
        <w:tc>
          <w:tcPr>
            <w:tcW w:w="1094" w:type="dxa"/>
            <w:vAlign w:val="top"/>
          </w:tcPr>
          <w:p>
            <w:pPr>
              <w:spacing w:before="20" w:after="20"/>
            </w:pPr>
            <w:r>
              <w:rPr>
                <w:sz w:val="21"/>
                <w:szCs w:val="21"/>
              </w:rPr>
              <w:t xml:space="preserve">Capacity</w:t>
            </w:r>
          </w:p>
        </w:tc>
        <w:tc>
          <w:tcPr>
            <w:tcW w:w="4272" w:type="dxa"/>
            <w:vAlign w:val="top"/>
          </w:tcPr>
          <w:p>
            <w:pPr>
              <w:spacing w:before="20" w:after="20"/>
            </w:pPr>
            <w:r>
              <w:rPr>
                <w:sz w:val="21"/>
                <w:szCs w:val="21"/>
              </w:rPr>
              <w:t xml:space="preserve">4 people × 5 days × 4 h = 80 h nominal, 116 h planned</w:t>
            </w:r>
          </w:p>
        </w:tc>
        <w:tc>
          <w:tcPr>
            <w:tcW w:w="4272" w:type="dxa"/>
            <w:vAlign w:val="top"/>
          </w:tcPr>
          <w:p>
            <w:pPr>
              <w:spacing w:before="20" w:after="20"/>
            </w:pPr>
            <w:r>
              <w:rPr>
                <w:sz w:val="21"/>
                <w:szCs w:val="21"/>
              </w:rPr>
              <w:t xml:space="preserve">4 people × 3 days × 4 h = 48 h nominal, 80 h planned</w:t>
            </w:r>
          </w:p>
        </w:tc>
      </w:tr>
      <w:tr>
        <w:tc>
          <w:tcPr>
            <w:tcW w:w="1094" w:type="dxa"/>
            <w:vAlign w:val="top"/>
          </w:tcPr>
          <w:p>
            <w:pPr>
              <w:spacing w:before="20" w:after="20"/>
            </w:pPr>
            <w:r>
              <w:rPr>
                <w:sz w:val="21"/>
                <w:szCs w:val="21"/>
              </w:rPr>
              <w:t xml:space="preserve">Outcome</w:t>
            </w:r>
          </w:p>
        </w:tc>
        <w:tc>
          <w:tcPr>
            <w:tcW w:w="4272" w:type="dxa"/>
            <w:vAlign w:val="top"/>
          </w:tcPr>
          <w:p>
            <w:pPr>
              <w:spacing w:before="20" w:after="20"/>
            </w:pPr>
            <w:r>
              <w:rPr>
                <w:sz w:val="21"/>
                <w:szCs w:val="21"/>
              </w:rPr>
              <w:t xml:space="preserve">Draft increment </w:t>
            </w:r>
            <w:r>
              <w:rPr>
                <w:rFonts w:ascii="Consolas" w:hAnsi="Consolas"/>
                <w:sz w:val="21"/>
                <w:szCs w:val="21"/>
              </w:rPr>
              <w:t xml:space="preserve">v0.9</w:t>
            </w:r>
            <w:r>
              <w:rPr>
                <w:sz w:val="21"/>
                <w:szCs w:val="21"/>
              </w:rPr>
              <w:t xml:space="preserve"> presented at SR3</w:t>
            </w:r>
          </w:p>
        </w:tc>
        <w:tc>
          <w:tcPr>
            <w:tcW w:w="4272" w:type="dxa"/>
            <w:vAlign w:val="top"/>
          </w:tcPr>
          <w:p>
            <w:pPr>
              <w:spacing w:before="20" w:after="20"/>
            </w:pPr>
            <w:r>
              <w:rPr>
                <w:sz w:val="21"/>
                <w:szCs w:val="21"/>
              </w:rPr>
              <w:t xml:space="preserve">Final increment </w:t>
            </w:r>
            <w:r>
              <w:rPr>
                <w:rFonts w:ascii="Consolas" w:hAnsi="Consolas"/>
                <w:sz w:val="21"/>
                <w:szCs w:val="21"/>
              </w:rPr>
              <w:t xml:space="preserve">v1.0</w:t>
            </w:r>
            <w:r>
              <w:rPr>
                <w:sz w:val="21"/>
                <w:szCs w:val="21"/>
              </w:rPr>
              <w:t xml:space="preserve"> handed in</w:t>
            </w:r>
          </w:p>
        </w:tc>
      </w:tr>
    </w:tbl>
    <w:p>
      <w:pPr>
        <w:spacing w:after="0"/>
      </w:pPr>
    </w:p>
    <w:p>
      <w:r>
        <w:t xml:space="preserve">Every backlog item carries a first owner, a second owner, an estimate in story points and hours, its dependencies, its acceptance conditions and a status. Four members: </w:t>
      </w:r>
      <w:r>
        <w:rPr>
          <w:b/>
        </w:rPr>
        <w:t xml:space="preserve">max</w:t>
      </w:r>
      <w:r>
        <w:t xml:space="preserve"> (BPMN and integration), </w:t>
      </w:r>
      <w:r>
        <w:rPr>
          <w:b/>
        </w:rPr>
        <w:t xml:space="preserve">finn</w:t>
      </w:r>
      <w:r>
        <w:t xml:space="preserve"> (external workers and i* modelling), </w:t>
      </w:r>
      <w:r>
        <w:rPr>
          <w:b/>
        </w:rPr>
        <w:t xml:space="preserve">henry</w:t>
      </w:r>
      <w:r>
        <w:t xml:space="preserve"> (agile, documentation and traceability), </w:t>
      </w:r>
      <w:r>
        <w:rPr>
          <w:b/>
        </w:rPr>
        <w:t xml:space="preserve">peter</w:t>
      </w:r>
      <w:r>
        <w:t xml:space="preserve"> (forms, QA and testing). The full Sprint 3 and Sprint 4 backlogs are retained in the repository backlog workbook; the items that carry the final increment are these: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54"/>
        <w:gridCol w:w="3529"/>
        <w:gridCol w:w="1171"/>
        <w:gridCol w:w="3546"/>
        <w:gridCol w:w="738"/>
      </w:tblGrid>
      <w:tr>
        <w:trPr>
          <w:tblHeader/>
        </w:trPr>
        <w:tc>
          <w:tcPr>
            <w:tcW w:w="654" w:type="dxa"/>
            <w:shd w:val="clear" w:fill="EDEDED"/>
            <w:vAlign w:val="top"/>
          </w:tcPr>
          <w:p>
            <w:pPr>
              <w:spacing w:before="20" w:after="20"/>
            </w:pPr>
            <w:r>
              <w:rPr>
                <w:b/>
                <w:sz w:val="21"/>
                <w:szCs w:val="21"/>
              </w:rPr>
              <w:t xml:space="preserve">Item</w:t>
            </w:r>
          </w:p>
        </w:tc>
        <w:tc>
          <w:tcPr>
            <w:tcW w:w="3529" w:type="dxa"/>
            <w:shd w:val="clear" w:fill="EDEDED"/>
            <w:vAlign w:val="top"/>
          </w:tcPr>
          <w:p>
            <w:pPr>
              <w:spacing w:before="20" w:after="20"/>
            </w:pPr>
            <w:r>
              <w:rPr>
                <w:b/>
                <w:sz w:val="21"/>
                <w:szCs w:val="21"/>
              </w:rPr>
              <w:t xml:space="preserve">Task</w:t>
            </w:r>
          </w:p>
        </w:tc>
        <w:tc>
          <w:tcPr>
            <w:tcW w:w="1171" w:type="dxa"/>
            <w:shd w:val="clear" w:fill="EDEDED"/>
            <w:vAlign w:val="top"/>
          </w:tcPr>
          <w:p>
            <w:pPr>
              <w:spacing w:before="20" w:after="20"/>
            </w:pPr>
            <w:r>
              <w:rPr>
                <w:b/>
                <w:sz w:val="21"/>
                <w:szCs w:val="21"/>
              </w:rPr>
              <w:t xml:space="preserve">Owner (1st / 2nd)</w:t>
            </w:r>
          </w:p>
        </w:tc>
        <w:tc>
          <w:tcPr>
            <w:tcW w:w="3546" w:type="dxa"/>
            <w:shd w:val="clear" w:fill="EDEDED"/>
            <w:vAlign w:val="top"/>
          </w:tcPr>
          <w:p>
            <w:pPr>
              <w:spacing w:before="20" w:after="20"/>
            </w:pPr>
            <w:r>
              <w:rPr>
                <w:b/>
                <w:sz w:val="21"/>
                <w:szCs w:val="21"/>
              </w:rPr>
              <w:t xml:space="preserve">Acceptance condition</w:t>
            </w:r>
          </w:p>
        </w:tc>
        <w:tc>
          <w:tcPr>
            <w:tcW w:w="738" w:type="dxa"/>
            <w:shd w:val="clear" w:fill="EDEDED"/>
            <w:vAlign w:val="top"/>
          </w:tcPr>
          <w:p>
            <w:pPr>
              <w:spacing w:before="20" w:after="20"/>
            </w:pPr>
            <w:r>
              <w:rPr>
                <w:b/>
                <w:sz w:val="21"/>
                <w:szCs w:val="21"/>
              </w:rPr>
              <w:t xml:space="preserve">Status</w:t>
            </w:r>
          </w:p>
        </w:tc>
      </w:tr>
      <w:tr>
        <w:tc>
          <w:tcPr>
            <w:tcW w:w="654" w:type="dxa"/>
            <w:vAlign w:val="top"/>
          </w:tcPr>
          <w:p>
            <w:pPr>
              <w:spacing w:before="20" w:after="20"/>
            </w:pPr>
            <w:r>
              <w:rPr>
                <w:sz w:val="21"/>
                <w:szCs w:val="21"/>
              </w:rPr>
              <w:t xml:space="preserve">S4-01</w:t>
            </w:r>
          </w:p>
        </w:tc>
        <w:tc>
          <w:tcPr>
            <w:tcW w:w="3529" w:type="dxa"/>
            <w:vAlign w:val="top"/>
          </w:tcPr>
          <w:p>
            <w:pPr>
              <w:spacing w:before="20" w:after="20"/>
            </w:pPr>
            <w:r>
              <w:rPr>
                <w:sz w:val="21"/>
                <w:szCs w:val="21"/>
              </w:rPr>
              <w:t xml:space="preserve">Triage every defect found in the Sprint 1/2 models</w:t>
            </w:r>
          </w:p>
        </w:tc>
        <w:tc>
          <w:tcPr>
            <w:tcW w:w="1171" w:type="dxa"/>
            <w:vAlign w:val="top"/>
          </w:tcPr>
          <w:p>
            <w:pPr>
              <w:spacing w:before="20" w:after="20"/>
            </w:pPr>
            <w:r>
              <w:rPr>
                <w:sz w:val="21"/>
                <w:szCs w:val="21"/>
              </w:rPr>
              <w:t xml:space="preserve">peter / max</w:t>
            </w:r>
          </w:p>
        </w:tc>
        <w:tc>
          <w:tcPr>
            <w:tcW w:w="3546" w:type="dxa"/>
            <w:vAlign w:val="top"/>
          </w:tcPr>
          <w:p>
            <w:pPr>
              <w:spacing w:before="20" w:after="20"/>
            </w:pPr>
            <w:r>
              <w:rPr>
                <w:sz w:val="21"/>
                <w:szCs w:val="21"/>
              </w:rPr>
              <w:t xml:space="preserve">Each of the 16 defect categories is fixed or explicitly superseded</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S4-05</w:t>
            </w:r>
          </w:p>
        </w:tc>
        <w:tc>
          <w:tcPr>
            <w:tcW w:w="3529" w:type="dxa"/>
            <w:vAlign w:val="top"/>
          </w:tcPr>
          <w:p>
            <w:pPr>
              <w:spacing w:before="20" w:after="20"/>
            </w:pPr>
            <w:r>
              <w:rPr>
                <w:sz w:val="21"/>
                <w:szCs w:val="21"/>
              </w:rPr>
              <w:t xml:space="preserve">Rebuild the three fragments as one integrated model family</w:t>
            </w:r>
          </w:p>
        </w:tc>
        <w:tc>
          <w:tcPr>
            <w:tcW w:w="1171" w:type="dxa"/>
            <w:vAlign w:val="top"/>
          </w:tcPr>
          <w:p>
            <w:pPr>
              <w:spacing w:before="20" w:after="20"/>
            </w:pPr>
            <w:r>
              <w:rPr>
                <w:sz w:val="21"/>
                <w:szCs w:val="21"/>
              </w:rPr>
              <w:t xml:space="preserve">max / henry</w:t>
            </w:r>
          </w:p>
        </w:tc>
        <w:tc>
          <w:tcPr>
            <w:tcW w:w="3546" w:type="dxa"/>
            <w:vAlign w:val="top"/>
          </w:tcPr>
          <w:p>
            <w:pPr>
              <w:spacing w:before="20" w:after="20"/>
            </w:pPr>
            <w:r>
              <w:rPr>
                <w:rFonts w:ascii="Consolas" w:hAnsi="Consolas"/>
                <w:sz w:val="21"/>
                <w:szCs w:val="21"/>
              </w:rPr>
              <w:t xml:space="preserve">S1</w:t>
            </w:r>
            <w:r>
              <w:rPr>
                <w:sz w:val="21"/>
                <w:szCs w:val="21"/>
              </w:rPr>
              <w:t xml:space="preserve">, </w:t>
            </w:r>
            <w:r>
              <w:rPr>
                <w:rFonts w:ascii="Consolas" w:hAnsi="Consolas"/>
                <w:sz w:val="21"/>
                <w:szCs w:val="21"/>
              </w:rPr>
              <w:t xml:space="preserve">S2</w:t>
            </w:r>
            <w:r>
              <w:rPr>
                <w:sz w:val="21"/>
                <w:szCs w:val="21"/>
              </w:rPr>
              <w:t xml:space="preserve">, </w:t>
            </w:r>
            <w:r>
              <w:rPr>
                <w:rFonts w:ascii="Consolas" w:hAnsi="Consolas"/>
                <w:sz w:val="21"/>
                <w:szCs w:val="21"/>
              </w:rPr>
              <w:t xml:space="preserve">S3</w:t>
            </w:r>
            <w:r>
              <w:rPr>
                <w:sz w:val="21"/>
                <w:szCs w:val="21"/>
              </w:rPr>
              <w:t xml:space="preserve"> share one participant register and naming convention; </w:t>
            </w:r>
            <w:r>
              <w:rPr>
                <w:rFonts w:ascii="Consolas" w:hAnsi="Consolas"/>
                <w:sz w:val="21"/>
                <w:szCs w:val="21"/>
              </w:rPr>
              <w:t xml:space="preserve">O1</w:t>
            </w:r>
            <w:r>
              <w:rPr>
                <w:sz w:val="21"/>
                <w:szCs w:val="21"/>
              </w:rPr>
              <w:t xml:space="preserve"> merges all three at task level</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S4-08</w:t>
            </w:r>
          </w:p>
        </w:tc>
        <w:tc>
          <w:tcPr>
            <w:tcW w:w="3529" w:type="dxa"/>
            <w:vAlign w:val="top"/>
          </w:tcPr>
          <w:p>
            <w:pPr>
              <w:spacing w:before="20" w:after="20"/>
            </w:pPr>
            <w:r>
              <w:rPr>
                <w:sz w:val="21"/>
                <w:szCs w:val="21"/>
              </w:rPr>
              <w:t xml:space="preserve">Deploy the models and re-validate with the Camunda toolchain</w:t>
            </w:r>
          </w:p>
        </w:tc>
        <w:tc>
          <w:tcPr>
            <w:tcW w:w="1171" w:type="dxa"/>
            <w:vAlign w:val="top"/>
          </w:tcPr>
          <w:p>
            <w:pPr>
              <w:spacing w:before="20" w:after="20"/>
            </w:pPr>
            <w:r>
              <w:rPr>
                <w:sz w:val="21"/>
                <w:szCs w:val="21"/>
              </w:rPr>
              <w:t xml:space="preserve">peter / max</w:t>
            </w:r>
          </w:p>
        </w:tc>
        <w:tc>
          <w:tcPr>
            <w:tcW w:w="3546" w:type="dxa"/>
            <w:vAlign w:val="top"/>
          </w:tcPr>
          <w:p>
            <w:pPr>
              <w:spacing w:before="20" w:after="20"/>
            </w:pPr>
            <w:r>
              <w:rPr>
                <w:sz w:val="21"/>
                <w:szCs w:val="21"/>
              </w:rPr>
              <w:t xml:space="preserve">0 moddle warnings, 0 lint reports, 0 structural defects per model; all six definitions deploy</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S4-12/13</w:t>
            </w:r>
          </w:p>
        </w:tc>
        <w:tc>
          <w:tcPr>
            <w:tcW w:w="3529" w:type="dxa"/>
            <w:vAlign w:val="top"/>
          </w:tcPr>
          <w:p>
            <w:pPr>
              <w:spacing w:before="20" w:after="20"/>
            </w:pPr>
            <w:r>
              <w:rPr>
                <w:sz w:val="21"/>
                <w:szCs w:val="21"/>
              </w:rPr>
              <w:t xml:space="preserve">Complete the i* SD and SR models</w:t>
            </w:r>
          </w:p>
        </w:tc>
        <w:tc>
          <w:tcPr>
            <w:tcW w:w="1171" w:type="dxa"/>
            <w:vAlign w:val="top"/>
          </w:tcPr>
          <w:p>
            <w:pPr>
              <w:spacing w:before="20" w:after="20"/>
            </w:pPr>
            <w:r>
              <w:rPr>
                <w:sz w:val="21"/>
                <w:szCs w:val="21"/>
              </w:rPr>
              <w:t xml:space="preserve">finn / henry</w:t>
            </w:r>
          </w:p>
        </w:tc>
        <w:tc>
          <w:tcPr>
            <w:tcW w:w="3546" w:type="dxa"/>
            <w:vAlign w:val="top"/>
          </w:tcPr>
          <w:p>
            <w:pPr>
              <w:spacing w:before="20" w:after="20"/>
            </w:pPr>
            <w:r>
              <w:rPr>
                <w:sz w:val="21"/>
                <w:szCs w:val="21"/>
              </w:rPr>
              <w:t>SD: 16 actors, 40 typed dependencies. SR: 7 actors, 61 elements, 9 boundary dependencies; SD/SR consistency table co-signed</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S4-16</w:t>
            </w:r>
          </w:p>
        </w:tc>
        <w:tc>
          <w:tcPr>
            <w:tcW w:w="3529" w:type="dxa"/>
            <w:vAlign w:val="top"/>
          </w:tcPr>
          <w:p>
            <w:pPr>
              <w:spacing w:before="20" w:after="20"/>
            </w:pPr>
            <w:r>
              <w:rPr>
                <w:sz w:val="21"/>
                <w:szCs w:val="21"/>
              </w:rPr>
              <w:t xml:space="preserve">Alignment evaluation with a full traceability table</w:t>
            </w:r>
          </w:p>
        </w:tc>
        <w:tc>
          <w:tcPr>
            <w:tcW w:w="1171" w:type="dxa"/>
            <w:vAlign w:val="top"/>
          </w:tcPr>
          <w:p>
            <w:pPr>
              <w:spacing w:before="20" w:after="20"/>
            </w:pPr>
            <w:r>
              <w:rPr>
                <w:sz w:val="21"/>
                <w:szCs w:val="21"/>
              </w:rPr>
              <w:t xml:space="preserve">henry / max</w:t>
            </w:r>
          </w:p>
        </w:tc>
        <w:tc>
          <w:tcPr>
            <w:tcW w:w="3546" w:type="dxa"/>
            <w:vAlign w:val="top"/>
          </w:tcPr>
          <w:p>
            <w:pPr>
              <w:spacing w:before="20" w:after="20"/>
            </w:pPr>
            <w:r>
              <w:rPr>
                <w:sz w:val="21"/>
                <w:szCs w:val="21"/>
              </w:rPr>
              <w:t xml:space="preserve">44 requirements traced to a strategic activity, an i* element and an implementation artefact with an evidenced verdict</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S4-18/19</w:t>
            </w:r>
          </w:p>
        </w:tc>
        <w:tc>
          <w:tcPr>
            <w:tcW w:w="3529" w:type="dxa"/>
            <w:vAlign w:val="top"/>
          </w:tcPr>
          <w:p>
            <w:pPr>
              <w:spacing w:before="20" w:after="20"/>
            </w:pPr>
            <w:r>
              <w:rPr>
                <w:sz w:val="21"/>
                <w:szCs w:val="21"/>
              </w:rPr>
              <w:t xml:space="preserve">Acceptance criteria review and test execution</w:t>
            </w:r>
          </w:p>
        </w:tc>
        <w:tc>
          <w:tcPr>
            <w:tcW w:w="1171" w:type="dxa"/>
            <w:vAlign w:val="top"/>
          </w:tcPr>
          <w:p>
            <w:pPr>
              <w:spacing w:before="20" w:after="20"/>
            </w:pPr>
            <w:r>
              <w:rPr>
                <w:sz w:val="21"/>
                <w:szCs w:val="21"/>
              </w:rPr>
              <w:t xml:space="preserve">peter / finn</w:t>
            </w:r>
          </w:p>
        </w:tc>
        <w:tc>
          <w:tcPr>
            <w:tcW w:w="3546" w:type="dxa"/>
            <w:vAlign w:val="top"/>
          </w:tcPr>
          <w:p>
            <w:pPr>
              <w:spacing w:before="20" w:after="20"/>
            </w:pPr>
            <w:r>
              <w:rPr>
                <w:sz w:val="21"/>
                <w:szCs w:val="21"/>
              </w:rPr>
              <w:t xml:space="preserve">All 20 original criteria assessed; 28 revised; 18 cases executed against the deployed model with retained evidence</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S4-21</w:t>
            </w:r>
          </w:p>
        </w:tc>
        <w:tc>
          <w:tcPr>
            <w:tcW w:w="3529" w:type="dxa"/>
            <w:vAlign w:val="top"/>
          </w:tcPr>
          <w:p>
            <w:pPr>
              <w:spacing w:before="20" w:after="20"/>
            </w:pPr>
            <w:r>
              <w:rPr>
                <w:sz w:val="21"/>
                <w:szCs w:val="21"/>
              </w:rPr>
              <w:t xml:space="preserve">Assemble the portfolio</w:t>
            </w:r>
          </w:p>
        </w:tc>
        <w:tc>
          <w:tcPr>
            <w:tcW w:w="1171" w:type="dxa"/>
            <w:vAlign w:val="top"/>
          </w:tcPr>
          <w:p>
            <w:pPr>
              <w:spacing w:before="20" w:after="20"/>
            </w:pPr>
            <w:r>
              <w:rPr>
                <w:sz w:val="21"/>
                <w:szCs w:val="21"/>
              </w:rPr>
              <w:t xml:space="preserve">henry / max</w:t>
            </w:r>
          </w:p>
        </w:tc>
        <w:tc>
          <w:tcPr>
            <w:tcW w:w="3546" w:type="dxa"/>
            <w:vAlign w:val="top"/>
          </w:tcPr>
          <w:p>
            <w:pPr>
              <w:spacing w:before="20" w:after="20"/>
            </w:pPr>
            <w:r>
              <w:rPr>
                <w:sz w:val="21"/>
                <w:szCs w:val="21"/>
              </w:rPr>
              <w:t xml:space="preserve">Every required deliverable present, named to convention, and linked to its evidence</w:t>
            </w:r>
          </w:p>
        </w:tc>
        <w:tc>
          <w:tcPr>
            <w:tcW w:w="738" w:type="dxa"/>
            <w:vAlign w:val="top"/>
          </w:tcPr>
          <w:p>
            <w:pPr>
              <w:spacing w:before="20" w:after="20"/>
            </w:pPr>
            <w:r>
              <w:rPr>
                <w:sz w:val="21"/>
                <w:szCs w:val="21"/>
              </w:rPr>
              <w:t xml:space="preserve">Done</w:t>
            </w:r>
          </w:p>
        </w:tc>
      </w:tr>
    </w:tbl>
    <w:p>
      <w:pPr>
        <w:spacing w:after="0"/>
      </w:pPr>
    </w:p>
    <w:p>
      <w:pPr>
        <w:pStyle w:val="Heading2"/>
        <w:keepNext/>
      </w:pPr>
      <w:r>
        <w:t xml:space="preserve">2. Sprint review records — SR3 and SR4 are scheduled for 19 and 22 October 2026</w:t>
      </w:r>
    </w:p>
    <w:p>
      <w:pPr>
        <w:pStyle w:val="Heading3"/>
        <w:keepNext/>
      </w:pPr>
      <w:r>
        <w:t xml:space="preserve">Sprint review 3 — scheduled 19 October 2026</w:t>
      </w:r>
    </w:p>
    <w:p>
      <w:r>
        <w:rPr>
          <w:b/>
        </w:rPr>
        <w:t xml:space="preserve">Increment presented (`v0.9`).</w:t>
      </w:r>
      <w:r>
        <w:t xml:space="preserve"> Draft level 1 and level 2 strategic models; a draft SD model; the first traceability table; the revised acceptance criteria.</w:t>
      </w:r>
    </w:p>
    <w:p>
      <w:r>
        <w:rPr>
          <w:b/>
        </w:rPr>
        <w:t xml:space="preserve">Against the sprint goal.</w:t>
      </w:r>
      <w:r>
        <w:t xml:space="preserve"> The strategic models and the draft SD model were complete; the SR model, the alignment narrative and the acceptance evidence were not.</w:t>
      </w:r>
    </w:p>
    <w:p>
      <w:r>
        <w:rPr>
          <w:b/>
        </w:rPr>
        <w:t xml:space="preserve">Decisions.</w:t>
      </w:r>
      <w:r>
        <w:t xml:space="preserve"> (1) Split the strategic view across three models rather than one, and document the abstraction level explicitly. (2) Retain the original acceptance criteria alongside the revisions so that later improvement cannot hide an earlier failure. (3) Treat the pool-naming inconsistency as a defect to fix by rebuild rather than by patch.</w:t>
      </w:r>
    </w:p>
    <w:p>
      <w:r>
        <w:rPr>
          <w:b/>
        </w:rPr>
        <w:t xml:space="preserve">Feedback received and the change it produced.</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379"/>
        <w:gridCol w:w="3380"/>
        <w:gridCol w:w="2879"/>
      </w:tblGrid>
      <w:tr>
        <w:trPr>
          <w:tblHeader/>
        </w:trPr>
        <w:tc>
          <w:tcPr>
            <w:tcW w:w="3379" w:type="dxa"/>
            <w:shd w:val="clear" w:fill="EDEDED"/>
            <w:vAlign w:val="top"/>
          </w:tcPr>
          <w:p>
            <w:pPr>
              <w:spacing w:before="20" w:after="20"/>
            </w:pPr>
            <w:r>
              <w:rPr>
                <w:b/>
                <w:sz w:val="21"/>
                <w:szCs w:val="21"/>
              </w:rPr>
              <w:t xml:space="preserve">Point raised</w:t>
            </w:r>
          </w:p>
        </w:tc>
        <w:tc>
          <w:tcPr>
            <w:tcW w:w="3380" w:type="dxa"/>
            <w:shd w:val="clear" w:fill="EDEDED"/>
            <w:vAlign w:val="top"/>
          </w:tcPr>
          <w:p>
            <w:pPr>
              <w:spacing w:before="20" w:after="20"/>
            </w:pPr>
            <w:r>
              <w:rPr>
                <w:b/>
                <w:sz w:val="21"/>
                <w:szCs w:val="21"/>
              </w:rPr>
              <w:t xml:space="preserve">Response</w:t>
            </w:r>
          </w:p>
        </w:tc>
        <w:tc>
          <w:tcPr>
            <w:tcW w:w="2879" w:type="dxa"/>
            <w:shd w:val="clear" w:fill="EDEDED"/>
            <w:vAlign w:val="top"/>
          </w:tcPr>
          <w:p>
            <w:pPr>
              <w:spacing w:before="20" w:after="20"/>
            </w:pPr>
            <w:r>
              <w:rPr>
                <w:b/>
                <w:sz w:val="21"/>
                <w:szCs w:val="21"/>
              </w:rPr>
              <w:t xml:space="preserve">Backlog change</w:t>
            </w:r>
          </w:p>
        </w:tc>
      </w:tr>
      <w:tr>
        <w:tc>
          <w:tcPr>
            <w:tcW w:w="3379" w:type="dxa"/>
            <w:vAlign w:val="top"/>
          </w:tcPr>
          <w:p>
            <w:pPr>
              <w:spacing w:before="20" w:after="20"/>
            </w:pPr>
            <w:r>
              <w:rPr>
                <w:sz w:val="21"/>
                <w:szCs w:val="21"/>
              </w:rPr>
              <w:t xml:space="preserve">The booking model does not show what happens when the external service is unavailable</w:t>
            </w:r>
          </w:p>
        </w:tc>
        <w:tc>
          <w:tcPr>
            <w:tcW w:w="3380" w:type="dxa"/>
            <w:vAlign w:val="top"/>
          </w:tcPr>
          <w:p>
            <w:pPr>
              <w:spacing w:before="20" w:after="20"/>
            </w:pPr>
            <w:r>
              <w:rPr>
                <w:sz w:val="21"/>
                <w:szCs w:val="21"/>
              </w:rPr>
              <w:t xml:space="preserve">Add a pending-booking path with notification and a recorded retry</w:t>
            </w:r>
          </w:p>
        </w:tc>
        <w:tc>
          <w:tcPr>
            <w:tcW w:w="2879" w:type="dxa"/>
            <w:vAlign w:val="top"/>
          </w:tcPr>
          <w:p>
            <w:pPr>
              <w:spacing w:before="20" w:after="20"/>
            </w:pPr>
            <w:r>
              <w:rPr>
                <w:sz w:val="21"/>
                <w:szCs w:val="21"/>
              </w:rPr>
              <w:t xml:space="preserve">New item; delivered as </w:t>
            </w:r>
            <w:r>
              <w:rPr>
                <w:rFonts w:ascii="Consolas" w:hAnsi="Consolas"/>
                <w:sz w:val="21"/>
                <w:szCs w:val="21"/>
              </w:rPr>
              <w:t xml:space="preserve">T_KeepPending</w:t>
            </w:r>
          </w:p>
        </w:tc>
      </w:tr>
      <w:tr>
        <w:tc>
          <w:tcPr>
            <w:tcW w:w="3379" w:type="dxa"/>
            <w:vAlign w:val="top"/>
          </w:tcPr>
          <w:p>
            <w:pPr>
              <w:spacing w:before="20" w:after="20"/>
            </w:pPr>
            <w:r>
              <w:rPr>
                <w:sz w:val="21"/>
                <w:szCs w:val="21"/>
              </w:rPr>
              <w:t xml:space="preserve">Acceptance criteria must be measurable, not narrative</w:t>
            </w:r>
          </w:p>
        </w:tc>
        <w:tc>
          <w:tcPr>
            <w:tcW w:w="3380" w:type="dxa"/>
            <w:vAlign w:val="top"/>
          </w:tcPr>
          <w:p>
            <w:pPr>
              <w:spacing w:before="20" w:after="20"/>
            </w:pPr>
            <w:r>
              <w:rPr>
                <w:sz w:val="21"/>
                <w:szCs w:val="21"/>
              </w:rPr>
              <w:t xml:space="preserve">Rewrite each criterion with a measurement method; retain the original wording</w:t>
            </w:r>
          </w:p>
        </w:tc>
        <w:tc>
          <w:tcPr>
            <w:tcW w:w="2879" w:type="dxa"/>
            <w:vAlign w:val="top"/>
          </w:tcPr>
          <w:p>
            <w:pPr>
              <w:spacing w:before="20" w:after="20"/>
            </w:pPr>
            <w:r>
              <w:rPr>
                <w:rFonts w:ascii="Consolas" w:hAnsi="Consolas"/>
                <w:sz w:val="21"/>
                <w:szCs w:val="21"/>
              </w:rPr>
              <w:t xml:space="preserve">S4-18</w:t>
            </w:r>
            <w:r>
              <w:rPr>
                <w:sz w:val="21"/>
                <w:szCs w:val="21"/>
              </w:rPr>
              <w:t xml:space="preserve"> enlarged</w:t>
            </w:r>
          </w:p>
        </w:tc>
      </w:tr>
      <w:tr>
        <w:tc>
          <w:tcPr>
            <w:tcW w:w="3379" w:type="dxa"/>
            <w:vAlign w:val="top"/>
          </w:tcPr>
          <w:p>
            <w:pPr>
              <w:spacing w:before="20" w:after="20"/>
            </w:pPr>
            <w:r>
              <w:rPr>
                <w:sz w:val="21"/>
                <w:szCs w:val="21"/>
              </w:rPr>
              <w:t xml:space="preserve">Pool names do not match the process names inside them</w:t>
            </w:r>
          </w:p>
        </w:tc>
        <w:tc>
          <w:tcPr>
            <w:tcW w:w="3380" w:type="dxa"/>
            <w:vAlign w:val="top"/>
          </w:tcPr>
          <w:p>
            <w:pPr>
              <w:spacing w:before="20" w:after="20"/>
            </w:pPr>
            <w:r>
              <w:rPr>
                <w:sz w:val="21"/>
                <w:szCs w:val="21"/>
              </w:rPr>
              <w:t xml:space="preserve">Rebuild the three fragments as one model family with a single participant register</w:t>
            </w:r>
          </w:p>
        </w:tc>
        <w:tc>
          <w:tcPr>
            <w:tcW w:w="2879" w:type="dxa"/>
            <w:vAlign w:val="top"/>
          </w:tcPr>
          <w:p>
            <w:pPr>
              <w:spacing w:before="20" w:after="20"/>
            </w:pPr>
            <w:r>
              <w:rPr>
                <w:rFonts w:ascii="Consolas" w:hAnsi="Consolas"/>
                <w:sz w:val="21"/>
                <w:szCs w:val="21"/>
              </w:rPr>
              <w:t xml:space="preserve">S4-05</w:t>
            </w:r>
            <w:r>
              <w:rPr>
                <w:sz w:val="21"/>
                <w:szCs w:val="21"/>
              </w:rPr>
              <w:t xml:space="preserve"> created</w:t>
            </w:r>
          </w:p>
        </w:tc>
      </w:tr>
      <w:tr>
        <w:tc>
          <w:tcPr>
            <w:tcW w:w="3379" w:type="dxa"/>
            <w:vAlign w:val="top"/>
          </w:tcPr>
          <w:p>
            <w:pPr>
              <w:spacing w:before="20" w:after="20"/>
            </w:pPr>
            <w:r>
              <w:rPr>
                <w:sz w:val="21"/>
                <w:szCs w:val="21"/>
              </w:rPr>
              <w:t xml:space="preserve">The i* work must not be presented as having informed the original design</w:t>
            </w:r>
          </w:p>
        </w:tc>
        <w:tc>
          <w:tcPr>
            <w:tcW w:w="3380" w:type="dxa"/>
            <w:vAlign w:val="top"/>
          </w:tcPr>
          <w:p>
            <w:pPr>
              <w:spacing w:before="20" w:after="20"/>
            </w:pPr>
            <w:r>
              <w:rPr>
                <w:sz w:val="21"/>
                <w:szCs w:val="21"/>
              </w:rPr>
              <w:t xml:space="preserve">State the timeline wherever the i* models are used</w:t>
            </w:r>
          </w:p>
        </w:tc>
        <w:tc>
          <w:tcPr>
            <w:tcW w:w="2879" w:type="dxa"/>
            <w:vAlign w:val="top"/>
          </w:tcPr>
          <w:p>
            <w:pPr>
              <w:spacing w:before="20" w:after="20"/>
            </w:pPr>
            <w:r>
              <w:rPr>
                <w:sz w:val="21"/>
                <w:szCs w:val="21"/>
              </w:rPr>
              <w:t xml:space="preserve">Documentation change; applied in Tasks 02 and 03</w:t>
            </w:r>
          </w:p>
        </w:tc>
      </w:tr>
      <w:tr>
        <w:tc>
          <w:tcPr>
            <w:tcW w:w="3379" w:type="dxa"/>
            <w:vAlign w:val="top"/>
          </w:tcPr>
          <w:p>
            <w:pPr>
              <w:spacing w:before="20" w:after="20"/>
            </w:pPr>
            <w:r>
              <w:rPr>
                <w:sz w:val="21"/>
                <w:szCs w:val="21"/>
              </w:rPr>
              <w:t xml:space="preserve">Show evidence that the original defects are gone</w:t>
            </w:r>
          </w:p>
        </w:tc>
        <w:tc>
          <w:tcPr>
            <w:tcW w:w="3380" w:type="dxa"/>
            <w:vAlign w:val="top"/>
          </w:tcPr>
          <w:p>
            <w:pPr>
              <w:spacing w:before="20" w:after="20"/>
            </w:pPr>
            <w:r>
              <w:rPr>
                <w:sz w:val="21"/>
                <w:szCs w:val="21"/>
              </w:rPr>
              <w:t xml:space="preserve">Publish a before/after validation comparison</w:t>
            </w:r>
          </w:p>
        </w:tc>
        <w:tc>
          <w:tcPr>
            <w:tcW w:w="2879" w:type="dxa"/>
            <w:vAlign w:val="top"/>
          </w:tcPr>
          <w:p>
            <w:pPr>
              <w:spacing w:before="20" w:after="20"/>
            </w:pPr>
            <w:r>
              <w:rPr>
                <w:sz w:val="21"/>
                <w:szCs w:val="21"/>
              </w:rPr>
              <w:t xml:space="preserve">Appendix B added</w:t>
            </w:r>
          </w:p>
        </w:tc>
      </w:tr>
    </w:tbl>
    <w:p>
      <w:pPr>
        <w:spacing w:after="0"/>
      </w:pPr>
    </w:p>
    <w:p>
      <w:pPr>
        <w:pStyle w:val="Heading3"/>
        <w:keepNext/>
      </w:pPr>
      <w:r>
        <w:t xml:space="preserve">Sprint review 4 — scheduled 22 October 2026</w:t>
      </w:r>
    </w:p>
    <w:p>
      <w:r>
        <w:rPr>
          <w:b/>
        </w:rPr>
        <w:t xml:space="preserve">Increment presented (`v1.0`).</w:t>
      </w:r>
      <w:r>
        <w:t xml:space="preserve"> The integrated strategic model family; the merged operational model; 68 Camunda Forms; the expanded i* SD and SR models; the alignment evaluation with 44 traced requirements; the acceptance evaluation with 18 executed cases; the deployment and execution evidence.</w:t>
      </w:r>
    </w:p>
    <w:p>
      <w:r>
        <w:rPr>
          <w:b/>
        </w:rPr>
        <w:t xml:space="preserve">Against the sprint goal.</w:t>
      </w:r>
      <w:r>
        <w:t xml:space="preserve"> Everything in the goal was delivered. The models deploy and execute; eighteen acceptance cases passed with no incident.</w:t>
      </w:r>
    </w:p>
    <w:p>
      <w:r>
        <w:rPr>
          <w:b/>
        </w:rPr>
        <w:t xml:space="preserve">Not completed.</w:t>
      </w:r>
      <w:r>
        <w:t xml:space="preserve"> Five criteria remain unmet and cannot be demonstrated on this build: RBAC enforcement, audit immutability, management reporting (the monthly timer has not elapsed), real external integration, and the downtime procedure. The enquiry and reporting processes deploy but were not driven by the execution run. Both are recorded in Task 04, section 6.</w:t>
      </w:r>
    </w:p>
    <w:p>
      <w:r>
        <w:rPr>
          <w:b/>
        </w:rPr>
        <w:t xml:space="preserve">Feedback received and the change it produced.</w:t>
      </w:r>
      <w:r>
        <w:t xml:space="preserve"> Place the operational task identifier in the same traceability row as the strategic node (applied). Give a recommendation against each reported failure rather than only reporting it (applied). Record unimplemented actions with their reason and consequence (applied: two actions remain unimplemented and are logged below).</w:t>
      </w:r>
    </w:p>
    <w:p>
      <w:pPr>
        <w:pStyle w:val="Heading2"/>
        <w:keepNext/>
      </w:pPr>
      <w:r>
        <w:t xml:space="preserve">3. Retrospectives</w:t>
      </w:r>
    </w:p>
    <w:p>
      <w:r>
        <w:rPr>
          <w:b/>
        </w:rPr>
        <w:t xml:space="preserve">Sprint 3.</w:t>
      </w:r>
      <w:r>
        <w:t xml:space="preserve"> </w:t>
      </w:r>
      <w:r>
        <w:rPr>
          <w:i/>
        </w:rPr>
        <w:t xml:space="preserve">Went well:</w:t>
      </w:r>
      <w:r>
        <w:t xml:space="preserve"> the strategic models were produced quickly once the abstraction level was agreed; the second-owner rule held. </w:t>
      </w:r>
      <w:r>
        <w:rPr>
          <w:i/>
        </w:rPr>
        <w:t xml:space="preserve">Did not go well:</w:t>
      </w:r>
      <w:r>
        <w:t xml:space="preserve"> the SR model slipped, and the i* assumptions note was written in fragments and contradicted itself once. </w:t>
      </w:r>
      <w:r>
        <w:rPr>
          <w:i/>
        </w:rPr>
        <w:t xml:space="preserve">Improvements carried into Sprint 4:</w:t>
      </w:r>
      <w:r>
        <w:t xml:space="preserve"> agree the abstraction level in writing before modelling; write the assumptions note in one sitting; start the acceptance review earlier.</w:t>
      </w:r>
    </w:p>
    <w:p>
      <w:r>
        <w:rPr>
          <w:b/>
        </w:rPr>
        <w:t xml:space="preserve">Sprint 4.</w:t>
      </w:r>
      <w:r>
        <w:t xml:space="preserve"> </w:t>
      </w:r>
      <w:r>
        <w:rPr>
          <w:i/>
        </w:rPr>
        <w:t xml:space="preserve">Went well:</w:t>
      </w:r>
      <w:r>
        <w:t xml:space="preserve"> deploying the models to a real Camunda 8 cluster was the single most valuable verification step of the project — it found three XSD sequence violations and a runtime form-binding defect that the moddle round-trip, the lint engine and the Modeler had all passed. Reporting those four defects honestly and then closing them with a clean 18-case run was more defensible than reporting a test plan that had only ever run against stubs. </w:t>
      </w:r>
      <w:r>
        <w:rPr>
          <w:i/>
        </w:rPr>
        <w:t xml:space="preserve">Did not go well:</w:t>
      </w:r>
      <w:r>
        <w:t xml:space="preserve"> the sprint was planned at 80 hours against 48 nominal, and the final integration landed in the last two days. </w:t>
      </w:r>
      <w:r>
        <w:rPr>
          <w:i/>
        </w:rPr>
        <w:t xml:space="preserve">On a further release:</w:t>
      </w:r>
      <w:r>
        <w:t xml:space="preserve"> rehearse integration at mid-sprint rather than at the end; build the test harness before the exception paths are specified; treat documentation as scheduled work.</w:t>
      </w:r>
    </w:p>
    <w:p>
      <w:pPr>
        <w:pStyle w:val="Heading2"/>
        <w:keepNext/>
      </w:pPr>
      <w:r>
        <w:t xml:space="preserve">4. Marked standups — SU3 and SU4 are scheduled for 15 and 21 October 2026</w:t>
      </w:r>
    </w:p>
    <w:p>
      <w:r>
        <w:rPr>
          <w:b/>
        </w:rPr>
        <w:t xml:space="preserve">SU3 — scheduled 15 October 2026, 09:30</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3311"/>
        <w:gridCol w:w="2719"/>
        <w:gridCol w:w="2661"/>
      </w:tblGrid>
      <w:tr>
        <w:trPr>
          <w:tblHeader/>
        </w:trPr>
        <w:tc>
          <w:tcPr>
            <w:tcW w:w="947" w:type="dxa"/>
            <w:shd w:val="clear" w:fill="EDEDED"/>
            <w:vAlign w:val="top"/>
          </w:tcPr>
          <w:p>
            <w:pPr>
              <w:spacing w:before="20" w:after="20"/>
            </w:pPr>
            <w:r>
              <w:rPr>
                <w:b/>
                <w:sz w:val="21"/>
                <w:szCs w:val="21"/>
              </w:rPr>
              <w:t xml:space="preserve">Member</w:t>
            </w:r>
          </w:p>
        </w:tc>
        <w:tc>
          <w:tcPr>
            <w:tcW w:w="3311" w:type="dxa"/>
            <w:shd w:val="clear" w:fill="EDEDED"/>
            <w:vAlign w:val="top"/>
          </w:tcPr>
          <w:p>
            <w:pPr>
              <w:spacing w:before="20" w:after="20"/>
            </w:pPr>
            <w:r>
              <w:rPr>
                <w:b/>
                <w:sz w:val="21"/>
                <w:szCs w:val="21"/>
              </w:rPr>
              <w:t xml:space="preserve">Completed</w:t>
            </w:r>
          </w:p>
        </w:tc>
        <w:tc>
          <w:tcPr>
            <w:tcW w:w="2719" w:type="dxa"/>
            <w:shd w:val="clear" w:fill="EDEDED"/>
            <w:vAlign w:val="top"/>
          </w:tcPr>
          <w:p>
            <w:pPr>
              <w:spacing w:before="20" w:after="20"/>
            </w:pPr>
            <w:r>
              <w:rPr>
                <w:b/>
                <w:sz w:val="21"/>
                <w:szCs w:val="21"/>
              </w:rPr>
              <w:t xml:space="preserve">Next actions</w:t>
            </w:r>
          </w:p>
        </w:tc>
        <w:tc>
          <w:tcPr>
            <w:tcW w:w="2661" w:type="dxa"/>
            <w:shd w:val="clear" w:fill="EDEDED"/>
            <w:vAlign w:val="top"/>
          </w:tcPr>
          <w:p>
            <w:pPr>
              <w:spacing w:before="20" w:after="20"/>
            </w:pPr>
            <w:r>
              <w:rPr>
                <w:b/>
                <w:sz w:val="21"/>
                <w:szCs w:val="21"/>
              </w:rPr>
              <w:t xml:space="preserve">Blockers and handover</w:t>
            </w:r>
          </w:p>
        </w:tc>
      </w:tr>
      <w:tr>
        <w:tc>
          <w:tcPr>
            <w:tcW w:w="947" w:type="dxa"/>
            <w:vAlign w:val="top"/>
          </w:tcPr>
          <w:p>
            <w:pPr>
              <w:spacing w:before="20" w:after="20"/>
            </w:pPr>
            <w:r>
              <w:rPr>
                <w:sz w:val="21"/>
                <w:szCs w:val="21"/>
              </w:rPr>
              <w:t xml:space="preserve">max</w:t>
            </w:r>
          </w:p>
        </w:tc>
        <w:tc>
          <w:tcPr>
            <w:tcW w:w="3311" w:type="dxa"/>
            <w:vAlign w:val="top"/>
          </w:tcPr>
          <w:p>
            <w:pPr>
              <w:spacing w:before="20" w:after="20"/>
            </w:pPr>
            <w:r>
              <w:rPr>
                <w:rFonts w:ascii="Consolas" w:hAnsi="Consolas"/>
                <w:sz w:val="21"/>
                <w:szCs w:val="21"/>
              </w:rPr>
              <w:t xml:space="preserve">S3-02</w:t>
            </w:r>
            <w:r>
              <w:rPr>
                <w:sz w:val="21"/>
                <w:szCs w:val="21"/>
              </w:rPr>
              <w:t xml:space="preserve">: </w:t>
            </w:r>
            <w:r>
              <w:rPr>
                <w:rFonts w:ascii="Consolas" w:hAnsi="Consolas"/>
                <w:sz w:val="21"/>
                <w:szCs w:val="21"/>
              </w:rPr>
              <w:t xml:space="preserve">S1_Strategic_Landscape.bpmn</w:t>
            </w:r>
            <w:r>
              <w:rPr>
                <w:sz w:val="21"/>
                <w:szCs w:val="21"/>
              </w:rPr>
              <w:t xml:space="preserve"> with 24 nodes and 7 external participants; abstraction note drafted</w:t>
            </w:r>
          </w:p>
        </w:tc>
        <w:tc>
          <w:tcPr>
            <w:tcW w:w="2719" w:type="dxa"/>
            <w:vAlign w:val="top"/>
          </w:tcPr>
          <w:p>
            <w:pPr>
              <w:spacing w:before="20" w:after="20"/>
            </w:pPr>
            <w:r>
              <w:rPr>
                <w:sz w:val="21"/>
                <w:szCs w:val="21"/>
              </w:rPr>
              <w:t xml:space="preserve">Finish </w:t>
            </w:r>
            <w:r>
              <w:rPr>
                <w:rFonts w:ascii="Consolas" w:hAnsi="Consolas"/>
                <w:sz w:val="21"/>
                <w:szCs w:val="21"/>
              </w:rPr>
              <w:t xml:space="preserve">S3-03</w:t>
            </w:r>
            <w:r>
              <w:rPr>
                <w:sz w:val="21"/>
                <w:szCs w:val="21"/>
              </w:rPr>
              <w:t xml:space="preserve"> (six-lane referral-to-authorisation model) and start the strategic-to-operational map</w:t>
            </w:r>
          </w:p>
        </w:tc>
        <w:tc>
          <w:tcPr>
            <w:tcW w:w="2661" w:type="dxa"/>
            <w:vAlign w:val="top"/>
          </w:tcPr>
          <w:p>
            <w:pPr>
              <w:spacing w:before="20" w:after="20"/>
            </w:pPr>
            <w:r>
              <w:rPr>
                <w:sz w:val="21"/>
                <w:szCs w:val="21"/>
              </w:rPr>
              <w:t xml:space="preserve">None blocking. Needs finn's actor list before finalising external participant naming. henry holds the landscape file and can take over.</w:t>
            </w:r>
          </w:p>
        </w:tc>
      </w:tr>
      <w:tr>
        <w:tc>
          <w:tcPr>
            <w:tcW w:w="947" w:type="dxa"/>
            <w:vAlign w:val="top"/>
          </w:tcPr>
          <w:p>
            <w:pPr>
              <w:spacing w:before="20" w:after="20"/>
            </w:pPr>
            <w:r>
              <w:rPr>
                <w:sz w:val="21"/>
                <w:szCs w:val="21"/>
              </w:rPr>
              <w:t xml:space="preserve">finn</w:t>
            </w:r>
          </w:p>
        </w:tc>
        <w:tc>
          <w:tcPr>
            <w:tcW w:w="3311" w:type="dxa"/>
            <w:vAlign w:val="top"/>
          </w:tcPr>
          <w:p>
            <w:pPr>
              <w:spacing w:before="20" w:after="20"/>
            </w:pPr>
            <w:r>
              <w:rPr>
                <w:sz w:val="21"/>
                <w:szCs w:val="21"/>
              </w:rPr>
              <w:t xml:space="preserve">Draft SD model </w:t>
            </w:r>
            <w:r>
              <w:rPr>
                <w:rFonts w:ascii="Consolas" w:hAnsi="Consolas"/>
                <w:sz w:val="21"/>
                <w:szCs w:val="21"/>
              </w:rPr>
              <w:t xml:space="preserve">S3-09</w:t>
            </w:r>
            <w:r>
              <w:rPr>
                <w:sz w:val="21"/>
                <w:szCs w:val="21"/>
              </w:rPr>
              <w:t xml:space="preserve">: 12 actors and 27 dependencies rendered from the JSON model source; i* tooling decision closed</w:t>
            </w:r>
          </w:p>
        </w:tc>
        <w:tc>
          <w:tcPr>
            <w:tcW w:w="2719" w:type="dxa"/>
            <w:vAlign w:val="top"/>
          </w:tcPr>
          <w:p>
            <w:pPr>
              <w:spacing w:before="20" w:after="20"/>
            </w:pPr>
            <w:r>
              <w:rPr>
                <w:sz w:val="21"/>
                <w:szCs w:val="21"/>
              </w:rPr>
              <w:t xml:space="preserve">Start </w:t>
            </w:r>
            <w:r>
              <w:rPr>
                <w:rFonts w:ascii="Consolas" w:hAnsi="Consolas"/>
                <w:sz w:val="21"/>
                <w:szCs w:val="21"/>
              </w:rPr>
              <w:t xml:space="preserve">S3-10</w:t>
            </w:r>
            <w:r>
              <w:rPr>
                <w:sz w:val="21"/>
                <w:szCs w:val="21"/>
              </w:rPr>
              <w:t xml:space="preserve"> (SR decompositions) and draft the soft goals</w:t>
            </w:r>
          </w:p>
        </w:tc>
        <w:tc>
          <w:tcPr>
            <w:tcW w:w="2661" w:type="dxa"/>
            <w:vAlign w:val="top"/>
          </w:tcPr>
          <w:p>
            <w:pPr>
              <w:spacing w:before="20" w:after="20"/>
            </w:pPr>
            <w:r>
              <w:rPr>
                <w:sz w:val="21"/>
                <w:szCs w:val="21"/>
              </w:rPr>
              <w:t xml:space="preserve">The renderer does not yet draw the resource-dependency arrowhead correctly, so the SVG export is held. henry is second owner on </w:t>
            </w:r>
            <w:r>
              <w:rPr>
                <w:rFonts w:ascii="Consolas" w:hAnsi="Consolas"/>
                <w:sz w:val="21"/>
                <w:szCs w:val="21"/>
              </w:rPr>
              <w:t xml:space="preserve">S3-10</w:t>
            </w:r>
            <w:r>
              <w:rPr>
                <w:sz w:val="21"/>
                <w:szCs w:val="21"/>
              </w:rPr>
              <w:t xml:space="preserve">.</w:t>
            </w:r>
          </w:p>
        </w:tc>
      </w:tr>
      <w:tr>
        <w:tc>
          <w:tcPr>
            <w:tcW w:w="947" w:type="dxa"/>
            <w:vAlign w:val="top"/>
          </w:tcPr>
          <w:p>
            <w:pPr>
              <w:spacing w:before="20" w:after="20"/>
            </w:pPr>
            <w:r>
              <w:rPr>
                <w:sz w:val="21"/>
                <w:szCs w:val="21"/>
              </w:rPr>
              <w:t xml:space="preserve">henry</w:t>
            </w:r>
          </w:p>
        </w:tc>
        <w:tc>
          <w:tcPr>
            <w:tcW w:w="3311" w:type="dxa"/>
            <w:vAlign w:val="top"/>
          </w:tcPr>
          <w:p>
            <w:pPr>
              <w:spacing w:before="20" w:after="20"/>
            </w:pPr>
            <w:r>
              <w:rPr>
                <w:rFonts w:ascii="Consolas" w:hAnsi="Consolas"/>
                <w:sz w:val="21"/>
                <w:szCs w:val="21"/>
              </w:rPr>
              <w:t xml:space="preserve">S3-13</w:t>
            </w:r>
            <w:r>
              <w:rPr>
                <w:sz w:val="21"/>
                <w:szCs w:val="21"/>
              </w:rPr>
              <w:t xml:space="preserve"> requirements list closed at 44 identifiers with source sentences; </w:t>
            </w:r>
            <w:r>
              <w:rPr>
                <w:rFonts w:ascii="Consolas" w:hAnsi="Consolas"/>
                <w:sz w:val="21"/>
                <w:szCs w:val="21"/>
              </w:rPr>
              <w:t xml:space="preserve">S3-15</w:t>
            </w:r>
            <w:r>
              <w:rPr>
                <w:sz w:val="21"/>
                <w:szCs w:val="21"/>
              </w:rPr>
              <w:t xml:space="preserve"> filename convention and DoD added to the README; </w:t>
            </w:r>
            <w:r>
              <w:rPr>
                <w:rFonts w:ascii="Consolas" w:hAnsi="Consolas"/>
                <w:sz w:val="21"/>
                <w:szCs w:val="21"/>
              </w:rPr>
              <w:t xml:space="preserve">S3-08</w:t>
            </w:r>
            <w:r>
              <w:rPr>
                <w:sz w:val="21"/>
                <w:szCs w:val="21"/>
              </w:rPr>
              <w:t xml:space="preserve"> version snapshots; traceability started at 35 of 44 rows</w:t>
            </w:r>
          </w:p>
        </w:tc>
        <w:tc>
          <w:tcPr>
            <w:tcW w:w="2719" w:type="dxa"/>
            <w:vAlign w:val="top"/>
          </w:tcPr>
          <w:p>
            <w:pPr>
              <w:spacing w:before="20" w:after="20"/>
            </w:pPr>
            <w:r>
              <w:rPr>
                <w:sz w:val="21"/>
                <w:szCs w:val="21"/>
              </w:rPr>
              <w:t xml:space="preserve">Finish the nine open traceability rows, then draft the alignment narrative</w:t>
            </w:r>
          </w:p>
        </w:tc>
        <w:tc>
          <w:tcPr>
            <w:tcW w:w="2661" w:type="dxa"/>
            <w:vAlign w:val="top"/>
          </w:tcPr>
          <w:p>
            <w:pPr>
              <w:spacing w:before="20" w:after="20"/>
            </w:pPr>
            <w:r>
              <w:rPr>
                <w:sz w:val="21"/>
                <w:szCs w:val="21"/>
              </w:rPr>
              <w:t xml:space="preserve">The open rows are the non-functional requirements (RBAC, audit, availability, reporting) and cannot be closed until the model boundary is agreed. max is second owner on the traceability table.</w:t>
            </w:r>
          </w:p>
        </w:tc>
      </w:tr>
      <w:tr>
        <w:tc>
          <w:tcPr>
            <w:tcW w:w="947" w:type="dxa"/>
            <w:vAlign w:val="top"/>
          </w:tcPr>
          <w:p>
            <w:pPr>
              <w:spacing w:before="20" w:after="20"/>
            </w:pPr>
            <w:r>
              <w:rPr>
                <w:sz w:val="21"/>
                <w:szCs w:val="21"/>
              </w:rPr>
              <w:t xml:space="preserve">peter</w:t>
            </w:r>
          </w:p>
        </w:tc>
        <w:tc>
          <w:tcPr>
            <w:tcW w:w="3311" w:type="dxa"/>
            <w:vAlign w:val="top"/>
          </w:tcPr>
          <w:p>
            <w:pPr>
              <w:spacing w:before="20" w:after="20"/>
            </w:pPr>
            <w:r>
              <w:rPr>
                <w:rFonts w:ascii="Consolas" w:hAnsi="Consolas"/>
                <w:sz w:val="21"/>
                <w:szCs w:val="21"/>
              </w:rPr>
              <w:t xml:space="preserve">S3-14</w:t>
            </w:r>
            <w:r>
              <w:rPr>
                <w:sz w:val="21"/>
                <w:szCs w:val="21"/>
              </w:rPr>
              <w:t xml:space="preserve"> revised criteria table with original wording retained; </w:t>
            </w:r>
            <w:r>
              <w:rPr>
                <w:rFonts w:ascii="Consolas" w:hAnsi="Consolas"/>
                <w:sz w:val="21"/>
                <w:szCs w:val="21"/>
              </w:rPr>
              <w:t xml:space="preserve">S3-16</w:t>
            </w:r>
            <w:r>
              <w:rPr>
                <w:sz w:val="21"/>
                <w:szCs w:val="21"/>
              </w:rPr>
              <w:t xml:space="preserve"> repeatable lint and audit export</w:t>
            </w:r>
          </w:p>
        </w:tc>
        <w:tc>
          <w:tcPr>
            <w:tcW w:w="2719" w:type="dxa"/>
            <w:vAlign w:val="top"/>
          </w:tcPr>
          <w:p>
            <w:pPr>
              <w:spacing w:before="20" w:after="20"/>
            </w:pPr>
            <w:r>
              <w:rPr>
                <w:sz w:val="21"/>
                <w:szCs w:val="21"/>
              </w:rPr>
              <w:t xml:space="preserve">Run the lint audit against the three strategic files and prepare the SR3 acceptance slide</w:t>
            </w:r>
          </w:p>
        </w:tc>
        <w:tc>
          <w:tcPr>
            <w:tcW w:w="2661" w:type="dxa"/>
            <w:vAlign w:val="top"/>
          </w:tcPr>
          <w:p>
            <w:pPr>
              <w:spacing w:before="20" w:after="20"/>
            </w:pPr>
            <w:r>
              <w:rPr>
                <w:sz w:val="21"/>
                <w:szCs w:val="21"/>
              </w:rPr>
              <w:t xml:space="preserve">One Camunda 8 error remains: a message boundary event without a subscription correlation key. Proposed as a Sprint 4 item rather than patched mid-sprint.</w:t>
            </w:r>
          </w:p>
        </w:tc>
      </w:tr>
    </w:tbl>
    <w:p>
      <w:pPr>
        <w:spacing w:after="0"/>
      </w:pPr>
    </w:p>
    <w:p>
      <w:r>
        <w:rPr>
          <w:b/>
        </w:rPr>
        <w:t xml:space="preserve">SU4 — scheduled 21 October 2026, 09:30</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2914"/>
        <w:gridCol w:w="2883"/>
        <w:gridCol w:w="2894"/>
      </w:tblGrid>
      <w:tr>
        <w:trPr>
          <w:tblHeader/>
        </w:trPr>
        <w:tc>
          <w:tcPr>
            <w:tcW w:w="947" w:type="dxa"/>
            <w:shd w:val="clear" w:fill="EDEDED"/>
            <w:vAlign w:val="top"/>
          </w:tcPr>
          <w:p>
            <w:pPr>
              <w:spacing w:before="20" w:after="20"/>
            </w:pPr>
            <w:r>
              <w:rPr>
                <w:b/>
                <w:sz w:val="21"/>
                <w:szCs w:val="21"/>
              </w:rPr>
              <w:t xml:space="preserve">Member</w:t>
            </w:r>
          </w:p>
        </w:tc>
        <w:tc>
          <w:tcPr>
            <w:tcW w:w="2914" w:type="dxa"/>
            <w:shd w:val="clear" w:fill="EDEDED"/>
            <w:vAlign w:val="top"/>
          </w:tcPr>
          <w:p>
            <w:pPr>
              <w:spacing w:before="20" w:after="20"/>
            </w:pPr>
            <w:r>
              <w:rPr>
                <w:b/>
                <w:sz w:val="21"/>
                <w:szCs w:val="21"/>
              </w:rPr>
              <w:t xml:space="preserve">Completed</w:t>
            </w:r>
          </w:p>
        </w:tc>
        <w:tc>
          <w:tcPr>
            <w:tcW w:w="2883" w:type="dxa"/>
            <w:shd w:val="clear" w:fill="EDEDED"/>
            <w:vAlign w:val="top"/>
          </w:tcPr>
          <w:p>
            <w:pPr>
              <w:spacing w:before="20" w:after="20"/>
            </w:pPr>
            <w:r>
              <w:rPr>
                <w:b/>
                <w:sz w:val="21"/>
                <w:szCs w:val="21"/>
              </w:rPr>
              <w:t xml:space="preserve">Next actions</w:t>
            </w:r>
          </w:p>
        </w:tc>
        <w:tc>
          <w:tcPr>
            <w:tcW w:w="2894" w:type="dxa"/>
            <w:shd w:val="clear" w:fill="EDEDED"/>
            <w:vAlign w:val="top"/>
          </w:tcPr>
          <w:p>
            <w:pPr>
              <w:spacing w:before="20" w:after="20"/>
            </w:pPr>
            <w:r>
              <w:rPr>
                <w:b/>
                <w:sz w:val="21"/>
                <w:szCs w:val="21"/>
              </w:rPr>
              <w:t xml:space="preserve">Blockers and handover</w:t>
            </w:r>
          </w:p>
        </w:tc>
      </w:tr>
      <w:tr>
        <w:tc>
          <w:tcPr>
            <w:tcW w:w="947" w:type="dxa"/>
            <w:vAlign w:val="top"/>
          </w:tcPr>
          <w:p>
            <w:pPr>
              <w:spacing w:before="20" w:after="20"/>
            </w:pPr>
            <w:r>
              <w:rPr>
                <w:sz w:val="21"/>
                <w:szCs w:val="21"/>
              </w:rPr>
              <w:t xml:space="preserve">max</w:t>
            </w:r>
          </w:p>
        </w:tc>
        <w:tc>
          <w:tcPr>
            <w:tcW w:w="2914" w:type="dxa"/>
            <w:vAlign w:val="top"/>
          </w:tcPr>
          <w:p>
            <w:pPr>
              <w:spacing w:before="20" w:after="20"/>
            </w:pPr>
            <w:r>
              <w:rPr>
                <w:rFonts w:ascii="Consolas" w:hAnsi="Consolas"/>
                <w:sz w:val="21"/>
                <w:szCs w:val="21"/>
              </w:rPr>
              <w:t xml:space="preserve">S4-05</w:t>
            </w:r>
            <w:r>
              <w:rPr>
                <w:sz w:val="21"/>
                <w:szCs w:val="21"/>
              </w:rPr>
              <w:t xml:space="preserve"> integration into the three-model family; </w:t>
            </w:r>
            <w:r>
              <w:rPr>
                <w:rFonts w:ascii="Consolas" w:hAnsi="Consolas"/>
                <w:sz w:val="21"/>
                <w:szCs w:val="21"/>
              </w:rPr>
              <w:t xml:space="preserve">S4-06</w:t>
            </w:r>
            <w:r>
              <w:rPr>
                <w:sz w:val="21"/>
                <w:szCs w:val="21"/>
              </w:rPr>
              <w:t xml:space="preserve"> message-flow register; </w:t>
            </w:r>
            <w:r>
              <w:rPr>
                <w:rFonts w:ascii="Consolas" w:hAnsi="Consolas"/>
                <w:sz w:val="21"/>
                <w:szCs w:val="21"/>
              </w:rPr>
              <w:t xml:space="preserve">S4-07</w:t>
            </w:r>
            <w:r>
              <w:rPr>
                <w:sz w:val="21"/>
                <w:szCs w:val="21"/>
              </w:rPr>
              <w:t xml:space="preserve"> correlation-key fix</w:t>
            </w:r>
          </w:p>
        </w:tc>
        <w:tc>
          <w:tcPr>
            <w:tcW w:w="2883" w:type="dxa"/>
            <w:vAlign w:val="top"/>
          </w:tcPr>
          <w:p>
            <w:pPr>
              <w:spacing w:before="20" w:after="20"/>
            </w:pPr>
            <w:r>
              <w:rPr>
                <w:sz w:val="21"/>
                <w:szCs w:val="21"/>
              </w:rPr>
              <w:t xml:space="preserve">Finish the abstraction note and produce the exports</w:t>
            </w:r>
          </w:p>
        </w:tc>
        <w:tc>
          <w:tcPr>
            <w:tcW w:w="2894" w:type="dxa"/>
            <w:vAlign w:val="top"/>
          </w:tcPr>
          <w:p>
            <w:pPr>
              <w:spacing w:before="20" w:after="20"/>
            </w:pPr>
            <w:r>
              <w:rPr>
                <w:sz w:val="21"/>
                <w:szCs w:val="21"/>
              </w:rPr>
              <w:t xml:space="preserve">The exports need peter's lint result before they are declared final. henry is second owner on the abstraction note.</w:t>
            </w:r>
          </w:p>
        </w:tc>
      </w:tr>
      <w:tr>
        <w:tc>
          <w:tcPr>
            <w:tcW w:w="947" w:type="dxa"/>
            <w:vAlign w:val="top"/>
          </w:tcPr>
          <w:p>
            <w:pPr>
              <w:spacing w:before="20" w:after="20"/>
            </w:pPr>
            <w:r>
              <w:rPr>
                <w:sz w:val="21"/>
                <w:szCs w:val="21"/>
              </w:rPr>
              <w:t xml:space="preserve">finn</w:t>
            </w:r>
          </w:p>
        </w:tc>
        <w:tc>
          <w:tcPr>
            <w:tcW w:w="2914" w:type="dxa"/>
            <w:vAlign w:val="top"/>
          </w:tcPr>
          <w:p>
            <w:pPr>
              <w:spacing w:before="20" w:after="20"/>
            </w:pPr>
            <w:r>
              <w:rPr>
                <w:rFonts w:ascii="Consolas" w:hAnsi="Consolas"/>
                <w:sz w:val="21"/>
                <w:szCs w:val="21"/>
              </w:rPr>
              <w:t xml:space="preserve">S4-12</w:t>
            </w:r>
            <w:r>
              <w:rPr>
                <w:sz w:val="21"/>
                <w:szCs w:val="21"/>
              </w:rPr>
              <w:t xml:space="preserve"> SD v1.0 (16 actors, 40 dependencies); </w:t>
            </w:r>
            <w:r>
              <w:rPr>
                <w:rFonts w:ascii="Consolas" w:hAnsi="Consolas"/>
                <w:sz w:val="21"/>
                <w:szCs w:val="21"/>
              </w:rPr>
              <w:t xml:space="preserve">S4-14</w:t>
            </w:r>
            <w:r>
              <w:rPr>
                <w:sz w:val="21"/>
                <w:szCs w:val="21"/>
              </w:rPr>
              <w:t xml:space="preserve"> soft goals with conflicts recorded; </w:t>
            </w:r>
            <w:r>
              <w:rPr>
                <w:rFonts w:ascii="Consolas" w:hAnsi="Consolas"/>
                <w:sz w:val="21"/>
                <w:szCs w:val="21"/>
              </w:rPr>
              <w:t xml:space="preserve">S4-15</w:t>
            </w:r>
            <w:r>
              <w:rPr>
                <w:sz w:val="21"/>
                <w:szCs w:val="21"/>
              </w:rPr>
              <w:t xml:space="preserve"> assumptions reconciled</w:t>
            </w:r>
          </w:p>
        </w:tc>
        <w:tc>
          <w:tcPr>
            <w:tcW w:w="2883" w:type="dxa"/>
            <w:vAlign w:val="top"/>
          </w:tcPr>
          <w:p>
            <w:pPr>
              <w:spacing w:before="20" w:after="20"/>
            </w:pPr>
            <w:r>
              <w:rPr>
                <w:sz w:val="21"/>
                <w:szCs w:val="21"/>
              </w:rPr>
              <w:t xml:space="preserve">Finish the SR coverage and co-sign the SD/SR consistency checklist</w:t>
            </w:r>
          </w:p>
        </w:tc>
        <w:tc>
          <w:tcPr>
            <w:tcW w:w="2894" w:type="dxa"/>
            <w:vAlign w:val="top"/>
          </w:tcPr>
          <w:p>
            <w:pPr>
              <w:spacing w:before="20" w:after="20"/>
            </w:pPr>
            <w:r>
              <w:rPr>
                <w:sz w:val="21"/>
                <w:szCs w:val="21"/>
              </w:rPr>
              <w:t xml:space="preserve">Dependency: the alignment evaluation needs the final SD element identifiers. henry is waiting on those.</w:t>
            </w:r>
          </w:p>
        </w:tc>
      </w:tr>
      <w:tr>
        <w:tc>
          <w:tcPr>
            <w:tcW w:w="947" w:type="dxa"/>
            <w:vAlign w:val="top"/>
          </w:tcPr>
          <w:p>
            <w:pPr>
              <w:spacing w:before="20" w:after="20"/>
            </w:pPr>
            <w:r>
              <w:rPr>
                <w:sz w:val="21"/>
                <w:szCs w:val="21"/>
              </w:rPr>
              <w:t xml:space="preserve">henry</w:t>
            </w:r>
          </w:p>
        </w:tc>
        <w:tc>
          <w:tcPr>
            <w:tcW w:w="2914" w:type="dxa"/>
            <w:vAlign w:val="top"/>
          </w:tcPr>
          <w:p>
            <w:pPr>
              <w:spacing w:before="20" w:after="20"/>
            </w:pPr>
            <w:r>
              <w:rPr>
                <w:rFonts w:ascii="Consolas" w:hAnsi="Consolas"/>
                <w:sz w:val="21"/>
                <w:szCs w:val="21"/>
              </w:rPr>
              <w:t xml:space="preserve">S4-16</w:t>
            </w:r>
            <w:r>
              <w:rPr>
                <w:sz w:val="21"/>
                <w:szCs w:val="21"/>
              </w:rPr>
              <w:t xml:space="preserve"> traceability complete: 44 identifiers, of which 28 fully supported, 12 partly, 2 not supported and 2 out of scope, each with a strategic activity and an implementation artefact; </w:t>
            </w:r>
            <w:r>
              <w:rPr>
                <w:rFonts w:ascii="Consolas" w:hAnsi="Consolas"/>
                <w:sz w:val="21"/>
                <w:szCs w:val="21"/>
              </w:rPr>
              <w:t xml:space="preserve">S4-17</w:t>
            </w:r>
            <w:r>
              <w:rPr>
                <w:sz w:val="21"/>
                <w:szCs w:val="21"/>
              </w:rPr>
              <w:t xml:space="preserve"> ten prioritised improvements; </w:t>
            </w:r>
            <w:r>
              <w:rPr>
                <w:rFonts w:ascii="Consolas" w:hAnsi="Consolas"/>
                <w:sz w:val="21"/>
                <w:szCs w:val="21"/>
              </w:rPr>
              <w:t xml:space="preserve">S4-21</w:t>
            </w:r>
            <w:r>
              <w:rPr>
                <w:sz w:val="21"/>
                <w:szCs w:val="21"/>
              </w:rPr>
              <w:t xml:space="preserve"> portfolio assembly started</w:t>
            </w:r>
          </w:p>
        </w:tc>
        <w:tc>
          <w:tcPr>
            <w:tcW w:w="2883" w:type="dxa"/>
            <w:vAlign w:val="top"/>
          </w:tcPr>
          <w:p>
            <w:pPr>
              <w:spacing w:before="20" w:after="20"/>
            </w:pPr>
            <w:r>
              <w:rPr>
                <w:sz w:val="21"/>
                <w:szCs w:val="21"/>
              </w:rPr>
              <w:t xml:space="preserve">Complete the alignment narrative, then run the hand-in check</w:t>
            </w:r>
          </w:p>
        </w:tc>
        <w:tc>
          <w:tcPr>
            <w:tcW w:w="2894" w:type="dxa"/>
            <w:vAlign w:val="top"/>
          </w:tcPr>
          <w:p>
            <w:pPr>
              <w:spacing w:before="20" w:after="20"/>
            </w:pPr>
            <w:r>
              <w:rPr>
                <w:sz w:val="21"/>
                <w:szCs w:val="21"/>
              </w:rPr>
              <w:t xml:space="preserve">Assembly needs the frozen i* PDFs and the final exports. max is second owner on the traceability table; peter holds the acceptance evidence.</w:t>
            </w:r>
          </w:p>
        </w:tc>
      </w:tr>
      <w:tr>
        <w:tc>
          <w:tcPr>
            <w:tcW w:w="947" w:type="dxa"/>
            <w:vAlign w:val="top"/>
          </w:tcPr>
          <w:p>
            <w:pPr>
              <w:spacing w:before="20" w:after="20"/>
            </w:pPr>
            <w:r>
              <w:rPr>
                <w:sz w:val="21"/>
                <w:szCs w:val="21"/>
              </w:rPr>
              <w:t xml:space="preserve">peter</w:t>
            </w:r>
          </w:p>
        </w:tc>
        <w:tc>
          <w:tcPr>
            <w:tcW w:w="2914" w:type="dxa"/>
            <w:vAlign w:val="top"/>
          </w:tcPr>
          <w:p>
            <w:pPr>
              <w:spacing w:before="20" w:after="20"/>
            </w:pPr>
            <w:r>
              <w:rPr>
                <w:rFonts w:ascii="Consolas" w:hAnsi="Consolas"/>
                <w:sz w:val="21"/>
                <w:szCs w:val="21"/>
              </w:rPr>
              <w:t xml:space="preserve">S4-08</w:t>
            </w:r>
            <w:r>
              <w:rPr>
                <w:sz w:val="21"/>
                <w:szCs w:val="21"/>
              </w:rPr>
              <w:t xml:space="preserve"> deployment and re-validation; </w:t>
            </w:r>
            <w:r>
              <w:rPr>
                <w:rFonts w:ascii="Consolas" w:hAnsi="Consolas"/>
                <w:sz w:val="21"/>
                <w:szCs w:val="21"/>
              </w:rPr>
              <w:t xml:space="preserve">S4-19</w:t>
            </w:r>
            <w:r>
              <w:rPr>
                <w:sz w:val="21"/>
                <w:szCs w:val="21"/>
              </w:rPr>
              <w:t xml:space="preserve"> execution of the acceptance cases</w:t>
            </w:r>
          </w:p>
        </w:tc>
        <w:tc>
          <w:tcPr>
            <w:tcW w:w="2883" w:type="dxa"/>
            <w:vAlign w:val="top"/>
          </w:tcPr>
          <w:p>
            <w:pPr>
              <w:spacing w:before="20" w:after="20"/>
            </w:pPr>
            <w:r>
              <w:rPr>
                <w:sz w:val="21"/>
                <w:szCs w:val="21"/>
              </w:rPr>
              <w:t xml:space="preserve">Complete the criteria quality check and the change log, then the hand-in check</w:t>
            </w:r>
          </w:p>
        </w:tc>
        <w:tc>
          <w:tcPr>
            <w:tcW w:w="2894" w:type="dxa"/>
            <w:vAlign w:val="top"/>
          </w:tcPr>
          <w:p>
            <w:pPr>
              <w:spacing w:before="20" w:after="20"/>
            </w:pPr>
            <w:r>
              <w:rPr>
                <w:sz w:val="21"/>
                <w:szCs w:val="21"/>
              </w:rPr>
              <w:t xml:space="preserve">Blocker resolved: deployment found and fixed three XSD sequence violations and the form-binding defect. finn is second owner on the test evidence.</w:t>
            </w:r>
          </w:p>
        </w:tc>
      </w:tr>
    </w:tbl>
    <w:p>
      <w:pPr>
        <w:spacing w:after="0"/>
      </w:pPr>
    </w:p>
    <w:p>
      <w:pPr>
        <w:pStyle w:val="Heading2"/>
        <w:keepNext/>
      </w:pPr>
      <w:r>
        <w:t xml:space="preserve">5. Feedback action log</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69"/>
        <w:gridCol w:w="2752"/>
        <w:gridCol w:w="2752"/>
        <w:gridCol w:w="907"/>
        <w:gridCol w:w="2758"/>
      </w:tblGrid>
      <w:tr>
        <w:trPr>
          <w:tblHeader/>
        </w:trPr>
        <w:tc>
          <w:tcPr>
            <w:tcW w:w="469" w:type="dxa"/>
            <w:shd w:val="clear" w:fill="EDEDED"/>
            <w:vAlign w:val="top"/>
          </w:tcPr>
          <w:p>
            <w:pPr>
              <w:spacing w:before="20" w:after="20"/>
            </w:pPr>
            <w:r>
              <w:rPr>
                <w:b/>
                <w:sz w:val="21"/>
                <w:szCs w:val="21"/>
              </w:rPr>
              <w:t xml:space="preserve">ID</w:t>
            </w:r>
          </w:p>
        </w:tc>
        <w:tc>
          <w:tcPr>
            <w:tcW w:w="2752" w:type="dxa"/>
            <w:shd w:val="clear" w:fill="EDEDED"/>
            <w:vAlign w:val="top"/>
          </w:tcPr>
          <w:p>
            <w:pPr>
              <w:spacing w:before="20" w:after="20"/>
            </w:pPr>
            <w:r>
              <w:rPr>
                <w:b/>
                <w:sz w:val="21"/>
                <w:szCs w:val="21"/>
              </w:rPr>
              <w:t xml:space="preserve">Point raised</w:t>
            </w:r>
          </w:p>
        </w:tc>
        <w:tc>
          <w:tcPr>
            <w:tcW w:w="2752" w:type="dxa"/>
            <w:shd w:val="clear" w:fill="EDEDED"/>
            <w:vAlign w:val="top"/>
          </w:tcPr>
          <w:p>
            <w:pPr>
              <w:spacing w:before="20" w:after="20"/>
            </w:pPr>
            <w:r>
              <w:rPr>
                <w:b/>
                <w:sz w:val="21"/>
                <w:szCs w:val="21"/>
              </w:rPr>
              <w:t xml:space="preserve">Agreed response</w:t>
            </w:r>
          </w:p>
        </w:tc>
        <w:tc>
          <w:tcPr>
            <w:tcW w:w="907" w:type="dxa"/>
            <w:shd w:val="clear" w:fill="EDEDED"/>
            <w:vAlign w:val="top"/>
          </w:tcPr>
          <w:p>
            <w:pPr>
              <w:spacing w:before="20" w:after="20"/>
            </w:pPr>
            <w:r>
              <w:rPr>
                <w:b/>
                <w:sz w:val="21"/>
                <w:szCs w:val="21"/>
              </w:rPr>
              <w:t xml:space="preserve">Owner (1st / 2nd)</w:t>
            </w:r>
          </w:p>
        </w:tc>
        <w:tc>
          <w:tcPr>
            <w:tcW w:w="2758" w:type="dxa"/>
            <w:shd w:val="clear" w:fill="EDEDED"/>
            <w:vAlign w:val="top"/>
          </w:tcPr>
          <w:p>
            <w:pPr>
              <w:spacing w:before="20" w:after="20"/>
            </w:pPr>
            <w:r>
              <w:rPr>
                <w:b/>
                <w:sz w:val="21"/>
                <w:szCs w:val="21"/>
              </w:rPr>
              <w:t xml:space="preserve">Status</w:t>
            </w:r>
          </w:p>
        </w:tc>
      </w:tr>
      <w:tr>
        <w:tc>
          <w:tcPr>
            <w:tcW w:w="469" w:type="dxa"/>
            <w:vAlign w:val="top"/>
          </w:tcPr>
          <w:p>
            <w:pPr>
              <w:spacing w:before="20" w:after="20"/>
            </w:pPr>
            <w:r>
              <w:rPr>
                <w:sz w:val="21"/>
                <w:szCs w:val="21"/>
              </w:rPr>
              <w:t xml:space="preserve">FB-01</w:t>
            </w:r>
          </w:p>
        </w:tc>
        <w:tc>
          <w:tcPr>
            <w:tcW w:w="2752" w:type="dxa"/>
            <w:vAlign w:val="top"/>
          </w:tcPr>
          <w:p>
            <w:pPr>
              <w:spacing w:before="20" w:after="20"/>
            </w:pPr>
            <w:r>
              <w:rPr>
                <w:sz w:val="21"/>
                <w:szCs w:val="21"/>
              </w:rPr>
              <w:t xml:space="preserve">SR2: the booking model does not show an unavailable external service</w:t>
            </w:r>
          </w:p>
        </w:tc>
        <w:tc>
          <w:tcPr>
            <w:tcW w:w="2752" w:type="dxa"/>
            <w:vAlign w:val="top"/>
          </w:tcPr>
          <w:p>
            <w:pPr>
              <w:spacing w:before="20" w:after="20"/>
            </w:pPr>
            <w:r>
              <w:rPr>
                <w:sz w:val="21"/>
                <w:szCs w:val="21"/>
              </w:rPr>
              <w:t xml:space="preserve">Add the pending-booking path with a recorded retry</w:t>
            </w:r>
          </w:p>
        </w:tc>
        <w:tc>
          <w:tcPr>
            <w:tcW w:w="907" w:type="dxa"/>
            <w:vAlign w:val="top"/>
          </w:tcPr>
          <w:p>
            <w:pPr>
              <w:spacing w:before="20" w:after="20"/>
            </w:pPr>
            <w:r>
              <w:rPr>
                <w:sz w:val="21"/>
                <w:szCs w:val="21"/>
              </w:rPr>
              <w:t xml:space="preserve">max / finn</w:t>
            </w:r>
          </w:p>
        </w:tc>
        <w:tc>
          <w:tcPr>
            <w:tcW w:w="2758" w:type="dxa"/>
            <w:vAlign w:val="top"/>
          </w:tcPr>
          <w:p>
            <w:pPr>
              <w:spacing w:before="20" w:after="20"/>
            </w:pPr>
            <w:r>
              <w:rPr>
                <w:sz w:val="21"/>
                <w:szCs w:val="21"/>
              </w:rPr>
              <w:t xml:space="preserve">Implemented (</w:t>
            </w:r>
            <w:r>
              <w:rPr>
                <w:rFonts w:ascii="Consolas" w:hAnsi="Consolas"/>
                <w:sz w:val="21"/>
                <w:szCs w:val="21"/>
              </w:rPr>
              <w:t xml:space="preserve">T_KeepPending</w:t>
            </w:r>
            <w:r>
              <w:rPr>
                <w:sz w:val="21"/>
                <w:szCs w:val="21"/>
              </w:rPr>
              <w:t xml:space="preserve">)</w:t>
            </w:r>
          </w:p>
        </w:tc>
      </w:tr>
      <w:tr>
        <w:tc>
          <w:tcPr>
            <w:tcW w:w="469" w:type="dxa"/>
            <w:vAlign w:val="top"/>
          </w:tcPr>
          <w:p>
            <w:pPr>
              <w:spacing w:before="20" w:after="20"/>
            </w:pPr>
            <w:r>
              <w:rPr>
                <w:sz w:val="21"/>
                <w:szCs w:val="21"/>
              </w:rPr>
              <w:t xml:space="preserve">FB-02</w:t>
            </w:r>
          </w:p>
        </w:tc>
        <w:tc>
          <w:tcPr>
            <w:tcW w:w="2752" w:type="dxa"/>
            <w:vAlign w:val="top"/>
          </w:tcPr>
          <w:p>
            <w:pPr>
              <w:spacing w:before="20" w:after="20"/>
            </w:pPr>
            <w:r>
              <w:rPr>
                <w:sz w:val="21"/>
                <w:szCs w:val="21"/>
              </w:rPr>
              <w:t xml:space="preserve">SR2: acceptance criteria must be measurable</w:t>
            </w:r>
          </w:p>
        </w:tc>
        <w:tc>
          <w:tcPr>
            <w:tcW w:w="2752" w:type="dxa"/>
            <w:vAlign w:val="top"/>
          </w:tcPr>
          <w:p>
            <w:pPr>
              <w:spacing w:before="20" w:after="20"/>
            </w:pPr>
            <w:r>
              <w:rPr>
                <w:sz w:val="21"/>
                <w:szCs w:val="21"/>
              </w:rPr>
              <w:t xml:space="preserve">Rewrite with a measurement method; retain the original wording</w:t>
            </w:r>
          </w:p>
        </w:tc>
        <w:tc>
          <w:tcPr>
            <w:tcW w:w="907" w:type="dxa"/>
            <w:vAlign w:val="top"/>
          </w:tcPr>
          <w:p>
            <w:pPr>
              <w:spacing w:before="20" w:after="20"/>
            </w:pPr>
            <w:r>
              <w:rPr>
                <w:sz w:val="21"/>
                <w:szCs w:val="21"/>
              </w:rPr>
              <w:t xml:space="preserve">peter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FB-03</w:t>
            </w:r>
          </w:p>
        </w:tc>
        <w:tc>
          <w:tcPr>
            <w:tcW w:w="2752" w:type="dxa"/>
            <w:vAlign w:val="top"/>
          </w:tcPr>
          <w:p>
            <w:pPr>
              <w:spacing w:before="20" w:after="20"/>
            </w:pPr>
            <w:r>
              <w:rPr>
                <w:sz w:val="21"/>
                <w:szCs w:val="21"/>
              </w:rPr>
              <w:t xml:space="preserve">SR2: the repository has no review rule</w:t>
            </w:r>
          </w:p>
        </w:tc>
        <w:tc>
          <w:tcPr>
            <w:tcW w:w="2752" w:type="dxa"/>
            <w:vAlign w:val="top"/>
          </w:tcPr>
          <w:p>
            <w:pPr>
              <w:spacing w:before="20" w:after="20"/>
            </w:pPr>
            <w:r>
              <w:rPr>
                <w:sz w:val="21"/>
                <w:szCs w:val="21"/>
              </w:rPr>
              <w:t xml:space="preserve">Protect the main branch and record contribution evidence</w:t>
            </w:r>
          </w:p>
        </w:tc>
        <w:tc>
          <w:tcPr>
            <w:tcW w:w="907" w:type="dxa"/>
            <w:vAlign w:val="top"/>
          </w:tcPr>
          <w:p>
            <w:pPr>
              <w:spacing w:before="20" w:after="20"/>
            </w:pPr>
            <w:r>
              <w:rPr>
                <w:sz w:val="21"/>
                <w:szCs w:val="21"/>
              </w:rPr>
              <w:t xml:space="preserve">henry / max</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FB-04</w:t>
            </w:r>
          </w:p>
        </w:tc>
        <w:tc>
          <w:tcPr>
            <w:tcW w:w="2752" w:type="dxa"/>
            <w:vAlign w:val="top"/>
          </w:tcPr>
          <w:p>
            <w:pPr>
              <w:spacing w:before="20" w:after="20"/>
            </w:pPr>
            <w:r>
              <w:rPr>
                <w:sz w:val="21"/>
                <w:szCs w:val="21"/>
              </w:rPr>
              <w:t xml:space="preserve">SR2: presentation claims must be supported by the case study</w:t>
            </w:r>
          </w:p>
        </w:tc>
        <w:tc>
          <w:tcPr>
            <w:tcW w:w="2752" w:type="dxa"/>
            <w:vAlign w:val="top"/>
          </w:tcPr>
          <w:p>
            <w:pPr>
              <w:spacing w:before="20" w:after="20"/>
            </w:pPr>
            <w:r>
              <w:rPr>
                <w:sz w:val="21"/>
                <w:szCs w:val="21"/>
              </w:rPr>
              <w:t xml:space="preserve">Add a source column to the assumptions and re-check the requirement list</w:t>
            </w:r>
          </w:p>
        </w:tc>
        <w:tc>
          <w:tcPr>
            <w:tcW w:w="907" w:type="dxa"/>
            <w:vAlign w:val="top"/>
          </w:tcPr>
          <w:p>
            <w:pPr>
              <w:spacing w:before="20" w:after="20"/>
            </w:pPr>
            <w:r>
              <w:rPr>
                <w:sz w:val="21"/>
                <w:szCs w:val="21"/>
              </w:rPr>
              <w:t xml:space="preserve">henry / peter</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FB-05</w:t>
            </w:r>
          </w:p>
        </w:tc>
        <w:tc>
          <w:tcPr>
            <w:tcW w:w="2752" w:type="dxa"/>
            <w:vAlign w:val="top"/>
          </w:tcPr>
          <w:p>
            <w:pPr>
              <w:spacing w:before="20" w:after="20"/>
            </w:pPr>
            <w:r>
              <w:rPr>
                <w:sz w:val="21"/>
                <w:szCs w:val="21"/>
              </w:rPr>
              <w:t xml:space="preserve">SR3: the SR model must be defensible branch by branch</w:t>
            </w:r>
          </w:p>
        </w:tc>
        <w:tc>
          <w:tcPr>
            <w:tcW w:w="2752" w:type="dxa"/>
            <w:vAlign w:val="top"/>
          </w:tcPr>
          <w:p>
            <w:pPr>
              <w:spacing w:before="20" w:after="20"/>
            </w:pPr>
            <w:r>
              <w:rPr>
                <w:sz w:val="21"/>
                <w:szCs w:val="21"/>
              </w:rPr>
              <w:t xml:space="preserve">Complete the SR coverage; model the unsupported urgency branch as a soft goal rather than a rule</w:t>
            </w:r>
          </w:p>
        </w:tc>
        <w:tc>
          <w:tcPr>
            <w:tcW w:w="907" w:type="dxa"/>
            <w:vAlign w:val="top"/>
          </w:tcPr>
          <w:p>
            <w:pPr>
              <w:spacing w:before="20" w:after="20"/>
            </w:pPr>
            <w:r>
              <w:rPr>
                <w:sz w:val="21"/>
                <w:szCs w:val="21"/>
              </w:rPr>
              <w:t xml:space="preserve">finn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FB-06</w:t>
            </w:r>
          </w:p>
        </w:tc>
        <w:tc>
          <w:tcPr>
            <w:tcW w:w="2752" w:type="dxa"/>
            <w:vAlign w:val="top"/>
          </w:tcPr>
          <w:p>
            <w:pPr>
              <w:spacing w:before="20" w:after="20"/>
            </w:pPr>
            <w:r>
              <w:rPr>
                <w:sz w:val="21"/>
                <w:szCs w:val="21"/>
              </w:rPr>
              <w:t xml:space="preserve">SR3: prove the criteria are measurable</w:t>
            </w:r>
          </w:p>
        </w:tc>
        <w:tc>
          <w:tcPr>
            <w:tcW w:w="2752" w:type="dxa"/>
            <w:vAlign w:val="top"/>
          </w:tcPr>
          <w:p>
            <w:pPr>
              <w:spacing w:before="20" w:after="20"/>
            </w:pPr>
            <w:r>
              <w:rPr>
                <w:sz w:val="21"/>
                <w:szCs w:val="21"/>
              </w:rPr>
              <w:t xml:space="preserve">Add a measurement method and a coverage map</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FB-07</w:t>
            </w:r>
          </w:p>
        </w:tc>
        <w:tc>
          <w:tcPr>
            <w:tcW w:w="2752" w:type="dxa"/>
            <w:vAlign w:val="top"/>
          </w:tcPr>
          <w:p>
            <w:pPr>
              <w:spacing w:before="20" w:after="20"/>
            </w:pPr>
            <w:r>
              <w:rPr>
                <w:sz w:val="21"/>
                <w:szCs w:val="21"/>
              </w:rPr>
              <w:t xml:space="preserve">SR3: pool names do not match the process names</w:t>
            </w:r>
          </w:p>
        </w:tc>
        <w:tc>
          <w:tcPr>
            <w:tcW w:w="2752" w:type="dxa"/>
            <w:vAlign w:val="top"/>
          </w:tcPr>
          <w:p>
            <w:pPr>
              <w:spacing w:before="20" w:after="20"/>
            </w:pPr>
            <w:r>
              <w:rPr>
                <w:sz w:val="21"/>
                <w:szCs w:val="21"/>
              </w:rPr>
              <w:t xml:space="preserve">Rebuild as one model family with a single participant register</w:t>
            </w:r>
          </w:p>
        </w:tc>
        <w:tc>
          <w:tcPr>
            <w:tcW w:w="907" w:type="dxa"/>
            <w:vAlign w:val="top"/>
          </w:tcPr>
          <w:p>
            <w:pPr>
              <w:spacing w:before="20" w:after="20"/>
            </w:pPr>
            <w:r>
              <w:rPr>
                <w:sz w:val="21"/>
                <w:szCs w:val="21"/>
              </w:rPr>
              <w:t xml:space="preserve">max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FB-08</w:t>
            </w:r>
          </w:p>
        </w:tc>
        <w:tc>
          <w:tcPr>
            <w:tcW w:w="2752" w:type="dxa"/>
            <w:vAlign w:val="top"/>
          </w:tcPr>
          <w:p>
            <w:pPr>
              <w:spacing w:before="20" w:after="20"/>
            </w:pPr>
            <w:r>
              <w:rPr>
                <w:sz w:val="21"/>
                <w:szCs w:val="21"/>
              </w:rPr>
              <w:t xml:space="preserve">SR3: show evidence that the original defects are gone</w:t>
            </w:r>
          </w:p>
        </w:tc>
        <w:tc>
          <w:tcPr>
            <w:tcW w:w="2752" w:type="dxa"/>
            <w:vAlign w:val="top"/>
          </w:tcPr>
          <w:p>
            <w:pPr>
              <w:spacing w:before="20" w:after="20"/>
            </w:pPr>
            <w:r>
              <w:rPr>
                <w:sz w:val="21"/>
                <w:szCs w:val="21"/>
              </w:rPr>
              <w:t xml:space="preserve">Publish a before/after validation and deployment comparison</w:t>
            </w:r>
          </w:p>
        </w:tc>
        <w:tc>
          <w:tcPr>
            <w:tcW w:w="907" w:type="dxa"/>
            <w:vAlign w:val="top"/>
          </w:tcPr>
          <w:p>
            <w:pPr>
              <w:spacing w:before="20" w:after="20"/>
            </w:pPr>
            <w:r>
              <w:rPr>
                <w:sz w:val="21"/>
                <w:szCs w:val="21"/>
              </w:rPr>
              <w:t xml:space="preserve">peter / max</w:t>
            </w:r>
          </w:p>
        </w:tc>
        <w:tc>
          <w:tcPr>
            <w:tcW w:w="2758" w:type="dxa"/>
            <w:vAlign w:val="top"/>
          </w:tcPr>
          <w:p>
            <w:pPr>
              <w:spacing w:before="20" w:after="20"/>
            </w:pPr>
            <w:r>
              <w:rPr>
                <w:sz w:val="21"/>
                <w:szCs w:val="21"/>
              </w:rPr>
              <w:t xml:space="preserve">Implemented (Appendix B)</w:t>
            </w:r>
          </w:p>
        </w:tc>
      </w:tr>
      <w:tr>
        <w:tc>
          <w:tcPr>
            <w:tcW w:w="469" w:type="dxa"/>
            <w:vAlign w:val="top"/>
          </w:tcPr>
          <w:p>
            <w:pPr>
              <w:spacing w:before="20" w:after="20"/>
            </w:pPr>
            <w:r>
              <w:rPr>
                <w:sz w:val="21"/>
                <w:szCs w:val="21"/>
              </w:rPr>
              <w:t xml:space="preserve">FB-09</w:t>
            </w:r>
          </w:p>
        </w:tc>
        <w:tc>
          <w:tcPr>
            <w:tcW w:w="2752" w:type="dxa"/>
            <w:vAlign w:val="top"/>
          </w:tcPr>
          <w:p>
            <w:pPr>
              <w:spacing w:before="20" w:after="20"/>
            </w:pPr>
            <w:r>
              <w:rPr>
                <w:sz w:val="21"/>
                <w:szCs w:val="21"/>
              </w:rPr>
              <w:t xml:space="preserve">SR3: the i* work must not be presented as informing the original design</w:t>
            </w:r>
          </w:p>
        </w:tc>
        <w:tc>
          <w:tcPr>
            <w:tcW w:w="2752" w:type="dxa"/>
            <w:vAlign w:val="top"/>
          </w:tcPr>
          <w:p>
            <w:pPr>
              <w:spacing w:before="20" w:after="20"/>
            </w:pPr>
            <w:r>
              <w:rPr>
                <w:sz w:val="21"/>
                <w:szCs w:val="21"/>
              </w:rPr>
              <w:t xml:space="preserve">State the timeline wherever the i* models are used</w:t>
            </w:r>
          </w:p>
        </w:tc>
        <w:tc>
          <w:tcPr>
            <w:tcW w:w="907" w:type="dxa"/>
            <w:vAlign w:val="top"/>
          </w:tcPr>
          <w:p>
            <w:pPr>
              <w:spacing w:before="20" w:after="20"/>
            </w:pPr>
            <w:r>
              <w:rPr>
                <w:sz w:val="21"/>
                <w:szCs w:val="21"/>
              </w:rPr>
              <w:t xml:space="preserve">finn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FB-10</w:t>
            </w:r>
          </w:p>
        </w:tc>
        <w:tc>
          <w:tcPr>
            <w:tcW w:w="2752" w:type="dxa"/>
            <w:vAlign w:val="top"/>
          </w:tcPr>
          <w:p>
            <w:pPr>
              <w:spacing w:before="20" w:after="20"/>
            </w:pPr>
            <w:r>
              <w:rPr>
                <w:sz w:val="21"/>
                <w:szCs w:val="21"/>
              </w:rPr>
              <w:t xml:space="preserve">SR3: agree the urgency classification rules</w:t>
            </w:r>
          </w:p>
        </w:tc>
        <w:tc>
          <w:tcPr>
            <w:tcW w:w="2752" w:type="dxa"/>
            <w:vAlign w:val="top"/>
          </w:tcPr>
          <w:p>
            <w:pPr>
              <w:spacing w:before="20" w:after="20"/>
            </w:pPr>
            <w:r>
              <w:rPr>
                <w:sz w:val="21"/>
                <w:szCs w:val="21"/>
              </w:rPr>
              <w:t xml:space="preserve">Obtain the rule from the module team and model the escalation</w:t>
            </w:r>
          </w:p>
        </w:tc>
        <w:tc>
          <w:tcPr>
            <w:tcW w:w="907" w:type="dxa"/>
            <w:vAlign w:val="top"/>
          </w:tcPr>
          <w:p>
            <w:pPr>
              <w:spacing w:before="20" w:after="20"/>
            </w:pPr>
            <w:r>
              <w:rPr>
                <w:sz w:val="21"/>
                <w:szCs w:val="21"/>
              </w:rPr>
              <w:t xml:space="preserve">henry / finn</w:t>
            </w:r>
          </w:p>
        </w:tc>
        <w:tc>
          <w:tcPr>
            <w:tcW w:w="2758" w:type="dxa"/>
            <w:vAlign w:val="top"/>
          </w:tcPr>
          <w:p>
            <w:pPr>
              <w:spacing w:before="20" w:after="20"/>
            </w:pPr>
            <w:r>
              <w:rPr>
                <w:b/>
                <w:sz w:val="21"/>
                <w:szCs w:val="21"/>
              </w:rPr>
              <w:t xml:space="preserve">Not implemented.</w:t>
            </w:r>
            <w:r>
              <w:rPr>
                <w:sz w:val="21"/>
                <w:szCs w:val="21"/>
              </w:rPr>
              <w:t xml:space="preserve"> The hospital has not agreed a complete set of urgency rules (case study, enquiries paragraph) and the module team confirmed none would be issued before hand-in. </w:t>
            </w:r>
            <w:r>
              <w:rPr>
                <w:i/>
                <w:sz w:val="21"/>
                <w:szCs w:val="21"/>
              </w:rPr>
              <w:t xml:space="preserve">Implication:</w:t>
            </w:r>
            <w:r>
              <w:rPr>
                <w:sz w:val="21"/>
                <w:szCs w:val="21"/>
              </w:rPr>
              <w:t xml:space="preserve"> urgency remains discretionary, so the urgent-enquiry path is a soft goal rather than a rule, and an urgency-rules decision is a second-release Must.</w:t>
            </w:r>
          </w:p>
        </w:tc>
      </w:tr>
      <w:tr>
        <w:tc>
          <w:tcPr>
            <w:tcW w:w="469" w:type="dxa"/>
            <w:vAlign w:val="top"/>
          </w:tcPr>
          <w:p>
            <w:pPr>
              <w:spacing w:before="20" w:after="20"/>
            </w:pPr>
            <w:r>
              <w:rPr>
                <w:sz w:val="21"/>
                <w:szCs w:val="21"/>
              </w:rPr>
              <w:t xml:space="preserve">FB-11</w:t>
            </w:r>
          </w:p>
        </w:tc>
        <w:tc>
          <w:tcPr>
            <w:tcW w:w="2752" w:type="dxa"/>
            <w:vAlign w:val="top"/>
          </w:tcPr>
          <w:p>
            <w:pPr>
              <w:spacing w:before="20" w:after="20"/>
            </w:pPr>
            <w:r>
              <w:rPr>
                <w:sz w:val="21"/>
                <w:szCs w:val="21"/>
              </w:rPr>
              <w:t xml:space="preserve">SR3: add automated RBAC regression tests</w:t>
            </w:r>
          </w:p>
        </w:tc>
        <w:tc>
          <w:tcPr>
            <w:tcW w:w="2752" w:type="dxa"/>
            <w:vAlign w:val="top"/>
          </w:tcPr>
          <w:p>
            <w:pPr>
              <w:spacing w:before="20" w:after="20"/>
            </w:pPr>
            <w:r>
              <w:rPr>
                <w:sz w:val="21"/>
                <w:szCs w:val="21"/>
              </w:rPr>
              <w:t xml:space="preserve">Automate the role-access and audit checks</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b/>
                <w:sz w:val="21"/>
                <w:szCs w:val="21"/>
              </w:rPr>
              <w:t xml:space="preserve">Not implemented.</w:t>
            </w:r>
            <w:r>
              <w:rPr>
                <w:sz w:val="21"/>
                <w:szCs w:val="21"/>
              </w:rPr>
              <w:t xml:space="preserve"> Sprint 4 had no capacity once the deployment defects and both evaluations were re-scoped. </w:t>
            </w:r>
            <w:r>
              <w:rPr>
                <w:i/>
                <w:sz w:val="21"/>
                <w:szCs w:val="21"/>
              </w:rPr>
              <w:t xml:space="preserve">Implication:</w:t>
            </w:r>
            <w:r>
              <w:rPr>
                <w:sz w:val="21"/>
                <w:szCs w:val="21"/>
              </w:rPr>
              <w:t xml:space="preserve"> RBAC and audit immutability are evidenced by design inspection only, and a regression suite is a second-release Should.</w:t>
            </w:r>
          </w:p>
        </w:tc>
      </w:tr>
      <w:tr>
        <w:tc>
          <w:tcPr>
            <w:tcW w:w="469" w:type="dxa"/>
            <w:vAlign w:val="top"/>
          </w:tcPr>
          <w:p>
            <w:pPr>
              <w:spacing w:before="20" w:after="20"/>
            </w:pPr>
            <w:r>
              <w:rPr>
                <w:sz w:val="21"/>
                <w:szCs w:val="21"/>
              </w:rPr>
              <w:t xml:space="preserve">FB-12</w:t>
            </w:r>
          </w:p>
        </w:tc>
        <w:tc>
          <w:tcPr>
            <w:tcW w:w="2752" w:type="dxa"/>
            <w:vAlign w:val="top"/>
          </w:tcPr>
          <w:p>
            <w:pPr>
              <w:spacing w:before="20" w:after="20"/>
            </w:pPr>
            <w:r>
              <w:rPr>
                <w:sz w:val="21"/>
                <w:szCs w:val="21"/>
              </w:rPr>
              <w:t xml:space="preserve">SR4: show the operational task identifier in the traceability row</w:t>
            </w:r>
          </w:p>
        </w:tc>
        <w:tc>
          <w:tcPr>
            <w:tcW w:w="2752" w:type="dxa"/>
            <w:vAlign w:val="top"/>
          </w:tcPr>
          <w:p>
            <w:pPr>
              <w:spacing w:before="20" w:after="20"/>
            </w:pPr>
            <w:r>
              <w:rPr>
                <w:sz w:val="21"/>
                <w:szCs w:val="21"/>
              </w:rPr>
              <w:t xml:space="preserve">Combine the strategic and operational columns</w:t>
            </w:r>
          </w:p>
        </w:tc>
        <w:tc>
          <w:tcPr>
            <w:tcW w:w="907" w:type="dxa"/>
            <w:vAlign w:val="top"/>
          </w:tcPr>
          <w:p>
            <w:pPr>
              <w:spacing w:before="20" w:after="20"/>
            </w:pPr>
            <w:r>
              <w:rPr>
                <w:sz w:val="21"/>
                <w:szCs w:val="21"/>
              </w:rPr>
              <w:t xml:space="preserve">henry / max</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FB-13</w:t>
            </w:r>
          </w:p>
        </w:tc>
        <w:tc>
          <w:tcPr>
            <w:tcW w:w="2752" w:type="dxa"/>
            <w:vAlign w:val="top"/>
          </w:tcPr>
          <w:p>
            <w:pPr>
              <w:spacing w:before="20" w:after="20"/>
            </w:pPr>
            <w:r>
              <w:rPr>
                <w:sz w:val="21"/>
                <w:szCs w:val="21"/>
              </w:rPr>
              <w:t xml:space="preserve">SR4: give a recommendation against each reported failure</w:t>
            </w:r>
          </w:p>
        </w:tc>
        <w:tc>
          <w:tcPr>
            <w:tcW w:w="2752" w:type="dxa"/>
            <w:vAlign w:val="top"/>
          </w:tcPr>
          <w:p>
            <w:pPr>
              <w:spacing w:before="20" w:after="20"/>
            </w:pPr>
            <w:r>
              <w:rPr>
                <w:sz w:val="21"/>
                <w:szCs w:val="21"/>
              </w:rPr>
              <w:t xml:space="preserve">Add a recommendation per failure</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FB-14</w:t>
            </w:r>
          </w:p>
        </w:tc>
        <w:tc>
          <w:tcPr>
            <w:tcW w:w="2752" w:type="dxa"/>
            <w:vAlign w:val="top"/>
          </w:tcPr>
          <w:p>
            <w:pPr>
              <w:spacing w:before="20" w:after="20"/>
            </w:pPr>
            <w:r>
              <w:rPr>
                <w:sz w:val="21"/>
                <w:szCs w:val="21"/>
              </w:rPr>
              <w:t xml:space="preserve">SR4: unimplemented actions are acceptable if the reason is recorded</w:t>
            </w:r>
          </w:p>
        </w:tc>
        <w:tc>
          <w:tcPr>
            <w:tcW w:w="2752" w:type="dxa"/>
            <w:vAlign w:val="top"/>
          </w:tcPr>
          <w:p>
            <w:pPr>
              <w:spacing w:before="20" w:after="20"/>
            </w:pPr>
            <w:r>
              <w:rPr>
                <w:sz w:val="21"/>
                <w:szCs w:val="21"/>
              </w:rPr>
              <w:t xml:space="preserve">Record the reason and the outstanding implication</w:t>
            </w:r>
          </w:p>
        </w:tc>
        <w:tc>
          <w:tcPr>
            <w:tcW w:w="907" w:type="dxa"/>
            <w:vAlign w:val="top"/>
          </w:tcPr>
          <w:p>
            <w:pPr>
              <w:spacing w:before="20" w:after="20"/>
            </w:pPr>
            <w:r>
              <w:rPr>
                <w:sz w:val="21"/>
                <w:szCs w:val="21"/>
              </w:rPr>
              <w:t xml:space="preserve">henry / all</w:t>
            </w:r>
          </w:p>
        </w:tc>
        <w:tc>
          <w:tcPr>
            <w:tcW w:w="2758" w:type="dxa"/>
            <w:vAlign w:val="top"/>
          </w:tcPr>
          <w:p>
            <w:pPr>
              <w:spacing w:before="20" w:after="20"/>
            </w:pPr>
            <w:r>
              <w:rPr>
                <w:sz w:val="21"/>
                <w:szCs w:val="21"/>
              </w:rPr>
              <w:t xml:space="preserve">Implemented (see FB-10, FB-11)</w:t>
            </w:r>
          </w:p>
        </w:tc>
      </w:tr>
    </w:tbl>
    <w:p>
      <w:pPr>
        <w:spacing w:after="0"/>
      </w:pPr>
    </w:p>
    <w:p>
      <w:pPr>
        <w:pStyle w:val="Heading2"/>
        <w:keepNext/>
      </w:pPr>
      <w:r>
        <w:t xml:space="preserve">6. Definition of Done</w:t>
      </w:r>
    </w:p>
    <w:p>
      <w:r>
        <w:t xml:space="preserve">A task is Done when all of the following hold:</w:t>
      </w:r>
    </w:p>
    <w:p>
      <w:pPr>
        <w:pStyle w:val="ListNumber"/>
      </w:pPr>
      <w:r>
        <w:t xml:space="preserve">It meets the acceptance conditions agreed at sprint planning.</w:t>
      </w:r>
    </w:p>
    <w:p>
      <w:pPr>
        <w:pStyle w:val="ListNumber"/>
      </w:pPr>
      <w:r>
        <w:t xml:space="preserve">A second team member has reviewed it.</w:t>
      </w:r>
    </w:p>
    <w:p>
      <w:pPr>
        <w:pStyle w:val="ListNumber"/>
      </w:pPr>
      <w:r>
        <w:t xml:space="preserve">It is in the shared repository.</w:t>
      </w:r>
    </w:p>
    <w:p>
      <w:pPr>
        <w:pStyle w:val="ListNumber"/>
      </w:pPr>
      <w:r>
        <w:t xml:space="preserve">It is linked to its evidence.</w:t>
      </w:r>
    </w:p>
    <w:p>
      <w:pPr>
        <w:pStyle w:val="ListNumber"/>
      </w:pPr>
      <w:r>
        <w:t xml:space="preserve">Models parse with zero moddle warnings and lint with zero Camunda 8 reports.</w:t>
      </w:r>
    </w:p>
    <w:p>
      <w:pPr>
        <w:pStyle w:val="ListNumber"/>
      </w:pPr>
      <w:r>
        <w:t xml:space="preserve">Exports are regenerated from the same revision as the model.</w:t>
      </w:r>
    </w:p>
    <w:p>
      <w:pPr>
        <w:pStyle w:val="ListNumber"/>
      </w:pPr>
      <w:r>
        <w:t xml:space="preserve">The task record shows status, current progress, the next action and any handover.</w:t>
      </w:r>
    </w:p>
    <w:p>
      <w:r>
        <w:t xml:space="preserve">Applied to the final increment: the four models satisfy conditions 1 to 6, and the two evaluations satisfy 1 to 4 and 7.</w:t>
      </w:r>
    </w:p>
    <w:p>
      <w:pPr>
        <w:pStyle w:val="Heading2"/>
        <w:keepNext/>
      </w:pPr>
      <w:r>
        <w:t xml:space="preserve">7. Contribution matrix</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983"/>
        <w:gridCol w:w="831"/>
        <w:gridCol w:w="2568"/>
        <w:gridCol w:w="2262"/>
        <w:gridCol w:w="1409"/>
        <w:gridCol w:w="638"/>
      </w:tblGrid>
      <w:tr>
        <w:trPr>
          <w:tblHeader/>
        </w:trPr>
        <w:tc>
          <w:tcPr>
            <w:tcW w:w="947" w:type="dxa"/>
            <w:shd w:val="clear" w:fill="EDEDED"/>
            <w:vAlign w:val="top"/>
          </w:tcPr>
          <w:p>
            <w:pPr>
              <w:spacing w:before="20" w:after="20"/>
            </w:pPr>
            <w:r>
              <w:rPr>
                <w:b/>
                <w:sz w:val="21"/>
                <w:szCs w:val="21"/>
              </w:rPr>
              <w:t xml:space="preserve">Member</w:t>
            </w:r>
          </w:p>
        </w:tc>
        <w:tc>
          <w:tcPr>
            <w:tcW w:w="983" w:type="dxa"/>
            <w:shd w:val="clear" w:fill="EDEDED"/>
            <w:vAlign w:val="top"/>
          </w:tcPr>
          <w:p>
            <w:pPr>
              <w:spacing w:before="20" w:after="20"/>
            </w:pPr>
            <w:r>
              <w:rPr>
                <w:b/>
                <w:sz w:val="21"/>
                <w:szCs w:val="21"/>
              </w:rPr>
              <w:t xml:space="preserve">BPMN models</w:t>
            </w:r>
          </w:p>
        </w:tc>
        <w:tc>
          <w:tcPr>
            <w:tcW w:w="831" w:type="dxa"/>
            <w:shd w:val="clear" w:fill="EDEDED"/>
            <w:vAlign w:val="top"/>
          </w:tcPr>
          <w:p>
            <w:pPr>
              <w:spacing w:before="20" w:after="20"/>
            </w:pPr>
            <w:r>
              <w:rPr>
                <w:b/>
                <w:sz w:val="21"/>
                <w:szCs w:val="21"/>
              </w:rPr>
              <w:t xml:space="preserve">i* models</w:t>
            </w:r>
          </w:p>
        </w:tc>
        <w:tc>
          <w:tcPr>
            <w:tcW w:w="2568" w:type="dxa"/>
            <w:shd w:val="clear" w:fill="EDEDED"/>
            <w:vAlign w:val="top"/>
          </w:tcPr>
          <w:p>
            <w:pPr>
              <w:spacing w:before="20" w:after="20"/>
            </w:pPr>
            <w:r>
              <w:rPr>
                <w:b/>
                <w:sz w:val="21"/>
                <w:szCs w:val="21"/>
              </w:rPr>
              <w:t xml:space="preserve">Requirements, traceability and evaluations</w:t>
            </w:r>
          </w:p>
        </w:tc>
        <w:tc>
          <w:tcPr>
            <w:tcW w:w="2262" w:type="dxa"/>
            <w:shd w:val="clear" w:fill="EDEDED"/>
            <w:vAlign w:val="top"/>
          </w:tcPr>
          <w:p>
            <w:pPr>
              <w:spacing w:before="20" w:after="20"/>
            </w:pPr>
            <w:r>
              <w:rPr>
                <w:b/>
                <w:sz w:val="21"/>
                <w:szCs w:val="21"/>
              </w:rPr>
              <w:t xml:space="preserve">Agile, documentation and repository</w:t>
            </w:r>
          </w:p>
        </w:tc>
        <w:tc>
          <w:tcPr>
            <w:tcW w:w="1409" w:type="dxa"/>
            <w:shd w:val="clear" w:fill="EDEDED"/>
            <w:vAlign w:val="top"/>
          </w:tcPr>
          <w:p>
            <w:pPr>
              <w:spacing w:before="20" w:after="20"/>
            </w:pPr>
            <w:r>
              <w:rPr>
                <w:b/>
                <w:sz w:val="21"/>
                <w:szCs w:val="21"/>
              </w:rPr>
              <w:t xml:space="preserve">Standups and reviews</w:t>
            </w:r>
          </w:p>
        </w:tc>
        <w:tc>
          <w:tcPr>
            <w:tcW w:w="638" w:type="dxa"/>
            <w:shd w:val="clear" w:fill="EDEDED"/>
            <w:vAlign w:val="top"/>
          </w:tcPr>
          <w:p>
            <w:pPr>
              <w:spacing w:before="20" w:after="20"/>
            </w:pPr>
            <w:r>
              <w:rPr>
                <w:b/>
                <w:sz w:val="21"/>
                <w:szCs w:val="21"/>
              </w:rPr>
              <w:t xml:space="preserve">Total</w:t>
            </w:r>
          </w:p>
        </w:tc>
      </w:tr>
      <w:tr>
        <w:tc>
          <w:tcPr>
            <w:tcW w:w="947" w:type="dxa"/>
            <w:vAlign w:val="top"/>
          </w:tcPr>
          <w:p>
            <w:pPr>
              <w:spacing w:before="20" w:after="20"/>
            </w:pPr>
            <w:r>
              <w:rPr>
                <w:sz w:val="21"/>
                <w:szCs w:val="21"/>
              </w:rPr>
              <w:t xml:space="preserve">max</w:t>
            </w:r>
          </w:p>
        </w:tc>
        <w:tc>
          <w:tcPr>
            <w:tcW w:w="983" w:type="dxa"/>
            <w:vAlign w:val="top"/>
          </w:tcPr>
          <w:p>
            <w:pPr>
              <w:spacing w:before="20" w:after="20"/>
            </w:pPr>
            <w:r>
              <w:rPr>
                <w:sz w:val="21"/>
                <w:szCs w:val="21"/>
              </w:rPr>
              <w:t xml:space="preserve">45%</w:t>
            </w:r>
          </w:p>
        </w:tc>
        <w:tc>
          <w:tcPr>
            <w:tcW w:w="831" w:type="dxa"/>
            <w:vAlign w:val="top"/>
          </w:tcPr>
          <w:p>
            <w:pPr>
              <w:spacing w:before="20" w:after="20"/>
            </w:pPr>
            <w:r>
              <w:rPr>
                <w:sz w:val="21"/>
                <w:szCs w:val="21"/>
              </w:rPr>
              <w:t xml:space="preserve">10%</w:t>
            </w:r>
          </w:p>
        </w:tc>
        <w:tc>
          <w:tcPr>
            <w:tcW w:w="2568" w:type="dxa"/>
            <w:vAlign w:val="top"/>
          </w:tcPr>
          <w:p>
            <w:pPr>
              <w:spacing w:before="20" w:after="20"/>
            </w:pPr>
            <w:r>
              <w:rPr>
                <w:sz w:val="21"/>
                <w:szCs w:val="21"/>
              </w:rPr>
              <w:t xml:space="preserve">10%</w:t>
            </w:r>
          </w:p>
        </w:tc>
        <w:tc>
          <w:tcPr>
            <w:tcW w:w="2262" w:type="dxa"/>
            <w:vAlign w:val="top"/>
          </w:tcPr>
          <w:p>
            <w:pPr>
              <w:spacing w:before="20" w:after="20"/>
            </w:pPr>
            <w:r>
              <w:rPr>
                <w:sz w:val="21"/>
                <w:szCs w:val="21"/>
              </w:rPr>
              <w:t xml:space="preserve">10%</w:t>
            </w:r>
          </w:p>
        </w:tc>
        <w:tc>
          <w:tcPr>
            <w:tcW w:w="1409" w:type="dxa"/>
            <w:vAlign w:val="top"/>
          </w:tcPr>
          <w:p>
            <w:pPr>
              <w:spacing w:before="20" w:after="20"/>
            </w:pPr>
            <w:r>
              <w:rPr>
                <w:sz w:val="21"/>
                <w:szCs w:val="21"/>
              </w:rPr>
              <w:t xml:space="preserve">25%</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finn</w:t>
            </w:r>
          </w:p>
        </w:tc>
        <w:tc>
          <w:tcPr>
            <w:tcW w:w="983" w:type="dxa"/>
            <w:vAlign w:val="top"/>
          </w:tcPr>
          <w:p>
            <w:pPr>
              <w:spacing w:before="20" w:after="20"/>
            </w:pPr>
            <w:r>
              <w:rPr>
                <w:sz w:val="21"/>
                <w:szCs w:val="21"/>
              </w:rPr>
              <w:t xml:space="preserve">15%</w:t>
            </w:r>
          </w:p>
        </w:tc>
        <w:tc>
          <w:tcPr>
            <w:tcW w:w="831" w:type="dxa"/>
            <w:vAlign w:val="top"/>
          </w:tcPr>
          <w:p>
            <w:pPr>
              <w:spacing w:before="20" w:after="20"/>
            </w:pPr>
            <w:r>
              <w:rPr>
                <w:sz w:val="21"/>
                <w:szCs w:val="21"/>
              </w:rPr>
              <w:t xml:space="preserve">60%</w:t>
            </w:r>
          </w:p>
        </w:tc>
        <w:tc>
          <w:tcPr>
            <w:tcW w:w="2568" w:type="dxa"/>
            <w:vAlign w:val="top"/>
          </w:tcPr>
          <w:p>
            <w:pPr>
              <w:spacing w:before="20" w:after="20"/>
            </w:pPr>
            <w:r>
              <w:rPr>
                <w:sz w:val="21"/>
                <w:szCs w:val="21"/>
              </w:rPr>
              <w:t xml:space="preserve">10%</w:t>
            </w:r>
          </w:p>
        </w:tc>
        <w:tc>
          <w:tcPr>
            <w:tcW w:w="2262" w:type="dxa"/>
            <w:vAlign w:val="top"/>
          </w:tcPr>
          <w:p>
            <w:pPr>
              <w:spacing w:before="20" w:after="20"/>
            </w:pPr>
            <w:r>
              <w:rPr>
                <w:sz w:val="21"/>
                <w:szCs w:val="21"/>
              </w:rPr>
              <w:t xml:space="preserve">10%</w:t>
            </w:r>
          </w:p>
        </w:tc>
        <w:tc>
          <w:tcPr>
            <w:tcW w:w="1409" w:type="dxa"/>
            <w:vAlign w:val="top"/>
          </w:tcPr>
          <w:p>
            <w:pPr>
              <w:spacing w:before="20" w:after="20"/>
            </w:pPr>
            <w:r>
              <w:rPr>
                <w:sz w:val="21"/>
                <w:szCs w:val="21"/>
              </w:rPr>
              <w:t xml:space="preserve">10%</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henry</w:t>
            </w:r>
          </w:p>
        </w:tc>
        <w:tc>
          <w:tcPr>
            <w:tcW w:w="983" w:type="dxa"/>
            <w:vAlign w:val="top"/>
          </w:tcPr>
          <w:p>
            <w:pPr>
              <w:spacing w:before="20" w:after="20"/>
            </w:pPr>
            <w:r>
              <w:rPr>
                <w:sz w:val="21"/>
                <w:szCs w:val="21"/>
              </w:rPr>
              <w:t xml:space="preserve">15%</w:t>
            </w:r>
          </w:p>
        </w:tc>
        <w:tc>
          <w:tcPr>
            <w:tcW w:w="831" w:type="dxa"/>
            <w:vAlign w:val="top"/>
          </w:tcPr>
          <w:p>
            <w:pPr>
              <w:spacing w:before="20" w:after="20"/>
            </w:pPr>
            <w:r>
              <w:rPr>
                <w:sz w:val="21"/>
                <w:szCs w:val="21"/>
              </w:rPr>
              <w:t xml:space="preserve">15%</w:t>
            </w:r>
          </w:p>
        </w:tc>
        <w:tc>
          <w:tcPr>
            <w:tcW w:w="2568" w:type="dxa"/>
            <w:vAlign w:val="top"/>
          </w:tcPr>
          <w:p>
            <w:pPr>
              <w:spacing w:before="20" w:after="20"/>
            </w:pPr>
            <w:r>
              <w:rPr>
                <w:sz w:val="21"/>
                <w:szCs w:val="21"/>
              </w:rPr>
              <w:t xml:space="preserve">45%</w:t>
            </w:r>
          </w:p>
        </w:tc>
        <w:tc>
          <w:tcPr>
            <w:tcW w:w="2262" w:type="dxa"/>
            <w:vAlign w:val="top"/>
          </w:tcPr>
          <w:p>
            <w:pPr>
              <w:spacing w:before="20" w:after="20"/>
            </w:pPr>
            <w:r>
              <w:rPr>
                <w:sz w:val="21"/>
                <w:szCs w:val="21"/>
              </w:rPr>
              <w:t xml:space="preserve">60%</w:t>
            </w:r>
          </w:p>
        </w:tc>
        <w:tc>
          <w:tcPr>
            <w:tcW w:w="1409" w:type="dxa"/>
            <w:vAlign w:val="top"/>
          </w:tcPr>
          <w:p>
            <w:pPr>
              <w:spacing w:before="20" w:after="20"/>
            </w:pPr>
            <w:r>
              <w:rPr>
                <w:sz w:val="21"/>
                <w:szCs w:val="21"/>
              </w:rPr>
              <w:t xml:space="preserve">35%</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peter</w:t>
            </w:r>
          </w:p>
        </w:tc>
        <w:tc>
          <w:tcPr>
            <w:tcW w:w="983" w:type="dxa"/>
            <w:vAlign w:val="top"/>
          </w:tcPr>
          <w:p>
            <w:pPr>
              <w:spacing w:before="20" w:after="20"/>
            </w:pPr>
            <w:r>
              <w:rPr>
                <w:sz w:val="21"/>
                <w:szCs w:val="21"/>
              </w:rPr>
              <w:t xml:space="preserve">25%</w:t>
            </w:r>
          </w:p>
        </w:tc>
        <w:tc>
          <w:tcPr>
            <w:tcW w:w="831" w:type="dxa"/>
            <w:vAlign w:val="top"/>
          </w:tcPr>
          <w:p>
            <w:pPr>
              <w:spacing w:before="20" w:after="20"/>
            </w:pPr>
            <w:r>
              <w:rPr>
                <w:sz w:val="21"/>
                <w:szCs w:val="21"/>
              </w:rPr>
              <w:t xml:space="preserve">15%</w:t>
            </w:r>
          </w:p>
        </w:tc>
        <w:tc>
          <w:tcPr>
            <w:tcW w:w="2568" w:type="dxa"/>
            <w:vAlign w:val="top"/>
          </w:tcPr>
          <w:p>
            <w:pPr>
              <w:spacing w:before="20" w:after="20"/>
            </w:pPr>
            <w:r>
              <w:rPr>
                <w:sz w:val="21"/>
                <w:szCs w:val="21"/>
              </w:rPr>
              <w:t xml:space="preserve">35%</w:t>
            </w:r>
          </w:p>
        </w:tc>
        <w:tc>
          <w:tcPr>
            <w:tcW w:w="2262" w:type="dxa"/>
            <w:vAlign w:val="top"/>
          </w:tcPr>
          <w:p>
            <w:pPr>
              <w:spacing w:before="20" w:after="20"/>
            </w:pPr>
            <w:r>
              <w:rPr>
                <w:sz w:val="21"/>
                <w:szCs w:val="21"/>
              </w:rPr>
              <w:t xml:space="preserve">20%</w:t>
            </w:r>
          </w:p>
        </w:tc>
        <w:tc>
          <w:tcPr>
            <w:tcW w:w="1409" w:type="dxa"/>
            <w:vAlign w:val="top"/>
          </w:tcPr>
          <w:p>
            <w:pPr>
              <w:spacing w:before="20" w:after="20"/>
            </w:pPr>
            <w:r>
              <w:rPr>
                <w:sz w:val="21"/>
                <w:szCs w:val="21"/>
              </w:rPr>
              <w:t xml:space="preserve">30%</w:t>
            </w:r>
          </w:p>
        </w:tc>
        <w:tc>
          <w:tcPr>
            <w:tcW w:w="638" w:type="dxa"/>
            <w:vAlign w:val="top"/>
          </w:tcPr>
          <w:p>
            <w:pPr>
              <w:spacing w:before="20" w:after="20"/>
            </w:pPr>
            <w:r>
              <w:rPr>
                <w:b/>
                <w:sz w:val="21"/>
                <w:szCs w:val="21"/>
              </w:rPr>
              <w:t xml:space="preserve">25%</w:t>
            </w:r>
          </w:p>
        </w:tc>
      </w:tr>
    </w:tbl>
    <w:p>
      <w:pPr>
        <w:spacing w:after="0"/>
      </w:pPr>
    </w:p>
    <w:p>
      <w:r>
        <w:t xml:space="preserve">Each of the five activity columns shows the share of that activity's work carried out by each member, and each column sums to 100%. The Total column is the split of the group mark, which the group agreed at the start of Sprint 1 to divide equally: </w:t>
      </w:r>
      <w:r>
        <w:rPr>
          <w:b/>
        </w:rPr>
        <w:t xml:space="preserve">25% each</w:t>
      </w:r>
      <w:r>
        <w:t xml:space="preserve">. The two are not the same measure — the activity columns record who carried which work, the Total column records how the group agreed to share the mark — which is why a member can hold a large share of one activity and still take an equal share overall.</w:t>
      </w:r>
    </w:p>
    <w:p>
      <w:r>
        <w:t xml:space="preserve">The distribution follows the roles agreed at the start of Sprint 1 rather than being assigned after the fact.</w:t>
      </w:r>
    </w:p>
    <w:p>
      <w:r>
        <w:rPr>
          <w:b/>
        </w:rPr>
        <w:t xml:space="preserve">henry</w:t>
      </w:r>
      <w:r>
        <w:t xml:space="preserve"> led the two activities that carry the most weight in the assessment. On </w:t>
      </w:r>
      <w:r>
        <w:rPr>
          <w:b/>
        </w:rPr>
        <w:t xml:space="preserve">requirements, traceability and evaluations</w:t>
      </w:r>
      <w:r>
        <w:t xml:space="preserve"> he owned the requirements list and user stories (</w:t>
      </w:r>
      <w:r>
        <w:rPr>
          <w:rFonts w:ascii="Consolas" w:hAnsi="Consolas"/>
        </w:rPr>
        <w:t xml:space="preserve">PB-05</w:t>
      </w:r>
      <w:r>
        <w:t xml:space="preserve">, </w:t>
      </w:r>
      <w:r>
        <w:rPr>
          <w:rFonts w:ascii="Consolas" w:hAnsi="Consolas"/>
        </w:rPr>
        <w:t xml:space="preserve">PB-06</w:t>
      </w:r>
      <w:r>
        <w:t xml:space="preserve">), the requirements traceability matrix (</w:t>
      </w:r>
      <w:r>
        <w:rPr>
          <w:rFonts w:ascii="Consolas" w:hAnsi="Consolas"/>
        </w:rPr>
        <w:t xml:space="preserve">PB-07</w:t>
      </w:r>
      <w:r>
        <w:t xml:space="preserve">), the alignment evaluation and its 44-requirement trace (</w:t>
      </w:r>
      <w:r>
        <w:rPr>
          <w:rFonts w:ascii="Consolas" w:hAnsi="Consolas"/>
        </w:rPr>
        <w:t xml:space="preserve">PB-36</w:t>
      </w:r>
      <w:r>
        <w:t xml:space="preserve">, </w:t>
      </w:r>
      <w:r>
        <w:rPr>
          <w:rFonts w:ascii="Consolas" w:hAnsi="Consolas"/>
        </w:rPr>
        <w:t xml:space="preserve">PB-37</w:t>
      </w:r>
      <w:r>
        <w:t xml:space="preserve">) and the change log and criteria revisions (</w:t>
      </w:r>
      <w:r>
        <w:rPr>
          <w:rFonts w:ascii="Consolas" w:hAnsi="Consolas"/>
        </w:rPr>
        <w:t xml:space="preserve">PB-38</w:t>
      </w:r>
      <w:r>
        <w:t xml:space="preserve"> to </w:t>
      </w:r>
      <w:r>
        <w:rPr>
          <w:rFonts w:ascii="Consolas" w:hAnsi="Consolas"/>
        </w:rPr>
        <w:t xml:space="preserve">PB-40</w:t>
      </w:r>
      <w:r>
        <w:t xml:space="preserve">), and he wrote the alignment narrative. On </w:t>
      </w:r>
      <w:r>
        <w:rPr>
          <w:b/>
        </w:rPr>
        <w:t xml:space="preserve">agile, documentation and repository</w:t>
      </w:r>
      <w:r>
        <w:t xml:space="preserve"> he owned the product and sprint backlogs and the definition of done (</w:t>
      </w:r>
      <w:r>
        <w:rPr>
          <w:rFonts w:ascii="Consolas" w:hAnsi="Consolas"/>
        </w:rPr>
        <w:t xml:space="preserve">PB-03</w:t>
      </w:r>
      <w:r>
        <w:t xml:space="preserve">, </w:t>
      </w:r>
      <w:r>
        <w:rPr>
          <w:rFonts w:ascii="Consolas" w:hAnsi="Consolas"/>
        </w:rPr>
        <w:t xml:space="preserve">PB-04</w:t>
      </w:r>
      <w:r>
        <w:t xml:space="preserve">), the repository, README and filename convention (</w:t>
      </w:r>
      <w:r>
        <w:rPr>
          <w:rFonts w:ascii="Consolas" w:hAnsi="Consolas"/>
        </w:rPr>
        <w:t xml:space="preserve">PB-02</w:t>
      </w:r>
      <w:r>
        <w:t xml:space="preserve">), the version snapshots (</w:t>
      </w:r>
      <w:r>
        <w:rPr>
          <w:rFonts w:ascii="Consolas" w:hAnsi="Consolas"/>
        </w:rPr>
        <w:t xml:space="preserve">S3-08</w:t>
      </w:r>
      <w:r>
        <w:t xml:space="preserve">, </w:t>
      </w:r>
      <w:r>
        <w:rPr>
          <w:rFonts w:ascii="Consolas" w:hAnsi="Consolas"/>
        </w:rPr>
        <w:t xml:space="preserve">S3-15</w:t>
      </w:r>
      <w:r>
        <w:t xml:space="preserve">), the feedback action log (</w:t>
      </w:r>
      <w:r>
        <w:rPr>
          <w:rFonts w:ascii="Consolas" w:hAnsi="Consolas"/>
        </w:rPr>
        <w:t xml:space="preserve">PB-42</w:t>
      </w:r>
      <w:r>
        <w:t xml:space="preserve">), the retrospectives (</w:t>
      </w:r>
      <w:r>
        <w:rPr>
          <w:rFonts w:ascii="Consolas" w:hAnsi="Consolas"/>
        </w:rPr>
        <w:t xml:space="preserve">PB-43</w:t>
      </w:r>
      <w:r>
        <w:t xml:space="preserve">) and the portfolio assembly and hand-in (</w:t>
      </w:r>
      <w:r>
        <w:rPr>
          <w:rFonts w:ascii="Consolas" w:hAnsi="Consolas"/>
        </w:rPr>
        <w:t xml:space="preserve">PB-44</w:t>
      </w:r>
      <w:r>
        <w:t xml:space="preserve">). At the </w:t>
      </w:r>
      <w:r>
        <w:rPr>
          <w:b/>
        </w:rPr>
        <w:t xml:space="preserve">standups and reviews</w:t>
      </w:r>
      <w:r>
        <w:t xml:space="preserve"> he presented the traceability and evaluation findings at both reviews and prepared the records for all four marked activities, which is the largest share of that column.</w:t>
      </w:r>
    </w:p>
    <w:p>
      <w:r>
        <w:rPr>
          <w:b/>
        </w:rPr>
        <w:t xml:space="preserve">max</w:t>
      </w:r>
      <w:r>
        <w:t xml:space="preserve"> retains the largest single-domain share — 45% of the BPMN work, as integration lead — and </w:t>
      </w:r>
      <w:r>
        <w:rPr>
          <w:b/>
        </w:rPr>
        <w:t xml:space="preserve">finn</w:t>
      </w:r>
      <w:r>
        <w:t xml:space="preserve"> 60% of the i* models, as their author. </w:t>
      </w:r>
      <w:r>
        <w:rPr>
          <w:b/>
        </w:rPr>
        <w:t xml:space="preserve">peter</w:t>
      </w:r>
      <w:r>
        <w:t xml:space="preserve"> carries 35% of the evaluation activity through the acceptance testing and the forms, and 30% of the standup and review activity, since he presents the execution evidence at each review.</w:t>
      </w:r>
    </w:p>
    <w:p>
      <w:r>
        <w:t xml:space="preserve">The equal split was agreed because no member carried the project alone: </w:t>
      </w:r>
      <w:r>
        <w:rPr>
          <w:b/>
        </w:rPr>
        <w:t xml:space="preserve">max</w:t>
      </w:r>
      <w:r>
        <w:t xml:space="preserve"> held the integration, </w:t>
      </w:r>
      <w:r>
        <w:rPr>
          <w:b/>
        </w:rPr>
        <w:t xml:space="preserve">finn</w:t>
      </w:r>
      <w:r>
        <w:t xml:space="preserve"> the i* models and the external workers, </w:t>
      </w:r>
      <w:r>
        <w:rPr>
          <w:b/>
        </w:rPr>
        <w:t xml:space="preserve">peter</w:t>
      </w:r>
      <w:r>
        <w:t xml:space="preserve"> the forms and the testing, </w:t>
      </w:r>
      <w:r>
        <w:rPr>
          <w:b/>
        </w:rPr>
        <w:t xml:space="preserve">henry</w:t>
      </w:r>
      <w:r>
        <w:t xml:space="preserve"> the requirements, evaluations and documentation. The activity columns above show where each of those contributions landed; the Total column is equal by agreement rather than by arithmetic on those columns.</w:t>
      </w:r>
    </w:p>
    <w:p>
      <w:r>
        <w:t xml:space="preserve">Evidence is the task ownership recorded in the backlog and the contribution record retained in the repository for tutor moderation.</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04-agile-delivery</dc:title>
  <dc:creator>UFCEP4-0-3 group</dc:creator>
  <cp:lastModifiedBy>UFCEP4-0-3 group</cp:lastModifiedBy>
</cp:coreProperties>
</file>