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51" w:rsidRPr="0059652D" w:rsidRDefault="0059652D" w:rsidP="003D7346">
      <w:pPr>
        <w:pStyle w:val="Heading2"/>
      </w:pPr>
      <w:r w:rsidRPr="0059652D">
        <w:rPr>
          <w:rFonts w:hint="eastAsia"/>
        </w:rPr>
        <w:t>美股抓取计划</w:t>
      </w:r>
      <w:bookmarkStart w:id="0" w:name="_GoBack"/>
      <w:bookmarkEnd w:id="0"/>
    </w:p>
    <w:p w:rsidR="0059652D" w:rsidRPr="0059652D" w:rsidRDefault="0059652D">
      <w:pPr>
        <w:rPr>
          <w:rFonts w:ascii="楷体" w:eastAsia="楷体" w:hAnsi="楷体"/>
          <w:sz w:val="18"/>
          <w:szCs w:val="18"/>
        </w:rPr>
      </w:pPr>
    </w:p>
    <w:p w:rsidR="0059652D" w:rsidRPr="0059652D" w:rsidRDefault="00F37C6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项目介绍：目前我们想要</w:t>
      </w:r>
      <w:r w:rsidR="0059652D" w:rsidRPr="0059652D">
        <w:rPr>
          <w:rFonts w:ascii="楷体" w:eastAsia="楷体" w:hAnsi="楷体" w:hint="eastAsia"/>
          <w:sz w:val="18"/>
          <w:szCs w:val="18"/>
        </w:rPr>
        <w:t>抓取的数据源“Market Watch”使用的财务数据和我们自己的美股数据服务商都是“</w:t>
      </w:r>
      <w:proofErr w:type="spellStart"/>
      <w:r w:rsidR="0059652D" w:rsidRPr="0059652D">
        <w:rPr>
          <w:rFonts w:ascii="楷体" w:eastAsia="楷体" w:hAnsi="楷体" w:hint="eastAsia"/>
          <w:sz w:val="18"/>
          <w:szCs w:val="18"/>
        </w:rPr>
        <w:t>Factset</w:t>
      </w:r>
      <w:proofErr w:type="spellEnd"/>
      <w:r w:rsidR="0059652D" w:rsidRPr="0059652D">
        <w:rPr>
          <w:rFonts w:ascii="楷体" w:eastAsia="楷体" w:hAnsi="楷体" w:hint="eastAsia"/>
          <w:sz w:val="18"/>
          <w:szCs w:val="18"/>
        </w:rPr>
        <w:t>”。为了能够减轻对于</w:t>
      </w:r>
      <w:proofErr w:type="spellStart"/>
      <w:r w:rsidR="0059652D" w:rsidRPr="0059652D">
        <w:rPr>
          <w:rFonts w:ascii="楷体" w:eastAsia="楷体" w:hAnsi="楷体" w:hint="eastAsia"/>
          <w:sz w:val="18"/>
          <w:szCs w:val="18"/>
        </w:rPr>
        <w:t>Factset</w:t>
      </w:r>
      <w:proofErr w:type="spellEnd"/>
      <w:r w:rsidR="0059652D" w:rsidRPr="0059652D">
        <w:rPr>
          <w:rFonts w:ascii="楷体" w:eastAsia="楷体" w:hAnsi="楷体" w:hint="eastAsia"/>
          <w:sz w:val="18"/>
          <w:szCs w:val="18"/>
        </w:rPr>
        <w:t>的数据依赖，我们考虑从MW抓取基本的财务数据，并整理他们的规则。</w:t>
      </w:r>
    </w:p>
    <w:p w:rsidR="0059652D" w:rsidRPr="0059652D" w:rsidRDefault="0059652D">
      <w:pPr>
        <w:rPr>
          <w:rFonts w:ascii="楷体" w:eastAsia="楷体" w:hAnsi="楷体"/>
          <w:sz w:val="18"/>
          <w:szCs w:val="18"/>
        </w:rPr>
      </w:pPr>
    </w:p>
    <w:p w:rsidR="0059652D" w:rsidRPr="0059652D" w:rsidRDefault="0051510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</w:t>
      </w:r>
      <w:r w:rsidR="0059652D" w:rsidRPr="0059652D">
        <w:rPr>
          <w:rFonts w:ascii="楷体" w:eastAsia="楷体" w:hAnsi="楷体" w:hint="eastAsia"/>
          <w:sz w:val="18"/>
          <w:szCs w:val="18"/>
        </w:rPr>
        <w:t>以下所涉及的抓取流程都用美股“FISV”作为例子进行介绍：</w:t>
      </w:r>
      <w:r>
        <w:rPr>
          <w:rFonts w:ascii="楷体" w:eastAsia="楷体" w:hAnsi="楷体" w:hint="eastAsia"/>
          <w:sz w:val="18"/>
          <w:szCs w:val="18"/>
        </w:rPr>
        <w:t>）</w:t>
      </w:r>
    </w:p>
    <w:p w:rsidR="0059652D" w:rsidRPr="0059652D" w:rsidRDefault="0059652D">
      <w:pPr>
        <w:rPr>
          <w:rFonts w:ascii="楷体" w:eastAsia="楷体" w:hAnsi="楷体"/>
          <w:sz w:val="18"/>
          <w:szCs w:val="18"/>
        </w:rPr>
      </w:pPr>
    </w:p>
    <w:p w:rsidR="0059652D" w:rsidRPr="0059652D" w:rsidRDefault="0059652D">
      <w:pPr>
        <w:rPr>
          <w:rFonts w:ascii="楷体" w:eastAsia="楷体" w:hAnsi="楷体"/>
          <w:sz w:val="18"/>
          <w:szCs w:val="18"/>
        </w:rPr>
      </w:pPr>
      <w:r w:rsidRPr="0059652D">
        <w:rPr>
          <w:rFonts w:ascii="楷体" w:eastAsia="楷体" w:hAnsi="楷体" w:hint="eastAsia"/>
          <w:sz w:val="18"/>
          <w:szCs w:val="18"/>
        </w:rPr>
        <w:t>以下是需要抓的URL类表：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7416"/>
      </w:tblGrid>
      <w:tr w:rsidR="0059652D" w:rsidRPr="0059652D" w:rsidTr="0059652D">
        <w:tc>
          <w:tcPr>
            <w:tcW w:w="110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 w:rsidRPr="0059652D">
              <w:rPr>
                <w:rFonts w:ascii="楷体" w:eastAsia="楷体" w:hAnsi="楷体" w:hint="eastAsia"/>
                <w:sz w:val="18"/>
                <w:szCs w:val="18"/>
              </w:rPr>
              <w:t>年度IS表</w:t>
            </w:r>
          </w:p>
        </w:tc>
        <w:tc>
          <w:tcPr>
            <w:tcW w:w="741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 w:rsidRPr="0059652D">
              <w:rPr>
                <w:rFonts w:ascii="楷体" w:eastAsia="楷体" w:hAnsi="楷体"/>
                <w:sz w:val="18"/>
                <w:szCs w:val="18"/>
              </w:rPr>
              <w:t>http://www.marketwatch.com/investing/Stock/FISV/financials</w:t>
            </w:r>
          </w:p>
        </w:tc>
      </w:tr>
      <w:tr w:rsidR="0059652D" w:rsidRPr="0059652D" w:rsidTr="0059652D">
        <w:tc>
          <w:tcPr>
            <w:tcW w:w="110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 w:rsidRPr="0059652D">
              <w:rPr>
                <w:rFonts w:ascii="楷体" w:eastAsia="楷体" w:hAnsi="楷体" w:hint="eastAsia"/>
                <w:sz w:val="18"/>
                <w:szCs w:val="18"/>
              </w:rPr>
              <w:t>季度IS表</w:t>
            </w:r>
          </w:p>
        </w:tc>
        <w:tc>
          <w:tcPr>
            <w:tcW w:w="7416" w:type="dxa"/>
          </w:tcPr>
          <w:p w:rsidR="0059652D" w:rsidRPr="0059652D" w:rsidRDefault="00D615F0">
            <w:pPr>
              <w:rPr>
                <w:rFonts w:ascii="楷体" w:eastAsia="楷体" w:hAnsi="楷体"/>
                <w:sz w:val="18"/>
                <w:szCs w:val="18"/>
              </w:rPr>
            </w:pPr>
            <w:hyperlink r:id="rId7" w:history="1">
              <w:r w:rsidR="0059652D" w:rsidRPr="00DB1070">
                <w:rPr>
                  <w:rStyle w:val="Hyperlink"/>
                  <w:rFonts w:ascii="楷体" w:eastAsia="楷体" w:hAnsi="楷体"/>
                  <w:sz w:val="18"/>
                  <w:szCs w:val="18"/>
                </w:rPr>
                <w:t>http://www.marketwatch.com/investing/Stock/FISV/financials/income/quarter</w:t>
              </w:r>
            </w:hyperlink>
          </w:p>
        </w:tc>
      </w:tr>
      <w:tr w:rsidR="0059652D" w:rsidRPr="0059652D" w:rsidTr="0059652D">
        <w:tc>
          <w:tcPr>
            <w:tcW w:w="110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年度BS表</w:t>
            </w:r>
          </w:p>
        </w:tc>
        <w:tc>
          <w:tcPr>
            <w:tcW w:w="7416" w:type="dxa"/>
          </w:tcPr>
          <w:p w:rsidR="0059652D" w:rsidRDefault="00D615F0" w:rsidP="0059652D">
            <w:pPr>
              <w:rPr>
                <w:rFonts w:ascii="楷体" w:eastAsia="楷体" w:hAnsi="楷体"/>
                <w:sz w:val="18"/>
                <w:szCs w:val="18"/>
              </w:rPr>
            </w:pPr>
            <w:hyperlink r:id="rId8" w:history="1">
              <w:r w:rsidR="0059652D" w:rsidRPr="00DB1070">
                <w:rPr>
                  <w:rStyle w:val="Hyperlink"/>
                  <w:rFonts w:ascii="楷体" w:eastAsia="楷体" w:hAnsi="楷体"/>
                  <w:sz w:val="18"/>
                  <w:szCs w:val="18"/>
                </w:rPr>
                <w:t>http://www.marketwatch.com/investing/Stock/FISV/financials/balance-sheet</w:t>
              </w:r>
            </w:hyperlink>
          </w:p>
        </w:tc>
      </w:tr>
      <w:tr w:rsidR="0059652D" w:rsidRPr="0059652D" w:rsidTr="0059652D">
        <w:tc>
          <w:tcPr>
            <w:tcW w:w="110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季度BS表</w:t>
            </w:r>
          </w:p>
        </w:tc>
        <w:tc>
          <w:tcPr>
            <w:tcW w:w="7416" w:type="dxa"/>
          </w:tcPr>
          <w:p w:rsidR="0059652D" w:rsidRDefault="00D615F0">
            <w:pPr>
              <w:rPr>
                <w:rFonts w:ascii="楷体" w:eastAsia="楷体" w:hAnsi="楷体"/>
                <w:sz w:val="18"/>
                <w:szCs w:val="18"/>
              </w:rPr>
            </w:pPr>
            <w:hyperlink r:id="rId9" w:history="1">
              <w:r w:rsidR="0059652D" w:rsidRPr="00DB1070">
                <w:rPr>
                  <w:rStyle w:val="Hyperlink"/>
                  <w:rFonts w:ascii="楷体" w:eastAsia="楷体" w:hAnsi="楷体"/>
                  <w:sz w:val="18"/>
                  <w:szCs w:val="18"/>
                </w:rPr>
                <w:t>http://www.marketwatch.com/investing/Stock/FISV/financials/balance-sheet/quarter</w:t>
              </w:r>
            </w:hyperlink>
          </w:p>
        </w:tc>
      </w:tr>
      <w:tr w:rsidR="0059652D" w:rsidRPr="0059652D" w:rsidTr="0059652D">
        <w:tc>
          <w:tcPr>
            <w:tcW w:w="1106" w:type="dxa"/>
          </w:tcPr>
          <w:p w:rsid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年度CF表</w:t>
            </w:r>
          </w:p>
        </w:tc>
        <w:tc>
          <w:tcPr>
            <w:tcW w:w="7416" w:type="dxa"/>
          </w:tcPr>
          <w:p w:rsidR="0059652D" w:rsidRDefault="00D615F0">
            <w:pPr>
              <w:rPr>
                <w:rFonts w:ascii="楷体" w:eastAsia="楷体" w:hAnsi="楷体"/>
                <w:sz w:val="18"/>
                <w:szCs w:val="18"/>
              </w:rPr>
            </w:pPr>
            <w:hyperlink r:id="rId10" w:history="1">
              <w:r w:rsidR="0059652D" w:rsidRPr="00DB1070">
                <w:rPr>
                  <w:rStyle w:val="Hyperlink"/>
                  <w:rFonts w:ascii="楷体" w:eastAsia="楷体" w:hAnsi="楷体"/>
                  <w:sz w:val="18"/>
                  <w:szCs w:val="18"/>
                </w:rPr>
                <w:t>http://www.marketwatch.com/investing/Stock/FISV/financials/cash-flow</w:t>
              </w:r>
            </w:hyperlink>
          </w:p>
        </w:tc>
      </w:tr>
      <w:tr w:rsidR="0059652D" w:rsidRPr="0059652D" w:rsidTr="0059652D">
        <w:tc>
          <w:tcPr>
            <w:tcW w:w="1106" w:type="dxa"/>
          </w:tcPr>
          <w:p w:rsidR="0059652D" w:rsidRPr="0059652D" w:rsidRDefault="0059652D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季度CF表</w:t>
            </w:r>
          </w:p>
        </w:tc>
        <w:tc>
          <w:tcPr>
            <w:tcW w:w="7416" w:type="dxa"/>
          </w:tcPr>
          <w:p w:rsidR="0059652D" w:rsidRDefault="00D615F0">
            <w:pPr>
              <w:rPr>
                <w:rFonts w:ascii="楷体" w:eastAsia="楷体" w:hAnsi="楷体"/>
                <w:sz w:val="18"/>
                <w:szCs w:val="18"/>
              </w:rPr>
            </w:pPr>
            <w:hyperlink r:id="rId11" w:history="1">
              <w:r w:rsidR="0059652D" w:rsidRPr="00DB1070">
                <w:rPr>
                  <w:rStyle w:val="Hyperlink"/>
                  <w:rFonts w:ascii="楷体" w:eastAsia="楷体" w:hAnsi="楷体"/>
                  <w:sz w:val="18"/>
                  <w:szCs w:val="18"/>
                </w:rPr>
                <w:t>http://www.marketwatch.com/investing/Stock/FISV/financials/cash-flow/quarter</w:t>
              </w:r>
            </w:hyperlink>
          </w:p>
        </w:tc>
      </w:tr>
    </w:tbl>
    <w:p w:rsidR="0059652D" w:rsidRPr="00515102" w:rsidRDefault="00515102" w:rsidP="0051510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注：</w:t>
      </w:r>
      <w:r w:rsidR="0059652D" w:rsidRPr="00515102">
        <w:rPr>
          <w:rFonts w:ascii="楷体" w:eastAsia="楷体" w:hAnsi="楷体" w:hint="eastAsia"/>
          <w:sz w:val="18"/>
          <w:szCs w:val="18"/>
        </w:rPr>
        <w:t>进行抓取的时候需要注意根据</w:t>
      </w:r>
      <w:r w:rsidR="00F37C65">
        <w:rPr>
          <w:rFonts w:ascii="楷体" w:eastAsia="楷体" w:hAnsi="楷体" w:hint="eastAsia"/>
          <w:sz w:val="18"/>
          <w:szCs w:val="18"/>
        </w:rPr>
        <w:t>GAF</w:t>
      </w:r>
      <w:r w:rsidR="0059652D" w:rsidRPr="00515102">
        <w:rPr>
          <w:rFonts w:ascii="楷体" w:eastAsia="楷体" w:hAnsi="楷体" w:hint="eastAsia"/>
          <w:sz w:val="18"/>
          <w:szCs w:val="18"/>
        </w:rPr>
        <w:t>提供的美股代码对URL里面的代码字段进行替换</w:t>
      </w:r>
      <w:r w:rsidR="00F37C65">
        <w:rPr>
          <w:rFonts w:ascii="楷体" w:eastAsia="楷体" w:hAnsi="楷体" w:hint="eastAsia"/>
          <w:sz w:val="18"/>
          <w:szCs w:val="18"/>
        </w:rPr>
        <w:t>，并抓取</w:t>
      </w:r>
      <w:r w:rsidR="0059652D" w:rsidRPr="00515102">
        <w:rPr>
          <w:rFonts w:ascii="楷体" w:eastAsia="楷体" w:hAnsi="楷体" w:hint="eastAsia"/>
          <w:sz w:val="18"/>
          <w:szCs w:val="18"/>
        </w:rPr>
        <w:t>；</w:t>
      </w:r>
    </w:p>
    <w:p w:rsidR="0059652D" w:rsidRDefault="0059652D" w:rsidP="00515102">
      <w:pPr>
        <w:rPr>
          <w:rFonts w:ascii="楷体" w:eastAsia="楷体" w:hAnsi="楷体"/>
          <w:sz w:val="18"/>
          <w:szCs w:val="18"/>
        </w:rPr>
      </w:pPr>
    </w:p>
    <w:p w:rsidR="00515102" w:rsidRDefault="00F37C65" w:rsidP="0051510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具体抓取步骤</w:t>
      </w:r>
    </w:p>
    <w:p w:rsidR="00292AE0" w:rsidRDefault="00515102" w:rsidP="00515102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公司的代码</w:t>
      </w:r>
      <w:r w:rsidR="00292AE0">
        <w:rPr>
          <w:rFonts w:ascii="楷体" w:eastAsia="楷体" w:hAnsi="楷体" w:hint="eastAsia"/>
          <w:sz w:val="18"/>
          <w:szCs w:val="18"/>
        </w:rPr>
        <w:t>和公司的名字，同时在存储的时候需要有三个字段：</w:t>
      </w:r>
    </w:p>
    <w:p w:rsidR="00292AE0" w:rsidRDefault="00292AE0" w:rsidP="00292AE0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Name: Fiserv Inc.</w:t>
      </w:r>
    </w:p>
    <w:p w:rsidR="00292AE0" w:rsidRDefault="00292AE0" w:rsidP="00292AE0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Market: NASDAQ</w:t>
      </w:r>
    </w:p>
    <w:p w:rsidR="00515102" w:rsidRDefault="00292AE0" w:rsidP="00292AE0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Ticker: FISV</w:t>
      </w:r>
      <w:r w:rsidR="00515102">
        <w:rPr>
          <w:rFonts w:ascii="楷体" w:eastAsia="楷体" w:hAnsi="楷体" w:hint="eastAsia"/>
          <w:sz w:val="18"/>
          <w:szCs w:val="18"/>
        </w:rPr>
        <w:t xml:space="preserve"> </w:t>
      </w:r>
    </w:p>
    <w:p w:rsidR="00515102" w:rsidRDefault="00292AE0" w:rsidP="00515102">
      <w:pPr>
        <w:pStyle w:val="ListParagraph"/>
        <w:ind w:left="360" w:firstLineChars="0" w:firstLine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noProof/>
          <w:sz w:val="18"/>
          <w:szCs w:val="18"/>
        </w:rPr>
        <w:drawing>
          <wp:inline distT="0" distB="0" distL="0" distR="0">
            <wp:extent cx="52743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D1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102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公司在正常存续区间通过每一个代码所代表的</w:t>
      </w:r>
      <w:r w:rsidR="00F37C65">
        <w:rPr>
          <w:rFonts w:ascii="楷体" w:eastAsia="楷体" w:hAnsi="楷体" w:hint="eastAsia"/>
          <w:sz w:val="18"/>
          <w:szCs w:val="18"/>
        </w:rPr>
        <w:t>公司名称和财务信息是一致的，但是美股有很多公司经常发现更改代码或者发生转板的情形，所以需要在将数据存入的时候进行</w:t>
      </w:r>
      <w:r>
        <w:rPr>
          <w:rFonts w:ascii="楷体" w:eastAsia="楷体" w:hAnsi="楷体" w:hint="eastAsia"/>
          <w:sz w:val="18"/>
          <w:szCs w:val="18"/>
        </w:rPr>
        <w:t>判断：</w:t>
      </w:r>
    </w:p>
    <w:p w:rsidR="00292AE0" w:rsidRDefault="00292AE0" w:rsidP="00292AE0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如果在同一个URL的页面抓取下面，“Market”发生了变化，即公司发生了转板的情形，那么需要在数据库里面重新有一个地方存储市场的字段，比如Market_2同时需要存储抓取到发生变更的时间“年-月-日”；</w:t>
      </w:r>
      <w:r w:rsidR="00F37C65">
        <w:rPr>
          <w:rFonts w:ascii="楷体" w:eastAsia="楷体" w:hAnsi="楷体" w:hint="eastAsia"/>
          <w:sz w:val="18"/>
          <w:szCs w:val="18"/>
        </w:rPr>
        <w:t>（这里只是一种解决方案，其他方式也请技术支持）</w:t>
      </w:r>
    </w:p>
    <w:p w:rsidR="00292AE0" w:rsidRDefault="00292AE0" w:rsidP="00292AE0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如果在同一个URL的页面抓取下面，</w:t>
      </w:r>
      <w:r w:rsidR="00E339C3">
        <w:rPr>
          <w:rFonts w:ascii="楷体" w:eastAsia="楷体" w:hAnsi="楷体" w:hint="eastAsia"/>
          <w:sz w:val="18"/>
          <w:szCs w:val="18"/>
        </w:rPr>
        <w:t>公司的Name发生了变化，我们需要有一个新增字段Name_2来记录新的名字。</w:t>
      </w:r>
      <w:r w:rsidR="00F37C65">
        <w:rPr>
          <w:rFonts w:ascii="楷体" w:eastAsia="楷体" w:hAnsi="楷体" w:hint="eastAsia"/>
          <w:sz w:val="18"/>
          <w:szCs w:val="18"/>
        </w:rPr>
        <w:t>（这里只是一种解决方案，其他方式也请技术支持）</w:t>
      </w:r>
    </w:p>
    <w:p w:rsidR="00E339C3" w:rsidRDefault="00E339C3" w:rsidP="00292AE0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如果在同一个URL</w:t>
      </w:r>
      <w:r w:rsidR="00F37C65">
        <w:rPr>
          <w:rFonts w:ascii="楷体" w:eastAsia="楷体" w:hAnsi="楷体" w:hint="eastAsia"/>
          <w:sz w:val="18"/>
          <w:szCs w:val="18"/>
        </w:rPr>
        <w:t>的页面下已经找不到相关公司，说明这家公司发生了代码变更或者公司不再</w:t>
      </w:r>
      <w:r>
        <w:rPr>
          <w:rFonts w:ascii="楷体" w:eastAsia="楷体" w:hAnsi="楷体" w:hint="eastAsia"/>
          <w:sz w:val="18"/>
          <w:szCs w:val="18"/>
        </w:rPr>
        <w:t>正常交易了。</w:t>
      </w:r>
      <w:r w:rsidR="00F37C65">
        <w:rPr>
          <w:rFonts w:ascii="楷体" w:eastAsia="楷体" w:hAnsi="楷体" w:hint="eastAsia"/>
          <w:sz w:val="18"/>
          <w:szCs w:val="18"/>
        </w:rPr>
        <w:t>这时候，我们要做的是及时找到发生这种情形的原因，并将更正的信息及时给到技术.</w:t>
      </w:r>
    </w:p>
    <w:p w:rsidR="00E339C3" w:rsidRDefault="00E339C3" w:rsidP="00292AE0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以上三种情形不管是何时发生，都需要有一个</w:t>
      </w:r>
      <w:r w:rsidRPr="00F37C65">
        <w:rPr>
          <w:rFonts w:ascii="楷体" w:eastAsia="楷体" w:hAnsi="楷体" w:hint="eastAsia"/>
          <w:sz w:val="18"/>
          <w:szCs w:val="18"/>
          <w:highlight w:val="yellow"/>
        </w:rPr>
        <w:t>报警机制</w:t>
      </w:r>
      <w:r>
        <w:rPr>
          <w:rFonts w:ascii="楷体" w:eastAsia="楷体" w:hAnsi="楷体" w:hint="eastAsia"/>
          <w:sz w:val="18"/>
          <w:szCs w:val="18"/>
        </w:rPr>
        <w:t>告诉相关的业务人员去核实触发三种情形的原因；</w:t>
      </w:r>
    </w:p>
    <w:p w:rsidR="00E339C3" w:rsidRPr="00292AE0" w:rsidRDefault="00E339C3" w:rsidP="00292AE0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业务这边的同事会定期将最新的代码提供给技术进行抓取，这样能够及时保证新增公司的数据覆盖，以及发生了情形3的公司的补足；</w:t>
      </w:r>
    </w:p>
    <w:p w:rsidR="00515102" w:rsidRDefault="00566567" w:rsidP="00515102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年度和季度数据抓取（IS）</w:t>
      </w:r>
    </w:p>
    <w:p w:rsidR="00566567" w:rsidRPr="00566567" w:rsidRDefault="00F37C65" w:rsidP="00852377">
      <w:pPr>
        <w:pStyle w:val="ListParagraph"/>
        <w:numPr>
          <w:ilvl w:val="1"/>
          <w:numId w:val="2"/>
        </w:numPr>
        <w:ind w:firstLineChars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一般</w:t>
      </w:r>
      <w:r w:rsidR="00566567">
        <w:rPr>
          <w:rFonts w:ascii="楷体" w:eastAsia="楷体" w:hAnsi="楷体" w:hint="eastAsia"/>
          <w:sz w:val="18"/>
          <w:szCs w:val="18"/>
        </w:rPr>
        <w:t>样式抓取：</w:t>
      </w:r>
      <w:r w:rsidR="00852377">
        <w:rPr>
          <w:rFonts w:ascii="楷体" w:eastAsia="楷体" w:hAnsi="楷体" w:hint="eastAsia"/>
          <w:sz w:val="18"/>
          <w:szCs w:val="18"/>
        </w:rPr>
        <w:t>请通过年度IS表提供的链接对于美股的基本样式进行抓取，其中主要包括非财务类科目和非数值类科目的字段.</w:t>
      </w:r>
      <w:r>
        <w:rPr>
          <w:rFonts w:ascii="楷体" w:eastAsia="楷体" w:hAnsi="楷体" w:hint="eastAsia"/>
          <w:sz w:val="18"/>
          <w:szCs w:val="18"/>
        </w:rPr>
        <w:t>这类数据和财务数据是同时存在于一张表</w:t>
      </w:r>
      <w:r w:rsidR="00852377">
        <w:rPr>
          <w:rFonts w:ascii="楷体" w:eastAsia="楷体" w:hAnsi="楷体" w:hint="eastAsia"/>
          <w:sz w:val="18"/>
          <w:szCs w:val="18"/>
        </w:rPr>
        <w:lastRenderedPageBreak/>
        <w:t>“</w:t>
      </w:r>
      <w:r w:rsidR="00852377" w:rsidRPr="00852377">
        <w:rPr>
          <w:rFonts w:ascii="楷体" w:eastAsia="楷体" w:hAnsi="楷体"/>
          <w:sz w:val="18"/>
          <w:szCs w:val="18"/>
        </w:rPr>
        <w:t>http://www.marketwatch.com/investing/Stock/FISV/financials</w:t>
      </w:r>
      <w:r w:rsidR="00852377">
        <w:rPr>
          <w:rFonts w:ascii="楷体" w:eastAsia="楷体" w:hAnsi="楷体" w:hint="eastAsia"/>
          <w:sz w:val="18"/>
          <w:szCs w:val="18"/>
        </w:rPr>
        <w:t>”</w:t>
      </w:r>
    </w:p>
    <w:p w:rsidR="00566567" w:rsidRPr="00566567" w:rsidRDefault="00566567" w:rsidP="00566567">
      <w:pPr>
        <w:rPr>
          <w:rFonts w:ascii="楷体" w:eastAsia="楷体" w:hAnsi="楷体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367311BE" wp14:editId="777C6CD4">
            <wp:extent cx="52743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4D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576"/>
      </w:tblGrid>
      <w:tr w:rsidR="00566567" w:rsidTr="00566567">
        <w:trPr>
          <w:trHeight w:val="302"/>
        </w:trPr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字段名称</w:t>
            </w:r>
          </w:p>
        </w:tc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字段内容</w:t>
            </w:r>
          </w:p>
        </w:tc>
      </w:tr>
      <w:tr w:rsidR="00566567" w:rsidTr="00566567">
        <w:trPr>
          <w:trHeight w:val="302"/>
        </w:trPr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Currency</w:t>
            </w:r>
          </w:p>
        </w:tc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USD</w:t>
            </w:r>
          </w:p>
        </w:tc>
      </w:tr>
      <w:tr w:rsidR="00566567" w:rsidTr="00566567">
        <w:trPr>
          <w:trHeight w:val="302"/>
        </w:trPr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Unit</w:t>
            </w:r>
          </w:p>
        </w:tc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Millions</w:t>
            </w:r>
          </w:p>
        </w:tc>
      </w:tr>
      <w:tr w:rsidR="00566567" w:rsidTr="00566567">
        <w:trPr>
          <w:trHeight w:val="302"/>
        </w:trPr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FY</w:t>
            </w:r>
          </w:p>
        </w:tc>
        <w:tc>
          <w:tcPr>
            <w:tcW w:w="2576" w:type="dxa"/>
          </w:tcPr>
          <w:p w:rsidR="00566567" w:rsidRDefault="00566567" w:rsidP="00566567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January-December</w:t>
            </w:r>
          </w:p>
        </w:tc>
      </w:tr>
    </w:tbl>
    <w:p w:rsidR="00566567" w:rsidRDefault="00566567" w:rsidP="00566567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科目</w:t>
      </w:r>
      <w:r w:rsidR="00D978B1">
        <w:rPr>
          <w:rFonts w:ascii="楷体" w:eastAsia="楷体" w:hAnsi="楷体" w:hint="eastAsia"/>
          <w:sz w:val="18"/>
          <w:szCs w:val="18"/>
        </w:rPr>
        <w:t>样式抓取</w:t>
      </w:r>
      <w:r>
        <w:rPr>
          <w:rFonts w:ascii="楷体" w:eastAsia="楷体" w:hAnsi="楷体" w:hint="eastAsia"/>
          <w:sz w:val="18"/>
          <w:szCs w:val="18"/>
        </w:rPr>
        <w:t>：</w:t>
      </w:r>
    </w:p>
    <w:p w:rsidR="00D978B1" w:rsidRDefault="00D978B1" w:rsidP="00D978B1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样式表需要另外存储一张表，和数据表不要放在一起</w:t>
      </w:r>
      <w:r w:rsidR="00852377">
        <w:rPr>
          <w:rFonts w:ascii="楷体" w:eastAsia="楷体" w:hAnsi="楷体" w:hint="eastAsia"/>
          <w:sz w:val="18"/>
          <w:szCs w:val="18"/>
        </w:rPr>
        <w:t>；</w:t>
      </w:r>
    </w:p>
    <w:p w:rsidR="00852377" w:rsidRDefault="00852377" w:rsidP="00D978B1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科目内容和样式只需要抓取</w:t>
      </w:r>
      <w:r w:rsidRPr="00D615F0">
        <w:rPr>
          <w:rFonts w:ascii="楷体" w:eastAsia="楷体" w:hAnsi="楷体" w:hint="eastAsia"/>
          <w:sz w:val="18"/>
          <w:szCs w:val="18"/>
          <w:highlight w:val="yellow"/>
        </w:rPr>
        <w:t>年度数据</w:t>
      </w:r>
      <w:r>
        <w:rPr>
          <w:rFonts w:ascii="楷体" w:eastAsia="楷体" w:hAnsi="楷体" w:hint="eastAsia"/>
          <w:sz w:val="18"/>
          <w:szCs w:val="18"/>
        </w:rPr>
        <w:t>，即利润表，资产负债表和现金流量表的年度科目样式；</w:t>
      </w:r>
    </w:p>
    <w:p w:rsidR="009702AA" w:rsidRDefault="009702AA" w:rsidP="00D978B1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由于获取不到历史期的科目样式，我们目前只是按照当下最新期的科目进行抓取，所以样式表</w:t>
      </w:r>
      <w:r w:rsidR="00D615F0">
        <w:rPr>
          <w:rFonts w:ascii="楷体" w:eastAsia="楷体" w:hAnsi="楷体" w:hint="eastAsia"/>
          <w:sz w:val="18"/>
          <w:szCs w:val="18"/>
        </w:rPr>
        <w:t>的主键中</w:t>
      </w:r>
      <w:r>
        <w:rPr>
          <w:rFonts w:ascii="楷体" w:eastAsia="楷体" w:hAnsi="楷体" w:hint="eastAsia"/>
          <w:sz w:val="18"/>
          <w:szCs w:val="18"/>
        </w:rPr>
        <w:t>不需要有财务期；</w:t>
      </w:r>
    </w:p>
    <w:p w:rsidR="00D978B1" w:rsidRDefault="008068D1" w:rsidP="00D978B1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由于我们目前没有办法对于Market Watch的样式有一个很好的归纳，所以需要技术这边将每一家公司每一个科目都抓取下来，等日后容错和规则完善之后，就不再需要存储全部公司的的样式了。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0"/>
        <w:gridCol w:w="6434"/>
      </w:tblGrid>
      <w:tr w:rsidR="00D978B1" w:rsidTr="00E87703">
        <w:trPr>
          <w:trHeight w:val="278"/>
        </w:trPr>
        <w:tc>
          <w:tcPr>
            <w:tcW w:w="1260" w:type="dxa"/>
          </w:tcPr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字段名称</w:t>
            </w:r>
          </w:p>
        </w:tc>
        <w:tc>
          <w:tcPr>
            <w:tcW w:w="6434" w:type="dxa"/>
          </w:tcPr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字段内容</w:t>
            </w:r>
          </w:p>
        </w:tc>
      </w:tr>
      <w:tr w:rsidR="00D978B1" w:rsidTr="00E87703">
        <w:trPr>
          <w:trHeight w:val="278"/>
        </w:trPr>
        <w:tc>
          <w:tcPr>
            <w:tcW w:w="1260" w:type="dxa"/>
          </w:tcPr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科目序列</w:t>
            </w:r>
          </w:p>
          <w:p w:rsidR="008068D1" w:rsidRDefault="008068D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/>
                <w:sz w:val="18"/>
                <w:szCs w:val="18"/>
              </w:rPr>
              <w:t>S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erie</w:t>
            </w:r>
            <w:proofErr w:type="spellEnd"/>
          </w:p>
        </w:tc>
        <w:tc>
          <w:tcPr>
            <w:tcW w:w="6434" w:type="dxa"/>
          </w:tcPr>
          <w:p w:rsidR="00D978B1" w:rsidRDefault="00D978B1" w:rsidP="007363C7">
            <w:pPr>
              <w:pStyle w:val="ListParagraph"/>
              <w:ind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1,2,3,4,等序列</w:t>
            </w:r>
          </w:p>
          <w:p w:rsidR="00E87703" w:rsidRDefault="00D978B1" w:rsidP="007363C7">
            <w:pPr>
              <w:pStyle w:val="ListParagraph"/>
              <w:ind w:firstLineChars="0" w:firstLine="0"/>
              <w:jc w:val="left"/>
              <w:rPr>
                <w:rFonts w:ascii="楷体" w:eastAsia="楷体" w:hAnsi="楷体" w:hint="eastAsia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具体规则：是从“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Fiscal year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”所在行业的下面一个科目开始</w:t>
            </w:r>
            <w:r w:rsidR="007363C7">
              <w:rPr>
                <w:rFonts w:ascii="楷体" w:eastAsia="楷体" w:hAnsi="楷体" w:hint="eastAsia"/>
                <w:sz w:val="18"/>
                <w:szCs w:val="18"/>
              </w:rPr>
              <w:t>。由于</w:t>
            </w:r>
            <w:bookmarkStart w:id="1" w:name="OLE_LINK1"/>
            <w:r w:rsidR="007363C7">
              <w:rPr>
                <w:rFonts w:ascii="楷体" w:eastAsia="楷体" w:hAnsi="楷体" w:hint="eastAsia"/>
                <w:sz w:val="18"/>
                <w:szCs w:val="18"/>
              </w:rPr>
              <w:t>很多科目是有加号我们以加好开始的位置进行判断.</w:t>
            </w:r>
            <w:bookmarkEnd w:id="1"/>
          </w:p>
          <w:p w:rsidR="00D978B1" w:rsidRDefault="007363C7" w:rsidP="007363C7">
            <w:pPr>
              <w:pStyle w:val="ListParagraph"/>
              <w:ind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noProof/>
                <w:sz w:val="18"/>
                <w:szCs w:val="18"/>
              </w:rPr>
              <w:drawing>
                <wp:inline distT="0" distB="0" distL="0" distR="0" wp14:anchorId="42355117" wp14:editId="1274AB43">
                  <wp:extent cx="1124107" cy="2095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E8EE3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8B1" w:rsidTr="00E87703">
        <w:trPr>
          <w:trHeight w:val="278"/>
        </w:trPr>
        <w:tc>
          <w:tcPr>
            <w:tcW w:w="1260" w:type="dxa"/>
          </w:tcPr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科目的层级</w:t>
            </w:r>
          </w:p>
          <w:p w:rsidR="008068D1" w:rsidRDefault="008068D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L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evel</w:t>
            </w:r>
          </w:p>
        </w:tc>
        <w:tc>
          <w:tcPr>
            <w:tcW w:w="6434" w:type="dxa"/>
          </w:tcPr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L1，L2，L3，L4</w:t>
            </w:r>
          </w:p>
          <w:p w:rsidR="00D978B1" w:rsidRDefault="00D978B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具体规则：</w:t>
            </w:r>
            <w:r w:rsidR="003735EF">
              <w:rPr>
                <w:rFonts w:ascii="楷体" w:eastAsia="楷体" w:hAnsi="楷体" w:hint="eastAsia"/>
                <w:sz w:val="18"/>
                <w:szCs w:val="18"/>
              </w:rPr>
              <w:t>以抓取的第一个科目作为参照物，如果其他科目的位置是相对这个有1个空格的，我们暂定是L2，有两个空格是L3，以此类推。</w:t>
            </w:r>
          </w:p>
          <w:p w:rsidR="003735EF" w:rsidRPr="003735EF" w:rsidRDefault="003735EF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如果同级的就是L0</w:t>
            </w:r>
            <w:r w:rsidR="007363C7">
              <w:rPr>
                <w:rFonts w:ascii="楷体" w:eastAsia="楷体" w:hAnsi="楷体" w:hint="eastAsia"/>
                <w:sz w:val="18"/>
                <w:szCs w:val="18"/>
              </w:rPr>
              <w:t>。另外，很多科目是有加号我们以加好开始的位置进行判断.</w:t>
            </w:r>
          </w:p>
        </w:tc>
      </w:tr>
      <w:tr w:rsidR="003735EF" w:rsidTr="00E87703">
        <w:trPr>
          <w:trHeight w:val="278"/>
        </w:trPr>
        <w:tc>
          <w:tcPr>
            <w:tcW w:w="1260" w:type="dxa"/>
          </w:tcPr>
          <w:p w:rsidR="003735EF" w:rsidRDefault="003735EF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科目的名称</w:t>
            </w:r>
          </w:p>
          <w:p w:rsidR="008068D1" w:rsidRDefault="008068D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Item</w:t>
            </w:r>
          </w:p>
        </w:tc>
        <w:tc>
          <w:tcPr>
            <w:tcW w:w="6434" w:type="dxa"/>
          </w:tcPr>
          <w:p w:rsidR="003735EF" w:rsidRDefault="003735EF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财务科目名称</w:t>
            </w:r>
          </w:p>
          <w:p w:rsidR="003735EF" w:rsidRDefault="008068D1" w:rsidP="00D978B1">
            <w:pPr>
              <w:pStyle w:val="ListParagraph"/>
              <w:ind w:firstLineChars="0" w:firstLine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具体规则：保证科目抓取完整</w:t>
            </w:r>
          </w:p>
        </w:tc>
      </w:tr>
    </w:tbl>
    <w:p w:rsidR="00D978B1" w:rsidRDefault="00D978B1" w:rsidP="00D978B1">
      <w:pPr>
        <w:pStyle w:val="ListParagraph"/>
        <w:ind w:left="1260" w:firstLineChars="0" w:firstLine="0"/>
        <w:rPr>
          <w:rFonts w:ascii="楷体" w:eastAsia="楷体" w:hAnsi="楷体"/>
          <w:sz w:val="18"/>
          <w:szCs w:val="18"/>
        </w:rPr>
      </w:pPr>
    </w:p>
    <w:p w:rsidR="00E87703" w:rsidRDefault="00E87703" w:rsidP="00566567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财务数据抓取</w:t>
      </w:r>
    </w:p>
    <w:p w:rsidR="00E87703" w:rsidRDefault="00E87703" w:rsidP="00E87703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根据样式表抓取完成以后，我们对于每一个独一无二的科目都给上一个code，这样对于财务数据表存储数据会带来很多好处；</w:t>
      </w:r>
    </w:p>
    <w:p w:rsidR="00E87703" w:rsidRDefault="00E87703" w:rsidP="00E87703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由于页面上抓取的是科目的名称，需要将其转换成我们自己定义的code，然后将每一期</w:t>
      </w:r>
      <w:r>
        <w:rPr>
          <w:rFonts w:ascii="楷体" w:eastAsia="楷体" w:hAnsi="楷体" w:hint="eastAsia"/>
          <w:sz w:val="18"/>
          <w:szCs w:val="18"/>
        </w:rPr>
        <w:lastRenderedPageBreak/>
        <w:t>所对应的数据存储到财务数据表；</w:t>
      </w:r>
    </w:p>
    <w:p w:rsidR="00E87703" w:rsidRDefault="00C439DD" w:rsidP="00E87703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财务数据存储表是根据公司的代码，市场和财务期所作为主键来构造，同时要将财务日期抓换成“年-月-日”这样的格式；</w:t>
      </w:r>
    </w:p>
    <w:p w:rsidR="00C439DD" w:rsidRPr="00C439DD" w:rsidRDefault="00C439DD" w:rsidP="00C439DD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表结构字段中，需要有一个描述数据频率的字段，主要是年度和季度数据；</w:t>
      </w:r>
    </w:p>
    <w:p w:rsidR="00D978B1" w:rsidRDefault="00E87703" w:rsidP="00E87703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Market Watch一般会披露5年的数据，对应科目的名称将每一期的数据都存储下来；</w:t>
      </w:r>
    </w:p>
    <w:p w:rsidR="00E87703" w:rsidRDefault="00C439DD" w:rsidP="00E87703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对于不同频率的财务数据是否要分表存储，也需要技术评估</w:t>
      </w:r>
    </w:p>
    <w:p w:rsidR="00566567" w:rsidRPr="00C439DD" w:rsidRDefault="00566567" w:rsidP="00C439DD">
      <w:pPr>
        <w:rPr>
          <w:rFonts w:ascii="楷体" w:eastAsia="楷体" w:hAnsi="楷体"/>
          <w:sz w:val="18"/>
          <w:szCs w:val="18"/>
        </w:rPr>
      </w:pPr>
    </w:p>
    <w:sectPr w:rsidR="00566567" w:rsidRPr="00C4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E8"/>
    <w:multiLevelType w:val="hybridMultilevel"/>
    <w:tmpl w:val="530A28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2C41F1"/>
    <w:multiLevelType w:val="hybridMultilevel"/>
    <w:tmpl w:val="D46001C2"/>
    <w:lvl w:ilvl="0" w:tplc="0409001B">
      <w:start w:val="1"/>
      <w:numFmt w:val="lowerRoman"/>
      <w:lvlText w:val="%1."/>
      <w:lvlJc w:val="righ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2C102497"/>
    <w:multiLevelType w:val="hybridMultilevel"/>
    <w:tmpl w:val="FFA63C8E"/>
    <w:lvl w:ilvl="0" w:tplc="0409001B">
      <w:start w:val="1"/>
      <w:numFmt w:val="lowerRoman"/>
      <w:lvlText w:val="%1."/>
      <w:lvlJc w:val="righ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>
    <w:nsid w:val="30B4371B"/>
    <w:multiLevelType w:val="hybridMultilevel"/>
    <w:tmpl w:val="F0AEF72A"/>
    <w:lvl w:ilvl="0" w:tplc="EB5C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D0489"/>
    <w:multiLevelType w:val="hybridMultilevel"/>
    <w:tmpl w:val="2B1401C6"/>
    <w:lvl w:ilvl="0" w:tplc="4D42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060E9"/>
    <w:multiLevelType w:val="hybridMultilevel"/>
    <w:tmpl w:val="412E0A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1A17C98"/>
    <w:multiLevelType w:val="hybridMultilevel"/>
    <w:tmpl w:val="355A157A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2D"/>
    <w:rsid w:val="00292AE0"/>
    <w:rsid w:val="003735EF"/>
    <w:rsid w:val="003D7346"/>
    <w:rsid w:val="00515102"/>
    <w:rsid w:val="00566567"/>
    <w:rsid w:val="0059652D"/>
    <w:rsid w:val="007363C7"/>
    <w:rsid w:val="008068D1"/>
    <w:rsid w:val="00852377"/>
    <w:rsid w:val="008E1403"/>
    <w:rsid w:val="009702AA"/>
    <w:rsid w:val="00C439DD"/>
    <w:rsid w:val="00CB7551"/>
    <w:rsid w:val="00D615F0"/>
    <w:rsid w:val="00D978B1"/>
    <w:rsid w:val="00DC298A"/>
    <w:rsid w:val="00E339C3"/>
    <w:rsid w:val="00E87703"/>
    <w:rsid w:val="00F37C65"/>
    <w:rsid w:val="00F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3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5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52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E0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734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D73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3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5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52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E0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734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D73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watch.com/investing/Stock/FISV/financials/balance-sheet" TargetMode="External"/><Relationship Id="rId13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hyperlink" Target="http://www.marketwatch.com/investing/Stock/FISV/financials/income/quarter" TargetMode="External"/><Relationship Id="rId12" Type="http://schemas.openxmlformats.org/officeDocument/2006/relationships/image" Target="media/image1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rketwatch.com/investing/Stock/FISV/financials/cash-flow/quart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rketwatch.com/investing/Stock/FISV/financials/cash-flo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rketwatch.com/investing/Stock/FISV/financials/balance-sheet/quarter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6F5D-741C-4E6D-8A23-32486E32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andy.zhang</dc:creator>
  <cp:lastModifiedBy>andy.zhang</cp:lastModifiedBy>
  <cp:revision>10</cp:revision>
  <dcterms:created xsi:type="dcterms:W3CDTF">2016-10-11T08:47:00Z</dcterms:created>
  <dcterms:modified xsi:type="dcterms:W3CDTF">2016-10-12T03:32:00Z</dcterms:modified>
</cp:coreProperties>
</file>