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5.pdf" ContentType="application/pdf"/>
  <Override PartName="/word/media/rId46.pdf" ContentType="application/pdf"/>
  <Override PartName="/word/media/rId4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putative</w:t>
      </w:r>
      <w:r>
        <w:t xml:space="preserve"> </w:t>
      </w:r>
      <w:r>
        <w:t xml:space="preserve">causal</w:t>
      </w:r>
      <w:r>
        <w:t xml:space="preserve"> </w:t>
      </w:r>
      <w:r>
        <w:t xml:space="preserve">map</w:t>
      </w:r>
      <w:r>
        <w:t xml:space="preserve"> </w:t>
      </w:r>
      <w:r>
        <w:t xml:space="preserve">of</w:t>
      </w:r>
      <w:r>
        <w:t xml:space="preserve"> </w:t>
      </w:r>
      <w:r>
        <w:t xml:space="preserve">natural</w:t>
      </w:r>
      <w:r>
        <w:t xml:space="preserve"> </w:t>
      </w:r>
      <w:r>
        <w:t xml:space="preserve">variation</w:t>
      </w:r>
      <w:r>
        <w:t xml:space="preserve"> </w:t>
      </w:r>
      <w:r>
        <w:t xml:space="preserve">across</w:t>
      </w:r>
      <w:r>
        <w:t xml:space="preserve"> </w:t>
      </w:r>
      <w:r>
        <w:t xml:space="preserve">the</w:t>
      </w:r>
      <w:r>
        <w:t xml:space="preserve"> </w:t>
      </w:r>
      <w:r>
        <w:t xml:space="preserve">human</w:t>
      </w:r>
      <w:r>
        <w:t xml:space="preserve"> </w:t>
      </w:r>
      <w:r>
        <w:t xml:space="preserve">phenome</w:t>
      </w:r>
    </w:p>
    <w:p>
      <w:pPr>
        <w:pStyle w:val="Date"/>
      </w:pPr>
      <w:r>
        <w:t xml:space="preserve">03</w:t>
      </w:r>
      <w:r>
        <w:t xml:space="preserve"> </w:t>
      </w:r>
      <w:r>
        <w:t xml:space="preserve">August</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w:t>
      </w:r>
      <m:oMath>
        <m:sSup>
          <m:e>
            <m:r>
              <m:t/>
            </m:r>
          </m:e>
          <m:sup>
            <m:r>
              <m:t>2</m:t>
            </m:r>
          </m:sup>
        </m:sSup>
      </m:oMath>
      <w:r>
        <w:t xml:space="preserve">,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Population Health Sciences, Bristol, UK</w:t>
      </w:r>
    </w:p>
    <w:p>
      <w:pPr>
        <w:pStyle w:val="Compact"/>
        <w:numPr>
          <w:numId w:val="1001"/>
          <w:ilvl w:val="0"/>
        </w:numPr>
      </w:pPr>
      <w:r>
        <w:t xml:space="preserve">Intelligent Systems Laboratory, Department of Computer Science, University of Bristol</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We demonstrate that across a range of pleiotropy models, instrument selection will be increasingly liable to selecting invalid instruments as GWAS sample sizes continue to grow. Methods have been developed in an attempt to protect MR from different patterns of horizontal pleiotropy, and here we have designed a mixture-of-experts machine learning framework (MR-MoE 1.0) that predicts the most appropriate model to use for any specific causal analysis, improving on both power and false discovery rates. Using the approach, we systematically estimated the causal effects amongst 2407 phenotypes, comprising the evaluation of causality between over a million pairs of traits. Almost 90% of causal estimates indicated some level of horizontal pleiotropy. The causal estimates are organised into a publicly available graph database (</w:t>
      </w:r>
      <w:hyperlink r:id="rId23">
        <w:r>
          <w:rPr>
            <w:rStyle w:val="Hyperlink"/>
          </w:rPr>
          <w:t xml:space="preserve">http://eve.mrbase.org</w:t>
        </w:r>
      </w:hyperlink>
      <w:r>
        <w:t xml:space="preserve">), and we use it here to highlight the numerous challenges that remain in automated causal inference.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vertical pleiotropy to infer the causal relationships between phenotypes. Suppose that one trait (the exposure) causally influences another (the outcome). If a SNP influences the outcome through the exposure then the SNP is exhibiting vertical pleiotropy (see Box 1). Such a genetic variant is considered to be a valid instrumental variable if it only influences the outcome through the exposure (the exclusion restriction assumption). Vertical pleiotropy can be exploited to mimic a randomised controlled trial, enabling a causal estimate to be made by comparing the outcome phenotypes between those individuals that have the exposure-increasing allele against those who do not, although not without caveats</w:t>
      </w:r>
      <w:r>
        <w:t xml:space="preserve"> </w:t>
      </w:r>
      <w:r>
        <w:t xml:space="preserve">(3)</w:t>
      </w:r>
      <w:r>
        <w:t xml:space="preserve">.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assumption can be detected or corrected by evaluating the consistency of effects across instruments</w:t>
      </w:r>
      <w:r>
        <w:t xml:space="preserve"> </w:t>
      </w:r>
      <w:r>
        <w:t xml:space="preserve">(4–9)</w:t>
      </w:r>
      <w:r>
        <w:t xml:space="preserve">.</w:t>
      </w:r>
    </w:p>
    <w:p>
      <w:pPr>
        <w:pStyle w:val="BodyText"/>
      </w:pPr>
      <w:r>
        <w:t xml:space="preserve">Genome-wide association studies (GWAS) have identified potential instrumental variables for thousands of phenotypes</w:t>
      </w:r>
      <w:r>
        <w:t xml:space="preserve"> </w:t>
      </w:r>
      <w:r>
        <w:t xml:space="preserve">(10)</w:t>
      </w:r>
      <w:r>
        <w:t xml:space="preserve">. Recent developments in MR have enabled knowledge of instrumental variables to be applied using either individual-level or only summary-level data (known as two-sample MR, 2SMR)</w:t>
      </w:r>
      <w:r>
        <w:t xml:space="preserve"> </w:t>
      </w:r>
      <w:r>
        <w:t xml:space="preserve">(11)</w:t>
      </w:r>
      <w:r>
        <w:t xml:space="preserve">. Here, in order to infer the causal effect of an exposure on an outcome all that is required are the genetic effects of the instrumenting SNP on the exposure and the outcome. This has three major advantages. First, GWAS summary data are non-disclosive and often publicly available. Second, causal inference can be made between phenotypes even if they have not been measured in the same samples, limiting possible MR analyses only by the availability of GWAS summary data for the traits in question</w:t>
      </w:r>
      <w:r>
        <w:t xml:space="preserve"> </w:t>
      </w:r>
      <w:r>
        <w:t xml:space="preserve">(12)</w:t>
      </w:r>
      <w:r>
        <w:t xml:space="preserve">. Third, because each instrumental variable mimics an independent randomization study, we can view the causal inference problem through the simple and widely understood prism of a meta-analysis.</w:t>
      </w:r>
    </w:p>
    <w:p>
      <w:pPr>
        <w:pStyle w:val="BodyText"/>
      </w:pPr>
      <w:r>
        <w:t xml:space="preserve">Problems with obtaining unbiased causal effects can arise, however, if the genetic instruments exhibit horizontal pleiotropy (HP), where they influence the outcome through a pathway other than the exposure (Box 1). The extent of this phenomenon is not to be understated, and many methods have been developed that attempt to reliably obtain unbiased causal estimates under specific models of HP</w:t>
      </w:r>
      <w:r>
        <w:t xml:space="preserve"> </w:t>
      </w:r>
      <w:r>
        <w:t xml:space="preserve">(4–7,9,13)</w:t>
      </w:r>
      <w:r>
        <w:t xml:space="preserve">. It is considered best practice to triangulate estimates from a range of MR methods (and other experimental designs) when presenting causal estimates so as to assess the potential for different horizontal pleiotropy models and other violations of MR assumptions</w:t>
      </w:r>
      <w:r>
        <w:t xml:space="preserve"> </w:t>
      </w:r>
      <w:r>
        <w:t xml:space="preserve">(14)</w:t>
      </w:r>
      <w:r>
        <w:t xml:space="preserve">. However there are circumstances in which it is desirable to consolidate across many methods to obtain a single MR estimate. First, it could be of interest to screen links between thousands of traits for being potential causal associations, in which case a critical evaluation of each causal estimate of interest may not be possible or convenient. Second, though the simplest method, based on inverse-variance weighted (IVW) meta analysis</w:t>
      </w:r>
      <w:r>
        <w:t xml:space="preserve"> </w:t>
      </w:r>
      <w:r>
        <w:t xml:space="preserve">(11)</w:t>
      </w:r>
      <w:r>
        <w:t xml:space="preserve">, is most statistically powerful under no HP, it can have high false positive or low true positive rates in the presence of HP compared to other methods. Pleiotropy has been hypothesised to be universal</w:t>
      </w:r>
      <w:r>
        <w:t xml:space="preserve"> </w:t>
      </w:r>
      <w:r>
        <w:t xml:space="preserve">(15)</w:t>
      </w:r>
      <w:r>
        <w:t xml:space="preserve">, though the degree and nature (e.g. horizontal versus vertical, see Box 1) to which this may be the case is contested</w:t>
      </w:r>
      <w:r>
        <w:t xml:space="preserve"> </w:t>
      </w:r>
      <w:r>
        <w:t xml:space="preserve">(16,17)</w:t>
      </w:r>
      <w:r>
        <w:t xml:space="preserve">, hence defaulting to the IVW method in the first instance and using other methods as sensitivity analyses may not be appropriate. Third, if different methods disagree it is not possible to know which is correct because the true nature of HP exhibited by the instruments is not known. Fourth, the available methods do not cover all possible models of HP, and therefore an automated method for instrument selection may be necessary.</w:t>
      </w:r>
    </w:p>
    <w:p>
      <w:pPr>
        <w:pStyle w:val="BodyText"/>
      </w:pPr>
      <w:r>
        <w:t xml:space="preserve">In this paper we introduce two innovations towards improving the reliability of MR estimates. First, we present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(12)</w:t>
      </w:r>
      <w:r>
        <w:t xml:space="preserve">, we use these new methods to construct a graph of millions of causal estimates. Motivated by the recent avalanche</w:t>
      </w:r>
      <w:r>
        <w:t xml:space="preserve"> </w:t>
      </w:r>
      <w:r>
        <w:t xml:space="preserve">(18)</w:t>
      </w:r>
      <w:r>
        <w:t xml:space="preserve"> </w:t>
      </w:r>
      <w:r>
        <w:t xml:space="preserve">of 2SMR publications, with similar</w:t>
      </w:r>
      <w:r>
        <w:t xml:space="preserve"> </w:t>
      </w:r>
      <w:r>
        <w:t xml:space="preserve">(19,20)</w:t>
      </w:r>
      <w:r>
        <w:t xml:space="preserve"> </w:t>
      </w:r>
      <w:r>
        <w:t xml:space="preserve">or contradicting</w:t>
      </w:r>
      <w:r>
        <w:t xml:space="preserve"> </w:t>
      </w:r>
      <w:r>
        <w:t xml:space="preserve">(21,22)</w:t>
      </w:r>
      <w:r>
        <w:t xml:space="preserve"> </w:t>
      </w:r>
      <w:r>
        <w:t xml:space="preserve">conclusions despite using the same data</w:t>
      </w:r>
      <w:r>
        <w:t xml:space="preserve"> </w:t>
      </w:r>
      <w:r>
        <w:t xml:space="preserve">(18)</w:t>
      </w:r>
      <w:r>
        <w:t xml:space="preserve">,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3"/>
      </w:pPr>
      <w:bookmarkStart w:id="25" w:name="box-1-pleiotropic-mechanisms"/>
      <w:bookmarkEnd w:id="25"/>
      <w:r>
        <w:t xml:space="preserve">Box 1: Pleiotropic mechanisms</w:t>
      </w:r>
    </w:p>
    <w:p>
      <w:pPr>
        <w:pStyle w:val="FirstParagraph"/>
      </w:pPr>
      <w:r>
        <w:t xml:space="preserve">Pleiotropy is the phenomenon whereby a single genetic variant influences multiple phenotypes. The mechanisms behind it can arise through many different mechanisms, for example a single variant influences multiple genes; a single gene generates multiple gene products; a single gene product has multiple cellular functions; or a single cellular function influences multiple phenotypes</w:t>
      </w:r>
      <w:r>
        <w:t xml:space="preserve"> </w:t>
      </w:r>
      <w:r>
        <w:t xml:space="preserve">(23)</w:t>
      </w:r>
      <w:r>
        <w:t xml:space="preserve">. How we classify the pleiotropic mechanism depends on the application, and in this paper we discuss pleiotropy in two forms - vertical and horizontal. Vertical pleiotropy has also been known as mediated pleiotropy</w:t>
      </w:r>
      <w:r>
        <w:t xml:space="preserve"> </w:t>
      </w:r>
      <w:r>
        <w:t xml:space="preserve">(24)</w:t>
      </w:r>
      <w:r>
        <w:t xml:space="preserve">, because the genetic variant influences one trait, which in turn influences a second trait. It has also been termed, in some contexts, Type II pleiotropy</w:t>
      </w:r>
      <w:r>
        <w:t xml:space="preserve"> </w:t>
      </w:r>
      <w:r>
        <w:t xml:space="preserve">(16)</w:t>
      </w:r>
      <w:r>
        <w:t xml:space="preserve"> </w:t>
      </w:r>
      <w:r>
        <w:t xml:space="preserve">and secondary pleiotropy</w:t>
      </w:r>
      <w:r>
        <w:t xml:space="preserve"> </w:t>
      </w:r>
      <w:r>
        <w:t xml:space="preserve">(25)</w:t>
      </w:r>
      <w:r>
        <w:t xml:space="preserve">. It is this form of pleiotropy that MR assumes to make causal inference between two traits.</w:t>
      </w:r>
    </w:p>
    <w:p>
      <w:pPr>
        <w:pStyle w:val="BodyText"/>
      </w:pPr>
      <w:r>
        <w:t xml:space="preserve">By contrast, horizontal pleiotropy can manifest in a myriad of different ways, but the basic principle is that the genetic variant influences two different phenotypes through independent pathways. Depending on context, horizontal pleiotropy can also be termed biological pleiotropy</w:t>
      </w:r>
      <w:r>
        <w:t xml:space="preserve"> </w:t>
      </w:r>
      <w:r>
        <w:t xml:space="preserve">(24)</w:t>
      </w:r>
      <w:r>
        <w:t xml:space="preserve">, Type I pleiotropy</w:t>
      </w:r>
      <w:r>
        <w:t xml:space="preserve"> </w:t>
      </w:r>
      <w:r>
        <w:t xml:space="preserve">(16)</w:t>
      </w:r>
      <w:r>
        <w:t xml:space="preserve">, developmental pleiotropy or selectional pleiotropy</w:t>
      </w:r>
      <w:r>
        <w:t xml:space="preserve"> </w:t>
      </w:r>
      <w:r>
        <w:t xml:space="preserve">(26)</w:t>
      </w:r>
      <w:r>
        <w:t xml:space="preserve">. From the perspective of MR, horizontal pleiotropy arises when a SNP influences an outcome trait through some pathway other than the exposure trait.</w:t>
      </w:r>
    </w:p>
    <w:p>
      <w:pPr>
        <w:pStyle w:val="BodyText"/>
      </w:pPr>
      <w:r>
        <w:t xml:space="preserve">A genetic variant can exhibit both horizontal and vertical pleiotropy in different MR analyses. For example, consider a scenario where a SNP influences the expression levels of two genes (X and Y), and gene X influences trait A while gene Y influences trait B. Then:</w:t>
      </w:r>
    </w:p>
    <w:p>
      <w:pPr>
        <w:pStyle w:val="Compact"/>
        <w:numPr>
          <w:numId w:val="1002"/>
          <w:ilvl w:val="0"/>
        </w:numPr>
      </w:pPr>
      <w:r>
        <w:t xml:space="preserve">The genetic variant is exhibiting a vertical pleiotropic effect on trait A and the expression level of gene X. Here, all other assumptions being met, the genetic variant would be a valid instrument if used to estimate the causal effect of the gene expression level on trait A. However,</w:t>
      </w:r>
    </w:p>
    <w:p>
      <w:pPr>
        <w:pStyle w:val="Compact"/>
        <w:numPr>
          <w:numId w:val="1002"/>
          <w:ilvl w:val="0"/>
        </w:numPr>
      </w:pPr>
      <w:r>
        <w:t xml:space="preserve">the SNP is exhibiting a horizontal pleiotropic effect on trait A and trait B through the two gene expression levels. Here the genetic variant would be invalid if used to estimate the causal effect of trait A on trait B.</w:t>
      </w:r>
    </w:p>
    <w:p>
      <w:pPr>
        <w:pStyle w:val="Figure"/>
      </w:pPr>
      <w:r>
        <w:drawing>
          <wp:inline>
            <wp:extent cx="2273808" cy="3048000"/>
            <wp:effectExtent b="0" l="0" r="0" t="0"/>
            <wp:docPr descr="" title="" id="1" name="Picture"/>
            <a:graphic>
              <a:graphicData uri="http://schemas.openxmlformats.org/drawingml/2006/picture">
                <pic:pic>
                  <pic:nvPicPr>
                    <pic:cNvPr descr="images/pleiotropy.png" id="0" name="Picture"/>
                    <pic:cNvPicPr>
                      <a:picLocks noChangeArrowheads="1" noChangeAspect="1"/>
                    </pic:cNvPicPr>
                  </pic:nvPicPr>
                  <pic:blipFill>
                    <a:blip r:embed="rId26"/>
                    <a:stretch>
                      <a:fillRect/>
                    </a:stretch>
                  </pic:blipFill>
                  <pic:spPr bwMode="auto">
                    <a:xfrm>
                      <a:off x="0" y="0"/>
                      <a:ext cx="2273808" cy="3048000"/>
                    </a:xfrm>
                    <a:prstGeom prst="rect">
                      <a:avLst/>
                    </a:prstGeom>
                    <a:noFill/>
                    <a:ln w="9525">
                      <a:noFill/>
                      <a:headEnd/>
                      <a:tailEnd/>
                    </a:ln>
                  </pic:spPr>
                </pic:pic>
              </a:graphicData>
            </a:graphic>
          </wp:inline>
        </w:drawing>
      </w:r>
    </w:p>
    <w:p>
      <w:pPr>
        <w:pStyle w:val="FirstParagraph"/>
      </w:pPr>
      <w:r>
        <w:t xml:space="preserve">Adapted from Figure 3 in Hu et al (2016).</w:t>
      </w:r>
    </w:p>
    <w:p>
      <w:pPr>
        <w:pStyle w:val="Heading2"/>
      </w:pPr>
      <w:bookmarkStart w:id="27" w:name="methods"/>
      <w:bookmarkEnd w:id="27"/>
      <w:r>
        <w:t xml:space="preserve">Methods</w:t>
      </w:r>
    </w:p>
    <w:p>
      <w:pPr>
        <w:pStyle w:val="Heading3"/>
      </w:pPr>
      <w:bookmarkStart w:id="28" w:name="gwas-summary-data-and-their-use-in-2smr"/>
      <w:bookmarkEnd w:id="28"/>
      <w:r>
        <w:t xml:space="preserve">GWAS summary data and their use in 2SMR</w:t>
      </w:r>
    </w:p>
    <w:p>
      <w:pPr>
        <w:pStyle w:val="FirstParagraph"/>
      </w:pPr>
      <w:r>
        <w:t xml:space="preserve">The use of summary data in two-sample MR is described in detail elsewhere</w:t>
      </w:r>
      <w:r>
        <w:t xml:space="preserve"> </w:t>
      </w:r>
      <w:r>
        <w:t xml:space="preserve">(12,27)</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from published GWAS summary data, either from from curated lists of established GWAS associations</w:t>
      </w:r>
      <w:r>
        <w:t xml:space="preserve"> </w:t>
      </w:r>
      <w:r>
        <w:t xml:space="preserve">(10)</w:t>
      </w:r>
      <w:r>
        <w:t xml:space="preserve"> </w:t>
      </w:r>
      <w:r>
        <w:t xml:space="preserve">or study websites comprising complete summary data (all SNP effects across the genome regardless of strength of association). Next, the effects of those SNPs on the outcome need to be obtained, typically necessitating access to complete summary data because these SNPs will not usually reach genome-wide significance for the outcome trait (and are therefore usually absent in curated catalogues).</w:t>
      </w:r>
    </w:p>
    <w:p>
      <w:pPr>
        <w:pStyle w:val="BodyText"/>
      </w:pPr>
      <w:r>
        <w:t xml:space="preserve">We use the term</w:t>
      </w:r>
      <w:r>
        <w:t xml:space="preserve"> </w:t>
      </w:r>
      <w:r>
        <w:rPr>
          <w:i/>
        </w:rPr>
        <w:t xml:space="preserve">summary-set</w:t>
      </w:r>
      <w:r>
        <w:t xml:space="preserve"> </w:t>
      </w:r>
      <w:r>
        <w:t xml:space="preserve">to refer to the minimum data required to perform 2SMR analysis - four columns comprising the SNP-exposure and SNP-outcome effects and their standard errors, with each rows corresponding to a SNP that is used as an instrument for the exposure.</w:t>
      </w:r>
    </w:p>
    <w:p>
      <w:pPr>
        <w:pStyle w:val="BodyText"/>
      </w:pPr>
      <w:r>
        <w:t xml:space="preserve">In its simplest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that were used in these analyses.</w:t>
      </w:r>
    </w:p>
    <w:p>
      <w:pPr>
        <w:pStyle w:val="Heading3"/>
      </w:pPr>
      <w:bookmarkStart w:id="29" w:name="mr-methods-and-their-assumptions"/>
      <w:bookmarkEnd w:id="29"/>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 Though other methods also exist we have limited the analyses to the following 14 methods for simplicity.</w:t>
      </w:r>
    </w:p>
    <w:p>
      <w:pPr>
        <w:pStyle w:val="BodyText"/>
      </w:pPr>
      <w:r>
        <w:rPr>
          <w:b/>
        </w:rPr>
        <w:t xml:space="preserve">Mean-based methods:</w:t>
      </w:r>
      <w:r>
        <w:t xml:space="preserve"> </w:t>
      </w:r>
      <w:r>
        <w:t xml:space="preserve">Here we consider four nested models</w:t>
      </w:r>
      <w:r>
        <w:t xml:space="preserve"> </w:t>
      </w:r>
      <w:r>
        <w:t xml:space="preserve">(6)</w:t>
      </w:r>
      <w:r>
        <w:t xml:space="preserve">. The inverse variance weighted (IVW) fixed effects meta-analysis approach assumes that variants exhibit no HP. IVW random effects meta-analysis relaxes the HP assumption, allowing it to be present but balanced - such that it only leads to increased heterogeneity around the regression line without affecting the slope (and therefore not introducing bias). Fixed effects Egger regression</w:t>
      </w:r>
      <w:r>
        <w:t xml:space="preserve"> </w:t>
      </w:r>
      <w:r>
        <w:t xml:space="preserve">(4)</w:t>
      </w:r>
      <w:r>
        <w:t xml:space="preserve"> </w:t>
      </w:r>
      <w:r>
        <w:t xml:space="preserve">relaxes the HP assumption further by allowing a non-zero intercept which essentially allows overall horizontal pleiotropy to be directional, where its total effect influences the outcome in a specific direction. Random effects Egger regression further allows heterogeneity around the slope having accounted for overall directional HP</w:t>
      </w:r>
      <w:r>
        <w:t xml:space="preserve"> </w:t>
      </w:r>
      <w:r>
        <w:t xml:space="preserve">(6)</w:t>
      </w:r>
      <w:r>
        <w:t xml:space="preserve">, as long as the HP effects are not correlated with the SNP-exposure effects (also known as the INSIDE assumption)</w:t>
      </w:r>
      <w:r>
        <w:t xml:space="preserve">(4)</w:t>
      </w:r>
      <w:r>
        <w:t xml:space="preserve">.</w:t>
      </w:r>
    </w:p>
    <w:p>
      <w:pPr>
        <w:pStyle w:val="BodyText"/>
      </w:pPr>
      <w:r>
        <w:t xml:space="preserve">The Rucker framework</w:t>
      </w:r>
      <w:r>
        <w:t xml:space="preserve"> </w:t>
      </w:r>
      <w:r>
        <w:t xml:space="preserve">(28)</w:t>
      </w:r>
      <w:r>
        <w:t xml:space="preserve">, adapted to MR</w:t>
      </w:r>
      <w:r>
        <w:t xml:space="preserve"> </w:t>
      </w:r>
      <w:r>
        <w:t xml:space="preserve">(6)</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MR analyses where there are 15 or more instruments,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(5,29)</w:t>
      </w:r>
      <w:r>
        <w:t xml:space="preserve">. This has the advantage that only half the instruments need to be valid, and the estimate will remain unbiased. The weighted median estimate develops the approach further to allow stronger instruments to contribute more towards the estimate can be obtained by weighting the contribution of each instrument by the inverse of its variance. The penalised weighted median estimator introduces a further weight to the instruments, penalising any instrument that contributes substantially towards the heterogeneity statistic. Together, this provides three median based estimators. Other estimation strategies not considered here, such as LASSO regression, have also been developed for the situation where at least half of the instruments are valid</w:t>
      </w:r>
      <w:r>
        <w:t xml:space="preserve"> </w:t>
      </w:r>
      <w:r>
        <w:t xml:space="preserve">(30)</w:t>
      </w:r>
      <w:r>
        <w:t xml:space="preserve">.</w:t>
      </w:r>
    </w:p>
    <w:p>
      <w:pPr>
        <w:pStyle w:val="BodyText"/>
      </w:pPr>
      <w:r>
        <w:rPr>
          <w:b/>
        </w:rPr>
        <w:t xml:space="preserve">Mode-based methods:</w:t>
      </w:r>
      <w:r>
        <w:t xml:space="preserve"> </w:t>
      </w:r>
      <w:r>
        <w:t xml:space="preserve">The mode based estimator clusters the instruments into groups based on similarity of causal effects, and returns the final causal effect estimate based on the cluster that has the largest number of instruments</w:t>
      </w:r>
      <w:r>
        <w:t xml:space="preserve"> </w:t>
      </w:r>
      <w:r>
        <w:t xml:space="preserve">(7)</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30" w:name="instrument-selection"/>
      <w:bookmarkEnd w:id="30"/>
      <w:r>
        <w:t xml:space="preserve">Instrument selection</w:t>
      </w:r>
    </w:p>
    <w:p>
      <w:pPr>
        <w:pStyle w:val="Heading4"/>
      </w:pPr>
      <w:bookmarkStart w:id="31" w:name="top-hits"/>
      <w:bookmarkEnd w:id="31"/>
      <w:r>
        <w:t xml:space="preserve">Top hits</w:t>
      </w:r>
    </w:p>
    <w:p>
      <w:pPr>
        <w:pStyle w:val="FirstParagraph"/>
      </w:pPr>
      <w:r>
        <w:t xml:space="preserve">The simplest approach to selecting instruments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(12)</w:t>
      </w:r>
      <w:r>
        <w:t xml:space="preserve">. Complete summary data refers to association results for all SNPs used in a GWAS i.e. not only those passing statistical thresholds for significance. We call this the "tophits" strategy.</w:t>
      </w:r>
    </w:p>
    <w:p>
      <w:pPr>
        <w:pStyle w:val="Heading4"/>
      </w:pPr>
      <w:bookmarkStart w:id="32" w:name="steiger-filtering"/>
      <w:bookmarkEnd w:id="32"/>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effect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sSub>
          <m:e>
            <m:r>
              <m:t>ρ</m:t>
            </m:r>
          </m:e>
          <m:sub>
            <m:r>
              <m:t>x</m:t>
            </m:r>
            <m:r>
              <m:t>,</m:t>
            </m:r>
            <m:sSub>
              <m:e>
                <m:r>
                  <m:t>x</m:t>
                </m:r>
              </m:e>
              <m:sub>
                <m:r>
                  <m:t>o</m:t>
                </m:r>
              </m:sub>
            </m:sSub>
          </m:sub>
        </m:sSub>
        <m:r>
          <m:t>&lt;</m:t>
        </m:r>
        <m:sSub>
          <m:e>
            <m:r>
              <m:t>ρ</m:t>
            </m:r>
          </m:e>
          <m:sub>
            <m:r>
              <m:t>x</m:t>
            </m:r>
            <m:r>
              <m:t>,</m:t>
            </m:r>
            <m:r>
              <m:t>y</m:t>
            </m:r>
          </m:sub>
        </m:sSub>
        <m:sSub>
          <m:e>
            <m:r>
              <m:t>ρ</m:t>
            </m:r>
          </m:e>
          <m:sub>
            <m:r>
              <m:t>y</m:t>
            </m:r>
            <m:r>
              <m:t>,</m:t>
            </m:r>
            <m:sSub>
              <m:e>
                <m:r>
                  <m:t>y</m:t>
                </m:r>
              </m:e>
              <m:sub>
                <m:r>
                  <m:t>o</m:t>
                </m:r>
              </m:sub>
            </m:sSub>
          </m:sub>
        </m:sSub>
      </m:oMath>
      <w:r>
        <w:t xml:space="preserve"> </w:t>
      </w:r>
      <w:r>
        <w:t xml:space="preserve">where</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parameters, as has been discussed in detail previously</w:t>
      </w:r>
      <w:r>
        <w:t xml:space="preserve"> </w:t>
      </w:r>
      <w:r>
        <w:t xml:space="preserve">(8)</w:t>
      </w:r>
      <w:r>
        <w:t xml:space="preserve">. However, we use it here as a computationally inexpensive and approximate method to identify variants that are likely to be invalid. Steiger's Z-test of correlated correlations</w:t>
      </w:r>
      <w:r>
        <w:t xml:space="preserve"> </w:t>
      </w:r>
      <w:r>
        <w:t xml:space="preserve">(31)</w:t>
      </w:r>
      <w:r>
        <w:t xml:space="preserve"> </w:t>
      </w:r>
      <w:r>
        <w:t xml:space="preserve">can be used to formally test the extent to which the two correlations are statistically different.</w:t>
      </w:r>
    </w:p>
    <w:p>
      <w:pPr>
        <w:pStyle w:val="BodyText"/>
      </w:pPr>
      <w:r>
        <w:t xml:space="preserve">Here we adapt this approach to automatically filter SNPs that are liable to be invalid (Figure 1a). Other methods have been developed to identify invalid instruments for the purposes of exclusion from MR analyses</w:t>
      </w:r>
      <w:r>
        <w:t xml:space="preserve"> </w:t>
      </w:r>
      <w:r>
        <w:t xml:space="preserve">(9,13,32)</w:t>
      </w:r>
      <w:r>
        <w:t xml:space="preserve">, based on the notion that outlying instruments are more likely to be a source of HP.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or the</w:t>
      </w:r>
      <w:r>
        <w:t xml:space="preserve"> </w:t>
      </w:r>
      <w:r>
        <w:rPr>
          <w:i/>
        </w:rPr>
        <w:t xml:space="preserve">SLC2A9</w:t>
      </w:r>
      <w:r>
        <w:t xml:space="preserve"> </w:t>
      </w:r>
      <w:r>
        <w:t xml:space="preserve">variant influencing serum urate levels</w:t>
      </w:r>
      <w:r>
        <w:t xml:space="preserve"> </w:t>
      </w:r>
      <w:r>
        <w:t xml:space="preserve">(33)</w:t>
      </w:r>
      <w:r>
        <w:t xml:space="preserve">.</w:t>
      </w:r>
    </w:p>
    <w:p>
      <w:pPr>
        <w:pStyle w:val="BodyText"/>
      </w:pPr>
      <w:r>
        <w:t xml:space="preserve">To avoid this, we primarily developed Steiger filtering to identify those instruments that are likely to be arising due to reverse cause, but it also has the potential to detect SNPs that are exhibiting horizontal pleiotropy or primarily influencing confounders. Further details are provided in the Online Methods.</w:t>
      </w:r>
    </w:p>
    <w:p>
      <w:pPr>
        <w:pStyle w:val="Heading3"/>
      </w:pPr>
      <w:bookmarkStart w:id="33" w:name="competitive-mixture-of-experts"/>
      <w:bookmarkEnd w:id="33"/>
      <w:r>
        <w:t xml:space="preserve">Competitive mixture of experts</w:t>
      </w:r>
    </w:p>
    <w:p>
      <w:pPr>
        <w:pStyle w:val="FirstParagraph"/>
      </w:pPr>
      <w:r>
        <w:t xml:space="preserve">We consider the 14 MR methods described above, for which instruments can be supplied using two instrument selection strategies, leading to 28 methods in total (Supplementary table 2). Each method assumes or performs best for a different model of pleiotropy. Our objective is to select the method most likely to be correct for a specific MR analysis by predicting the model of pleiotropy, and relating that prediction to the most appropriate model. To achieve this we use a "mixture of experts" machine learning approach</w:t>
      </w:r>
      <w:r>
        <w:t xml:space="preserve"> </w:t>
      </w:r>
      <w:r>
        <w:t xml:space="preserve">(34)</w:t>
      </w:r>
      <w:r>
        <w:t xml:space="preserve">, where each MR method is considered to be an 'expert', taking a summary-set as its input. An overview of the approach is shown in Figure 2.</w:t>
      </w:r>
    </w:p>
    <w:p>
      <w:pPr>
        <w:pStyle w:val="BodyText"/>
      </w:pPr>
      <w:r>
        <w:t xml:space="preserve">The mixture of experts method seeks to divide a parameter space into subdomains, such that a particular expert is used primarily for problems that reside in a subdomain most suited to that expert. In this case we first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summary-set. The metrics are a collection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summary-sets.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summary-sets can then be applied to the trained mixture of experts (MoE) model (Figure 2b). We call this implementation MR-MoE 1.0. Full details are provided in the Online Methods.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BodyText"/>
      </w:pPr>
      <w:r>
        <w:t xml:space="preserve">It should be noted that in the original hierarchical mixture of experts approach of</w:t>
      </w:r>
      <w:r>
        <w:t xml:space="preserve"> </w:t>
      </w:r>
      <w:r>
        <w:t xml:space="preserve">(34)</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(35–37)</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methods are the base-models, the gating function is the meta-model, and its meta-features are the parameters of the summary-sets.</w:t>
      </w:r>
    </w:p>
    <w:p>
      <w:pPr>
        <w:pStyle w:val="Heading3"/>
      </w:pPr>
      <w:bookmarkStart w:id="35" w:name="graph-database-of-mr-estimates"/>
      <w:bookmarkEnd w:id="35"/>
      <w:r>
        <w:t xml:space="preserve">Graph database of MR estimates</w:t>
      </w:r>
    </w:p>
    <w:p>
      <w:pPr>
        <w:pStyle w:val="FirstParagraph"/>
      </w:pPr>
      <w:r>
        <w:t xml:space="preserve">The set of MR estimates obtained from this analysis, and the summary-sets used to generate them, are deposited in a Neo4j graph database. Here node representations exist for traits and SNPs; and relationship representations exist for SNP-trait associations and trait-trait MR estimates. Because each trait-trait association has up to 28 different MR estimates, for simplicity we also distill this down to a third relationship type comprising a single 'best estimate' for each trait-trait association using the following rules:</w:t>
      </w:r>
    </w:p>
    <w:p>
      <w:pPr>
        <w:pStyle w:val="Compact"/>
        <w:numPr>
          <w:numId w:val="1003"/>
          <w:ilvl w:val="0"/>
        </w:numPr>
      </w:pPr>
      <w:r>
        <w:t xml:space="preserve">If the number of variants after Steiger filtering is greater than 5 then apply the MoE to obtain the best method. This value is chosen arbitrarily as a minimum number of variants for which the different MR methods can model HP</w:t>
      </w:r>
    </w:p>
    <w:p>
      <w:pPr>
        <w:pStyle w:val="Compact"/>
        <w:numPr>
          <w:numId w:val="1003"/>
          <w:ilvl w:val="0"/>
        </w:numPr>
      </w:pPr>
      <w:r>
        <w:t xml:space="preserve">If the number of variants after Steiger filtering is less than or equal to 5 but greater than 1 then use the IVW random effects approach on the filtered set of variants</w:t>
      </w:r>
    </w:p>
    <w:p>
      <w:pPr>
        <w:pStyle w:val="Compact"/>
        <w:numPr>
          <w:numId w:val="1003"/>
          <w:ilvl w:val="0"/>
        </w:numPr>
      </w:pPr>
      <w:r>
        <w:t xml:space="preserve">If there is 1 variant retained in the Steiger approach then use the Wald ratio on the remaining variant</w:t>
      </w:r>
    </w:p>
    <w:p>
      <w:pPr>
        <w:pStyle w:val="Compact"/>
        <w:numPr>
          <w:numId w:val="1003"/>
          <w:ilvl w:val="0"/>
        </w:numPr>
      </w:pPr>
      <w:r>
        <w:t xml:space="preserve">If there are no variants remaining after Steiger filtering then declare no estimate of a causal association possible.</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6">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w:t>
      </w:r>
    </w:p>
    <w:p>
      <w:pPr>
        <w:pStyle w:val="Heading2"/>
      </w:pPr>
      <w:bookmarkStart w:id="37" w:name="results"/>
      <w:bookmarkEnd w:id="37"/>
      <w:r>
        <w:t xml:space="preserve">Results</w:t>
      </w:r>
    </w:p>
    <w:p>
      <w:pPr>
        <w:pStyle w:val="Heading3"/>
      </w:pPr>
      <w:bookmarkStart w:id="38" w:name="steiger-filtering-improves-reliability"/>
      <w:bookmarkEnd w:id="38"/>
      <w:r>
        <w:t xml:space="preserve">Steiger filtering improves reliability</w:t>
      </w:r>
    </w:p>
    <w:p>
      <w:pPr>
        <w:pStyle w:val="FirstParagraph"/>
      </w:pPr>
      <w:r>
        <w:t xml:space="preserve">As statistical power for GWAS studies improves the likelihood of a significant association being discovered for an outcome trait that acts primarily on some exposure trait for that outcome increases (Figure 1a). We evaluated the efficacy of the Steiger filtering approach for improving instrument selection using 100,000 simulated summary-sets comprising both null and non-null causal models. For each summary-set,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For brevity, we refer to the latter type of invalid instruments as “reverse causal” instruments.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9" w:name="mixture-of-experts-method-selection-improves-over-any-single-method"/>
      <w:bookmarkEnd w:id="39"/>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28 MR methods and instrument selection strategies to apply to a particular summary-set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summary-set's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summary-set's status, ranged between 0.04 and 0.24. The method performance prediction was most effective for the Egger random effects model with Steiger filtering. The summary-set characteristics with the most importance for each of the predictors differed substantially between each summary-set, as well as the frequency for which each of the methods was selected in the testing summary-sets. The FDR of each method when chosen, compared to their averages across all summary-sets, reduced; and likewise the true positive rates of each method when chosen increased compared to their simulation-wide averages.</w:t>
      </w:r>
    </w:p>
    <w:p>
      <w:pPr>
        <w:pStyle w:val="BodyText"/>
      </w:pPr>
      <w:r>
        <w:t xml:space="preserve">We compared the MoE performance in the simulations against each of the 28 methods, testing to see if it outperformed all other single methods. Figures 3a and 3b show that the MoE approach had the best general performance. Estimating the area under the receiver operator curve gave 0.84 for the MoE approach in terms of classifying the simulations as being null or non-null. Notably, the next best methods were median and mode based estimators using Steiger filtering. But a crucial observation is that under the assumption of widespread and diverse pleiotropic effects it is clear that all methods suffer from high false discovery rates (Figure 3a), including the MoE approach.</w:t>
      </w:r>
    </w:p>
    <w:p>
      <w:pPr>
        <w:pStyle w:val="Heading3"/>
      </w:pPr>
      <w:bookmarkStart w:id="40" w:name="automated-mr-analysis-of-2407-phenotypes"/>
      <w:bookmarkEnd w:id="40"/>
      <w:r>
        <w:t xml:space="preserve">Automated MR analysis of 2407 phenotypes</w:t>
      </w:r>
    </w:p>
    <w:p>
      <w:pPr>
        <w:pStyle w:val="FirstParagraph"/>
      </w:pPr>
      <w:r>
        <w:t xml:space="preserve">We applied our analysis using summary data for 2407 phenotypes, including 149 complex traits and diseases, 575 metabolites</w:t>
      </w:r>
      <w:r>
        <w:t xml:space="preserve"> </w:t>
      </w:r>
      <w:r>
        <w:t xml:space="preserve">(38,39)</w:t>
      </w:r>
      <w:r>
        <w:t xml:space="preserve"> </w:t>
      </w:r>
      <w:r>
        <w:t xml:space="preserve">and 1683 plasma protein levels</w:t>
      </w:r>
      <w:r>
        <w:t xml:space="preserve"> </w:t>
      </w:r>
      <w:r>
        <w:t xml:space="preserve">(40)</w:t>
      </w:r>
      <w:r>
        <w:t xml:space="preserve">. For the protein levels only GWAS significant hits were available, so they could only be evaluated as exposure phenotypes. The complex traits and diseases and metabolite levels had complete summary data available obtained via MR-Base, and thus they could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method combined with the tophits instruments selection strategy (only valid when there is no detectable evidence of horizontal pleiotropy of any sort) was selected in only 10.4% of cases. This indicates that horizontal pleiotropy is likely to be pervasive.</w:t>
      </w:r>
    </w:p>
    <w:p>
      <w:pPr>
        <w:pStyle w:val="Heading3"/>
      </w:pPr>
      <w:bookmarkStart w:id="41" w:name="putative-associations-involving-ldl-cholesterol-and-years-of-schooling"/>
      <w:bookmarkEnd w:id="41"/>
      <w:r>
        <w:t xml:space="preserve">Putative associations involving LDL cholesterol and years of schooling</w:t>
      </w:r>
    </w:p>
    <w:p>
      <w:pPr>
        <w:pStyle w:val="FirstParagraph"/>
      </w:pPr>
      <w:r>
        <w:t xml:space="preserve">As an example of the database we performed a look up of associations between all traits and LDL cholesterol (as measured in the GLGC consortium</w:t>
      </w:r>
      <w:r>
        <w:t xml:space="preserve"> </w:t>
      </w:r>
      <w:r>
        <w:t xml:space="preserve">(41)</w:t>
      </w:r>
      <w:r>
        <w:t xml:space="preserve">), where the MoE result 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(38,39)</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the presence of HP being present amongst the instruments.</w:t>
      </w:r>
    </w:p>
    <w:p>
      <w:pPr>
        <w:pStyle w:val="BodyText"/>
      </w:pPr>
      <w:r>
        <w:t xml:space="preserve">We also performed a look up of associations that causally influence years of schooling</w:t>
      </w:r>
      <w:r>
        <w:t xml:space="preserve"> </w:t>
      </w:r>
      <w:r>
        <w:t xml:space="preserve">(42)</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which has recently been reported</w:t>
      </w:r>
      <w:r>
        <w:t xml:space="preserve"> </w:t>
      </w:r>
      <w:r>
        <w:t xml:space="preserve">(43)</w:t>
      </w:r>
      <w:r>
        <w:t xml:space="preserve">. However, it is clear that there are serious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due to a third unmeasured trait, an intuitive interpretation of causality cannot be applied because the genetic instruments used proxy the liability to achieve some level of educational attainment, and not necessarily the experience of having attained a particular level of edication.</w:t>
      </w:r>
    </w:p>
    <w:p>
      <w:pPr>
        <w:pStyle w:val="BodyText"/>
      </w:pPr>
      <w:r>
        <w:t xml:space="preserve">The facility to perform these scans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2" w:name="discussion"/>
      <w:bookmarkEnd w:id="42"/>
      <w:r>
        <w:t xml:space="preserve">Discussion</w:t>
      </w:r>
    </w:p>
    <w:p>
      <w:pPr>
        <w:pStyle w:val="FirstParagraph"/>
      </w:pPr>
      <w:r>
        <w:t xml:space="preserve">Motivated by a recent flurry of activity in MR methodology development, we have devised a machine learning approach, MR-MoE, that seeks to predict the performance of each MR method, selecting the one which is most likely to maximise power whilst minimising FDR for a specific summary-set.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(44)</w:t>
      </w:r>
      <w:r>
        <w:t xml:space="preserve">. We applied the method to the curated set of GWAS summary data present in MR-Base</w:t>
      </w:r>
      <w:r>
        <w:t xml:space="preserve"> </w:t>
      </w:r>
      <w:r>
        <w:t xml:space="preserve">(12)</w:t>
      </w:r>
      <w:r>
        <w:t xml:space="preserve">, generating several million MR estimates. MR-MoE selected a method that indicated some pattern of horizontal pleiotropy for almost 90% of cases, reinforcing the notion that it is the rule rather than the exception.</w:t>
      </w:r>
    </w:p>
    <w:p>
      <w:pPr>
        <w:pStyle w:val="BodyText"/>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Instrumental variables in MR are typically chosen blind, with GWAS significance being the only criterion. We illustrated how confounders and reverse causal associations can easily lead to invalid instrument selection in MR and that most randomly generated patterns of horizontal pleiotropy cannot be adequately accounted for by any single MR method.</w:t>
      </w:r>
    </w:p>
    <w:p>
      <w:pPr>
        <w:pStyle w:val="BodyText"/>
      </w:pPr>
      <w:r>
        <w:t xml:space="preserve">Methods have been introduced recently that seek to improve MR estimates through invalid instrument detection and removal</w:t>
      </w:r>
      <w:r>
        <w:t xml:space="preserve"> </w:t>
      </w:r>
      <w:r>
        <w:t xml:space="preserve">(9,13,32)</w:t>
      </w:r>
      <w:r>
        <w:t xml:space="preserve">. These attack the problem from the perspective that variants which have a relatively large influence on the causal estimate, or provide substantially different estimates from the other variants, are likely to be exhibiting HP, and their removal from the analysis may be warranted.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because CRP itself is downstream of many cellular functions and most GWAS signals will not be specific for the trait. Steiger filtering has attempted to sidestep this issue in removing invalid instruments, seeking to detect those instruments which have associations with the outcome that are too large to be consistent with the exposure causing the outcome. We acknowledge that unmeasured confounding and measurement error can introduce problems with Steiger filtering</w:t>
      </w:r>
      <w:r>
        <w:t xml:space="preserve"> </w:t>
      </w:r>
      <w:r>
        <w:t xml:space="preserve">(8)</w:t>
      </w:r>
      <w:r>
        <w:t xml:space="preserve">, but note that our simulations indicate that all individual MR methods improve in performance following its application.</w:t>
      </w:r>
    </w:p>
    <w:p>
      <w:pPr>
        <w:pStyle w:val="BodyText"/>
      </w:pPr>
      <w:r>
        <w:t xml:space="preserve">In addition to HP, there are many other limitations that prevent MR from being a panacea for causal inference. Many of the associations are biologically impossible, for example where early life phenotypes appear to be influenced by later stage phenotypes. Such associations can be explained statistically because the instruments proxy the liability for that particular phenotype, not that phenotype's observed manifestation. Though these associations can be informative, their interpretations as causal relationships are far from clear. Similarly, often disease traits appear to causally relate to other phenotypes, but GWAS of disease is typically performed on the liability scale, hence the causal estimate reflects not the presence or absence of disease, but the underlying risk of disease. Again, interpretation of such associations can be problematic due to the instruments proxying disease liability and not diseae outcomes.</w:t>
      </w:r>
    </w:p>
    <w:p>
      <w:pPr>
        <w:pStyle w:val="BodyText"/>
      </w:pPr>
      <w:r>
        <w:t xml:space="preserve">A large proportion of the associations were estimated using only a single instrumental variable, a circumstance in which cause, reverse cause or horizontal pleiotropy cannot be immediately distinguished. Though methods are emerging to attempt to delineate between models of reverse cause, pleiotropy and multiple causal variants in the same region</w:t>
      </w:r>
      <w:r>
        <w:t xml:space="preserve"> </w:t>
      </w:r>
      <w:r>
        <w:t xml:space="preserve">(45,46)</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(8,47)</w:t>
      </w:r>
      <w:r>
        <w:t xml:space="preserve">.</w:t>
      </w:r>
    </w:p>
    <w:p>
      <w:pPr>
        <w:pStyle w:val="BodyText"/>
      </w:pPr>
      <w:r>
        <w:t xml:space="preserve">Other problems, in addition to HP, can also manifest. Frailty effects</w:t>
      </w:r>
      <w:r>
        <w:t xml:space="preserve"> </w:t>
      </w:r>
      <w:r>
        <w:t xml:space="preserve">(48)</w:t>
      </w:r>
      <w:r>
        <w:t xml:space="preserve"> </w:t>
      </w:r>
      <w:r>
        <w:t xml:space="preserve">could induce associations for late-onset traits, and often detailed modelling for how this can influence MR is warranted</w:t>
      </w:r>
      <w:r>
        <w:t xml:space="preserve"> </w:t>
      </w:r>
      <w:r>
        <w:t xml:space="preserve">(43,49)</w:t>
      </w:r>
      <w:r>
        <w:t xml:space="preserve">. Genetic variants could strongly relate to several phenotypes, for example SNPs that influence LDL cholesterol are also likely to influence other lipid fractions, making it difficult to ascertain which amongst them is the true causal exposure</w:t>
      </w:r>
      <w:r>
        <w:t xml:space="preserve"> </w:t>
      </w:r>
      <w:r>
        <w:t xml:space="preserve">(50)</w:t>
      </w:r>
      <w:r>
        <w:t xml:space="preserve">. We see this issue manifesting in Figure 4, where there appear to be causal relationships between different lipid fractions. The measured feature for which genetic associations are known could relate in complicated ways to the biological entities that is truly causal</w:t>
      </w:r>
      <w:r>
        <w:t xml:space="preserve"> </w:t>
      </w:r>
      <w:r>
        <w:t xml:space="preserve">(2)</w:t>
      </w:r>
      <w:r>
        <w:t xml:space="preserve">, for example higher circulating levels of the natural antioxidant extracellular superoxide dismutase (EC-SOD) appears to causally relate to higher risk of coronary heart disease</w:t>
      </w:r>
      <w:r>
        <w:t xml:space="preserve"> </w:t>
      </w:r>
      <w:r>
        <w:t xml:space="preserve">(51)</w:t>
      </w:r>
      <w:r>
        <w:t xml:space="preserve"> </w:t>
      </w:r>
      <w:r>
        <w:t xml:space="preserve">because the phenotypic measure relates inversely to the EC-SOD levels in arterial walls, hence</w:t>
      </w:r>
      <w:r>
        <w:t xml:space="preserve"> </w:t>
      </w:r>
      <w:r>
        <w:rPr>
          <w:i/>
        </w:rPr>
        <w:t xml:space="preserve">in situ</w:t>
      </w:r>
      <w:r>
        <w:t xml:space="preserve"> </w:t>
      </w:r>
      <w:r>
        <w:t xml:space="preserve">activity is lower</w:t>
      </w:r>
      <w:r>
        <w:t xml:space="preserve"> </w:t>
      </w:r>
      <w:r>
        <w:t xml:space="preserve">(2)</w:t>
      </w:r>
      <w:r>
        <w:t xml:space="preserve">. Dynastic effects can also confound MR estimates, arising when the exposure trait in a previous generation influences the environment of the current generation. Here, the SNPs being used as instruments for the exposure will be associated with a potential confounder in the analysis</w:t>
      </w:r>
      <w:r>
        <w:t xml:space="preserve"> </w:t>
      </w:r>
      <w:r>
        <w:t xml:space="preserve">(52)</w:t>
      </w:r>
      <w:r>
        <w:t xml:space="preserve">. The associations depicted in Figure 4 involving educational attainment may be susceptible to bias arising from this mechanism, and protecting against it will likely require alternative study designs, for example by using sibling pairs.</w:t>
      </w:r>
    </w:p>
    <w:p>
      <w:pPr>
        <w:pStyle w:val="BodyText"/>
      </w:pPr>
      <w:r>
        <w:t xml:space="preserve">We also encounter a potential new problem in using machine learning approaches to infer the correct model for a particular summary-set, namely, that the model selection is data driven. This is liable to contribute to elevated type 1 error rates, even though we have attempted to separate the information used for optimisation from the information used to predict performance. One advantage to generating a method that consolidates across many methods is that it can prevent cherry picking the most appealing method based on their results. The extent to which a machine-based method selector incurs higher type 1 error rates more than a human selector is not clear. Though MR-MoE does exhibit higher type 1 error rates than are desirable, they still remain amongst the lowest compared to other MR methods that do not suffer from the issue of data driven model selection.</w:t>
      </w:r>
    </w:p>
    <w:p>
      <w:pPr>
        <w:pStyle w:val="BodyText"/>
      </w:pPr>
      <w:r>
        <w:t xml:space="preserve">In light of these issues, we emphasise that we do not consider the reporting of MR-MoE (or any other single MR method) to be seen as performing a Mendelian randomization study. Rather, it can be used to motivate further detailed follow up which should include sensitivity analyses</w:t>
      </w:r>
      <w:r>
        <w:t xml:space="preserve"> </w:t>
      </w:r>
      <w:r>
        <w:t xml:space="preserve">(12)</w:t>
      </w:r>
      <w:r>
        <w:t xml:space="preserve">, incorporating biological knowledge regarding instruments, and triangulation with other sources of evidence or experimental designs</w:t>
      </w:r>
      <w:r>
        <w:t xml:space="preserve"> </w:t>
      </w:r>
      <w:r>
        <w:t xml:space="preserve">(14)</w:t>
      </w:r>
      <w:r>
        <w:t xml:space="preserve">. Demanding a rigorous follow up of putative associations is also essential for avoiding issues that may arise due to cherry picking of MR results. This is especially important when a large repository of putative associations, such as MR-EvE, is made publicly available.</w:t>
      </w:r>
    </w:p>
    <w:p>
      <w:pPr>
        <w:pStyle w:val="BodyText"/>
      </w:pPr>
      <w:r>
        <w:t xml:space="preserve">The field of MR is evolving. The advent of GWAS databases</w:t>
      </w:r>
      <w:r>
        <w:t xml:space="preserve"> </w:t>
      </w:r>
      <w:r>
        <w:t xml:space="preserve">(10,53)</w:t>
      </w:r>
      <w:r>
        <w:t xml:space="preserve"> </w:t>
      </w:r>
      <w:r>
        <w:t xml:space="preserve">and automated 2SMR</w:t>
      </w:r>
      <w:r>
        <w:t xml:space="preserve"> </w:t>
      </w:r>
      <w:r>
        <w:t xml:space="preserve">(12)</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supporting or negating specific hypotheses. Indeed, a well-powered MR that negates a hypothesis is likely less fallible to the pitfalls described above than using MR to confirm a positive association</w:t>
      </w:r>
      <w:r>
        <w:t xml:space="preserve"> </w:t>
      </w:r>
      <w:r>
        <w:t xml:space="preserve">(54)</w:t>
      </w:r>
      <w:r>
        <w:t xml:space="preserve">.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Heading2"/>
      </w:pPr>
      <w:bookmarkStart w:id="43" w:name="acknowledgements"/>
      <w:bookmarkEnd w:id="43"/>
      <w:r>
        <w:t xml:space="preserve">Acknowledgements</w:t>
      </w:r>
    </w:p>
    <w:p>
      <w:pPr>
        <w:pStyle w:val="FirstParagraph"/>
      </w:pPr>
      <w:r>
        <w:t xml:space="preserve">This work was supported by the UK Medical Research Council (MC_UU_12013/1, MC_UU_12013/8, MR/N501906/1); Cancer Research UK (C52724/A20138, C18281/A19169); and the SPHERE Interdisciplinary Research Collaboration funded by the UK Engineering and Physical Sciences Research Council under grant EP/K031910/1</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causal estimates are obtained from each of the 28 MR methods considered in this study.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7"/>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metabolomic studies</w:t>
      </w:r>
      <w:r>
        <w:t xml:space="preserve"> </w:t>
      </w:r>
      <w:r>
        <w:t xml:space="preserve">(38,39)</w:t>
      </w:r>
      <w:r>
        <w:t xml:space="preserve">.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8" w:name="online-methods"/>
      <w:bookmarkEnd w:id="48"/>
      <w:r>
        <w:t xml:space="preserve">Online methods</w:t>
      </w:r>
    </w:p>
    <w:p>
      <w:pPr>
        <w:pStyle w:val="Heading3"/>
      </w:pPr>
      <w:bookmarkStart w:id="49" w:name="steiger-filtering-1"/>
      <w:bookmarkEnd w:id="49"/>
      <w:r>
        <w:t xml:space="preserve">Steiger filtering</w:t>
      </w:r>
    </w:p>
    <w:p>
      <w:pPr>
        <w:pStyle w:val="FirstParagraph"/>
      </w:pPr>
      <w:r>
        <w:t xml:space="preserve">An approach to inferring the causal direction between phenotypes recently developed</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w:t>
      </w: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will be true under most circumstances, but some parameters of measurement error or unmeasured confounding can lead to the inequality reversing direction, as has been explored previously</w:t>
      </w:r>
      <w:r>
        <w:t xml:space="preserve"> </w:t>
      </w:r>
      <w:r>
        <w:t xml:space="preserve">(8)</w:t>
      </w:r>
      <w:r>
        <w:t xml:space="preserv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not significantly different at an arbitrary threshold of</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f</m:t>
        </m:r>
        <m:r>
          <m:t>(</m:t>
        </m:r>
        <m:r>
          <m:t>1</m:t>
        </m:r>
        <m:r>
          <m:t>−</m:t>
        </m:r>
        <m:r>
          <m:t>f</m:t>
        </m:r>
        <m:r>
          <m:t>)</m:t>
        </m:r>
      </m:oMath>
      <w:r>
        <w:t xml:space="preserve">, where</w:t>
      </w:r>
      <w:r>
        <w:t xml:space="preserve"> </w:t>
      </w:r>
      <m:oMath>
        <m:r>
          <m:t>β</m:t>
        </m:r>
      </m:oMath>
      <w:r>
        <w:t xml:space="preserve"> </w:t>
      </w:r>
      <w:r>
        <w:t xml:space="preserve">is the log odds ratio and</w:t>
      </w:r>
      <w:r>
        <w:t xml:space="preserve"> </w:t>
      </w:r>
      <m:oMath>
        <m:r>
          <m:t>f</m:t>
        </m:r>
      </m:oMath>
      <w:r>
        <w:t xml:space="preserve"> </w:t>
      </w:r>
      <w:r>
        <w:t xml:space="preserve">is the allele frequency of the SNP in the population</w:t>
      </w:r>
      <w:r>
        <w:t xml:space="preserve"> </w:t>
      </w:r>
      <w:r>
        <w:t xml:space="preserve">(55)</w:t>
      </w:r>
      <w:r>
        <w:t xml:space="preserve">.</w:t>
      </w:r>
      <w:r>
        <w:t xml:space="preserve"> </w:t>
      </w:r>
      <m:oMath>
        <m:r>
          <m:t>f</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w:t>
      </w:r>
      <w:r>
        <w:t xml:space="preserve"> </w:t>
      </w:r>
      <m:oMath>
        <m:sSub>
          <m:e>
            <m:r>
              <m:t>f</m:t>
            </m:r>
          </m:e>
          <m:sub>
            <m:r>
              <m:t>c</m:t>
            </m:r>
            <m:r>
              <m:t>c</m:t>
            </m:r>
          </m:sub>
        </m:sSub>
      </m:oMath>
      <w:r>
        <w:t xml:space="preserve">,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A Z-score to test the hypothesis that</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significantly different can be generated using the Steiger test for correlated correlations.</w:t>
      </w:r>
    </w:p>
    <w:p>
      <w:pPr>
        <w:pStyle w:val="Heading3"/>
      </w:pPr>
      <w:bookmarkStart w:id="50" w:name="mixture-of-experts-implementation-for-mr"/>
      <w:bookmarkEnd w:id="50"/>
      <w:r>
        <w:t xml:space="preserve">Mixture of experts implementation for MR</w:t>
      </w:r>
    </w:p>
    <w:p>
      <w:pPr>
        <w:pStyle w:val="FirstParagraph"/>
      </w:pPr>
      <w:r>
        <w:t xml:space="preserve">The mixture of experts approach seeks to use simulations to learn the circumstances in which each of the 28 MR methods is likely to perform most accurately. Having trained the model on simulations, new summary-sets can be applied to obtain causal estimates from the method that is predicted to be the most reliable for that summary-set.</w:t>
      </w:r>
    </w:p>
    <w:p>
      <w:pPr>
        <w:pStyle w:val="BodyText"/>
      </w:pPr>
      <w:r>
        <w:rPr>
          <w:b/>
        </w:rPr>
        <w:t xml:space="preserve">Training and testing simulations</w:t>
      </w:r>
    </w:p>
    <w:p>
      <w:pPr>
        <w:pStyle w:val="BodyText"/>
      </w:pPr>
      <w:r>
        <w:t xml:space="preserve">The MoE is trained using summary-sets generated from simulations (Figure 2a). Each</w:t>
      </w:r>
      <w:r>
        <w:t xml:space="preserve"> </w:t>
      </w:r>
      <w:r>
        <w:rPr>
          <w:i/>
        </w:rPr>
        <w:t xml:space="preserve">summary-set</w:t>
      </w:r>
      <w:r>
        <w:t xml:space="preserve"> </w:t>
      </w:r>
      <w:r>
        <w:t xml:space="preserve">can be fed into any of the 28 experts to obtain MR causal effects. The simulations used to generate these summary-sets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f</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to create summary-sets,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summary-sets. Hence, for each simulation two summary-sets are generated which are analysed to produce 28 MR estimates each. We performed 100,000 simulations using these parameters, resulting in 200,000 summary-sets.</w:t>
      </w:r>
    </w:p>
    <w:p>
      <w:pPr>
        <w:pStyle w:val="BodyText"/>
      </w:pPr>
      <w:r>
        <w:rPr>
          <w:b/>
        </w:rPr>
        <w:t xml:space="preserve">Optimisation function</w:t>
      </w:r>
    </w:p>
    <w:p>
      <w:pPr>
        <w:pStyle w:val="BodyText"/>
      </w:pPr>
      <w:r>
        <w:t xml:space="preserve">We aim to maximise statistical power for summary-sets where</w:t>
      </w:r>
      <w:r>
        <w:t xml:space="preserve"> </w:t>
      </w:r>
      <m:oMath>
        <m:sSub>
          <m:e>
            <m:r>
              <m:t>β</m:t>
            </m:r>
          </m:e>
          <m:sub>
            <m:r>
              <m:t>x</m:t>
            </m:r>
            <m:r>
              <m:t>,</m:t>
            </m:r>
            <m:r>
              <m:t>y</m:t>
            </m:r>
          </m:sub>
        </m:sSub>
        <m:r>
          <m:t>≠</m:t>
        </m:r>
        <m:r>
          <m:t>0</m:t>
        </m:r>
      </m:oMath>
      <w:r>
        <w:t xml:space="preserve"> </w:t>
      </w:r>
      <w:r>
        <w:t xml:space="preserve">and minimise false discovery rates for summary-sets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summary-set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summary-set</w:t>
      </w:r>
      <w:r>
        <w:t xml:space="preserve"> </w:t>
      </w:r>
      <m:oMath>
        <m:r>
          <m:t>d</m:t>
        </m:r>
      </m:oMath>
      <w:r>
        <w:t xml:space="preserve">.</w:t>
      </w:r>
    </w:p>
    <w:p>
      <w:pPr>
        <w:pStyle w:val="BodyText"/>
      </w:pPr>
      <w:r>
        <w:rPr>
          <w:b/>
        </w:rPr>
        <w:t xml:space="preserve">Strategy</w:t>
      </w:r>
    </w:p>
    <w:p>
      <w:pPr>
        <w:pStyle w:val="BodyText"/>
      </w:pPr>
      <w:r>
        <w:t xml:space="preserve">For each training summary-set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summary-set. For each of our 28 methods, we need to create a model that predicts the performance of the method based on metrics generated from a summary-set. To do this, for each method we train a random decision forest to predict that method's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summary-set exhibits a single outlier but is otherwise exhibiting no heterogeneity then the following methods could arguably perform well:</w:t>
      </w:r>
    </w:p>
    <w:p>
      <w:pPr>
        <w:pStyle w:val="Compact"/>
        <w:numPr>
          <w:numId w:val="1004"/>
          <w:ilvl w:val="0"/>
        </w:numPr>
      </w:pPr>
      <w:r>
        <w:t xml:space="preserve">an IVW fixed effects analysis with the outlier removed, should the Steiger test be able to detect the outlier</w:t>
      </w:r>
    </w:p>
    <w:p>
      <w:pPr>
        <w:pStyle w:val="Compact"/>
        <w:numPr>
          <w:numId w:val="1004"/>
          <w:ilvl w:val="0"/>
        </w:numPr>
      </w:pPr>
      <w:r>
        <w:t xml:space="preserve">a median based approach</w:t>
      </w:r>
    </w:p>
    <w:p>
      <w:pPr>
        <w:pStyle w:val="Compact"/>
        <w:numPr>
          <w:numId w:val="1004"/>
          <w:ilvl w:val="0"/>
        </w:numPr>
      </w:pPr>
      <w:r>
        <w:t xml:space="preserve">a mode based approach</w:t>
      </w:r>
    </w:p>
    <w:p>
      <w:pPr>
        <w:pStyle w:val="FirstParagraph"/>
      </w:pPr>
      <w:r>
        <w:t xml:space="preserve">deciding between these methods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methods using 133,000 of the simulations, we then applied them to the remaining 67,000 summary-sets to predict which method would have the highest performance for each of the remaining summary-sets. Finally we compare the performance of the method selected by the MoE against all remaining methods. The default settings for the</w:t>
      </w:r>
      <w:r>
        <w:t xml:space="preserve"> </w:t>
      </w:r>
      <w:r>
        <w:rPr>
          <w:rStyle w:val="VerbatimChar"/>
        </w:rPr>
        <w:t xml:space="preserve">randomForest</w:t>
      </w:r>
      <w:r>
        <w:t xml:space="preserve"> </w:t>
      </w:r>
      <w:r>
        <w:t xml:space="preserve">package in R</w:t>
      </w:r>
      <w:r>
        <w:t xml:space="preserve"> </w:t>
      </w:r>
      <w:r>
        <w:t xml:space="preserve">(56)</w:t>
      </w:r>
      <w:r>
        <w:t xml:space="preserve"> </w:t>
      </w:r>
      <w:r>
        <w:t xml:space="preserve">were used to train the models.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Heading2"/>
      </w:pPr>
      <w:bookmarkStart w:id="51" w:name="references"/>
      <w:bookmarkEnd w:id="51"/>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52">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Holmes MV, Ala-Korpela M, Smith GD. Mendelian randomization in cardiometabolic disease: challenges in evaluating causality. Nature Reviews Cardiology [Internet]. 2017 Jun; Available from:</w:t>
      </w:r>
      <w:r>
        <w:t xml:space="preserve"> </w:t>
      </w:r>
      <w:hyperlink r:id="rId53">
        <w:r>
          <w:rPr>
            <w:rStyle w:val="Hyperlink"/>
          </w:rPr>
          <w:t xml:space="preserve">http://www.ncbi.nlm.nih.gov/pubmed/28569269 http://www.nature.com/doifinder/10.1038/nrcardio.2017.78</w:t>
        </w:r>
      </w:hyperlink>
    </w:p>
    <w:p>
      <w:pPr>
        <w:pStyle w:val="Bibliography"/>
      </w:pPr>
      <w:r>
        <w:t xml:space="preserve">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5. Bowden J, Davey Smith G, Haycock PC, Burgess S. Consistent Estimation in Mendelian Randomization with Some Invalid Instruments Using a Weighted Median Estimator. Genetic Epidemiology [Internet]. 2016 May;40(4):304–14. Available from:</w:t>
      </w:r>
      <w:r>
        <w:t xml:space="preserve"> </w:t>
      </w:r>
      <w:hyperlink r:id="rId54">
        <w:r>
          <w:rPr>
            <w:rStyle w:val="Hyperlink"/>
          </w:rPr>
          <w:t xml:space="preserve">http://www.ncbi.nlm.nih.gov/pubmed/27061298 http://www.pubmedcentral.nih.gov/articlerender.fcgi?artid=PMC4849733 http://doi.wiley.com/10.1002/gepi.21965</w:t>
        </w:r>
      </w:hyperlink>
    </w:p>
    <w:p>
      <w:pPr>
        <w:pStyle w:val="Bibliography"/>
      </w:pPr>
      <w:r>
        <w:t xml:space="preserve">6. Bowden J, Del Greco M F, Minelli C, Davey Smith G, Sheehan N, Thompson J. A framework for the investigation of pleiotropy in two-sample summary data Mendelian randomization. Statistics in Medicine [Internet]. 2017; Available from:</w:t>
      </w:r>
      <w:r>
        <w:t xml:space="preserve"> </w:t>
      </w:r>
      <w:hyperlink r:id="rId55">
        <w:r>
          <w:rPr>
            <w:rStyle w:val="Hyperlink"/>
          </w:rPr>
          <w:t xml:space="preserve">http://doi.wiley.com/10.1002/sim.7221</w:t>
        </w:r>
      </w:hyperlink>
    </w:p>
    <w:p>
      <w:pPr>
        <w:pStyle w:val="Bibliography"/>
      </w:pPr>
      <w:r>
        <w:t xml:space="preserve">7. Hartwig FP, Davey Smith G, Bowden J. Robust Inference In Two-Sample Mendelian Randomisation Via The Zero Modal Pleiotropy Assumption. bioRxiv [Internet]. 2017; Available from:</w:t>
      </w:r>
      <w:r>
        <w:t xml:space="preserve"> </w:t>
      </w:r>
      <w:hyperlink r:id="rId56">
        <w:r>
          <w:rPr>
            <w:rStyle w:val="Hyperlink"/>
          </w:rPr>
          <w:t xml:space="preserve">http://biorxiv.org/content/early/2017/04/10/126102</w:t>
        </w:r>
      </w:hyperlink>
    </w:p>
    <w:p>
      <w:pPr>
        <w:pStyle w:val="Bibliography"/>
      </w:pPr>
      <w:r>
        <w:t xml:space="preserve">8. Hemani G, Tilling K, Davey Smith G. Orienting The Causal Relationship Between Imprecisely Measured Traits Using Genetic Instruments. bioRxiv [Internet]. 2017; Available from:</w:t>
      </w:r>
      <w:r>
        <w:t xml:space="preserve"> </w:t>
      </w:r>
      <w:hyperlink r:id="rId57">
        <w:r>
          <w:rPr>
            <w:rStyle w:val="Hyperlink"/>
          </w:rPr>
          <w:t xml:space="preserve">http://biorxiv.org/content/early/2017/03/15/117101</w:t>
        </w:r>
      </w:hyperlink>
    </w:p>
    <w:p>
      <w:pPr>
        <w:pStyle w:val="Bibliography"/>
      </w:pPr>
      <w:r>
        <w:t xml:space="preserve">9. Verbanck M, Chen C-Y, Neale B, Do R. Widespread pleiotropy confounds causal relationships between complex traits and diseases inferred from Mendelian randomization. bioRxiv [Internet]. 2017; Available from:</w:t>
      </w:r>
      <w:r>
        <w:t xml:space="preserve"> </w:t>
      </w:r>
      <w:hyperlink r:id="rId58">
        <w:r>
          <w:rPr>
            <w:rStyle w:val="Hyperlink"/>
          </w:rPr>
          <w:t xml:space="preserve">http://www.biorxiv.org/content/early/2017/06/30/157552</w:t>
        </w:r>
      </w:hyperlink>
    </w:p>
    <w:p>
      <w:pPr>
        <w:pStyle w:val="Bibliography"/>
      </w:pPr>
      <w:r>
        <w:t xml:space="preserve">10. Hindorff LA, Junkins HA, Hall PN, Mehta JP, Manolio TA. A Catalog of Published Genome-Wide Association Studies, available at http://www.genome.gov/gwastudies. Accessed 12/10/2010. 2010.</w:t>
      </w:r>
      <w:r>
        <w:t xml:space="preserve"> </w:t>
      </w:r>
    </w:p>
    <w:p>
      <w:pPr>
        <w:pStyle w:val="Bibliography"/>
      </w:pPr>
      <w:r>
        <w:t xml:space="preserve">11. Pierce BL, Burgess S. Efficient design for Mendelian randomization studies: subsample and 2-sample instrumental variable estimators. American journal of epidemiology [Internet]. 2013 Oct;178(7):1177–84. Available from:</w:t>
      </w:r>
      <w:r>
        <w:t xml:space="preserve"> </w:t>
      </w:r>
      <w:hyperlink r:id="rId59">
        <w:r>
          <w:rPr>
            <w:rStyle w:val="Hyperlink"/>
          </w:rPr>
          <w:t xml:space="preserve">http://www.pubmedcentral.nih.gov/articlerender.fcgi?artid=3783091{\&amp;}tool=pmcentrez{\&amp;}rendertype=abstract</w:t>
        </w:r>
      </w:hyperlink>
    </w:p>
    <w:p>
      <w:pPr>
        <w:pStyle w:val="Bibliography"/>
      </w:pPr>
      <w:r>
        <w:t xml:space="preserve">12.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13. Zhu Z, Zheng Z, Zhang F, Wu Y, Trzaskowski M, Maier R, et al. Causal associations between risk factors and common diseases inferred from GWAS summary data. bioRxiv [Internet]. 2017; Available from:</w:t>
      </w:r>
      <w:r>
        <w:t xml:space="preserve"> </w:t>
      </w:r>
      <w:hyperlink r:id="rId60">
        <w:r>
          <w:rPr>
            <w:rStyle w:val="Hyperlink"/>
          </w:rPr>
          <w:t xml:space="preserve">http://www.biorxiv.org/content/early/2017/07/26/168674</w:t>
        </w:r>
      </w:hyperlink>
    </w:p>
    <w:p>
      <w:pPr>
        <w:pStyle w:val="Bibliography"/>
      </w:pPr>
      <w:r>
        <w:t xml:space="preserve">14. Lawlor DA, Tilling K, Davey Smith G. Triangulation in aetiological epidemiology. International Journal of Epidemiology [Internet]. 2017 Jan;19(R1):dyw314. Available from:</w:t>
      </w:r>
      <w:r>
        <w:t xml:space="preserve"> </w:t>
      </w:r>
      <w:hyperlink r:id="rId61">
        <w:r>
          <w:rPr>
            <w:rStyle w:val="Hyperlink"/>
          </w:rPr>
          <w:t xml:space="preserve">https://academic.oup.com/ije/article-lookup/doi/10.1093/ije/dyw314</w:t>
        </w:r>
      </w:hyperlink>
    </w:p>
    <w:p>
      <w:pPr>
        <w:pStyle w:val="Bibliography"/>
      </w:pPr>
      <w:r>
        <w:t xml:space="preserve">15. Wright S. Evolution and the Genetics of Populations. In: Evolution and the genetics of populations. Chicago: University of Chicago Press; 1968.</w:t>
      </w:r>
      <w:r>
        <w:t xml:space="preserve"> </w:t>
      </w:r>
    </w:p>
    <w:p>
      <w:pPr>
        <w:pStyle w:val="Bibliography"/>
      </w:pPr>
      <w:r>
        <w:t xml:space="preserve">16. Wagner GP, Zhang J. The pleiotropic structure of the genotype–phenotype map: the evolvability of complex organisms. Nature Reviews Genetics [Internet]. 2011 Mar;12(3):204–13. Available from:</w:t>
      </w:r>
      <w:r>
        <w:t xml:space="preserve"> </w:t>
      </w:r>
      <w:hyperlink r:id="rId62">
        <w:r>
          <w:rPr>
            <w:rStyle w:val="Hyperlink"/>
          </w:rPr>
          <w:t xml:space="preserve">http://www.nature.com/doifinder/10.1038/nrg2949</w:t>
        </w:r>
      </w:hyperlink>
    </w:p>
    <w:p>
      <w:pPr>
        <w:pStyle w:val="Bibliography"/>
      </w:pPr>
      <w:r>
        <w:t xml:space="preserve">17. Hill WG, Zhang X-S. Assessing pleiotropy and its evolutionary consequences: pleiotropy is not necessarily limited, nor need it hinder the evolution of complexity. Nature Reviews Genetics [Internet]. 2012 Feb;13(4):296. Available from:</w:t>
      </w:r>
      <w:r>
        <w:t xml:space="preserve"> </w:t>
      </w:r>
      <w:hyperlink r:id="rId63">
        <w:r>
          <w:rPr>
            <w:rStyle w:val="Hyperlink"/>
          </w:rPr>
          <w:t xml:space="preserve">http://www.ncbi.nlm.nih.gov/pubmed/22349131</w:t>
        </w:r>
      </w:hyperlink>
    </w:p>
    <w:p>
      <w:pPr>
        <w:pStyle w:val="Bibliography"/>
      </w:pPr>
      <w:r>
        <w:t xml:space="preserve">18.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64">
        <w:r>
          <w:rPr>
            <w:rStyle w:val="Hyperlink"/>
          </w:rPr>
          <w:t xml:space="preserve">https://academic.oup.com/ije/article-lookup/doi/10.1093/ije/dyx028</w:t>
        </w:r>
      </w:hyperlink>
    </w:p>
    <w:p>
      <w:pPr>
        <w:pStyle w:val="Bibliography"/>
      </w:pPr>
      <w:r>
        <w:t xml:space="preserve">19. Xu L, Lin SL, Schooling CM. A Mendelian randomization study of the effect of calcium on coronary artery disease, myocardial infarction and their risk factors. Scientific Reports [Internet]. 2017 Feb;7:42691. Available from:</w:t>
      </w:r>
      <w:r>
        <w:t xml:space="preserve"> </w:t>
      </w:r>
      <w:hyperlink r:id="rId65">
        <w:r>
          <w:rPr>
            <w:rStyle w:val="Hyperlink"/>
          </w:rPr>
          <w:t xml:space="preserve">http://www.ncbi.nlm.nih.gov/pubmed/28195141 http://www.pubmedcentral.nih.gov/articlerender.fcgi?artid=PMC5307362 http://www.nature.com/articles/srep42691</w:t>
        </w:r>
      </w:hyperlink>
    </w:p>
    <w:p>
      <w:pPr>
        <w:pStyle w:val="Bibliography"/>
      </w:pPr>
      <w:r>
        <w:t xml:space="preserve">20. Larsson SC, Burgess S, Michaëlsson K, TB H, WH C, Y P. Association of Genetic Variants Related to Serum Calcium Levels With Coronary Artery Disease and Myocardial Infarction. JAMA [Internet]. 2017 Jul;318(4):371. Available from:</w:t>
      </w:r>
      <w:r>
        <w:t xml:space="preserve"> </w:t>
      </w:r>
      <w:hyperlink r:id="rId66">
        <w:r>
          <w:rPr>
            <w:rStyle w:val="Hyperlink"/>
          </w:rPr>
          <w:t xml:space="preserve">http://jama.jamanetwork.com/article.aspx?doi=10.1001/jama.2017.8981</w:t>
        </w:r>
      </w:hyperlink>
    </w:p>
    <w:p>
      <w:pPr>
        <w:pStyle w:val="Bibliography"/>
      </w:pPr>
      <w:r>
        <w:t xml:space="preserve">21.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67">
        <w:r>
          <w:rPr>
            <w:rStyle w:val="Hyperlink"/>
          </w:rPr>
          <w:t xml:space="preserve">http://www.ncbi.nlm.nih.gov/pubmed/27327646 http://www.pubmedcentral.nih.gov/articlerender.fcgi?artid=PMC4915710 http://dx.plos.org/10.1371/journal.pmed.1001976</w:t>
        </w:r>
      </w:hyperlink>
    </w:p>
    <w:p>
      <w:pPr>
        <w:pStyle w:val="Bibliography"/>
      </w:pPr>
      <w:r>
        <w:t xml:space="preserve">22. Inoshita M, Numata S, Tajima A, Kinoshita M, Umehara H, Nakataki M, et al. A significant causal association between C-reactive protein levels and schizophrenia. Scientific Reports [Internet]. 2016 Sep;6(1):26105. Available from:</w:t>
      </w:r>
      <w:r>
        <w:t xml:space="preserve"> </w:t>
      </w:r>
      <w:hyperlink r:id="rId68">
        <w:r>
          <w:rPr>
            <w:rStyle w:val="Hyperlink"/>
          </w:rPr>
          <w:t xml:space="preserve">http://www.ncbi.nlm.nih.gov/pubmed/27193331 http://www.pubmedcentral.nih.gov/articlerender.fcgi?artid=PMC4872134 http://www.nature.com/articles/srep26105</w:t>
        </w:r>
      </w:hyperlink>
    </w:p>
    <w:p>
      <w:pPr>
        <w:pStyle w:val="Bibliography"/>
      </w:pPr>
      <w:r>
        <w:t xml:space="preserve">23. Hu JX, Thomas CE, Brunak S. Network biology concepts in complex disease comorbidities. Nature reviews Genetics [Internet]. 2016;17(10):615–29. Available from:</w:t>
      </w:r>
      <w:r>
        <w:t xml:space="preserve"> </w:t>
      </w:r>
      <w:hyperlink r:id="rId69">
        <w:r>
          <w:rPr>
            <w:rStyle w:val="Hyperlink"/>
          </w:rPr>
          <w:t xml:space="preserve">http://www.nature.com/doifinder/10.1038/nrg.2016.87{\%}5Cnhttp://www.ncbi.nlm.nih.gov/pubmed/27498692</w:t>
        </w:r>
      </w:hyperlink>
    </w:p>
    <w:p>
      <w:pPr>
        <w:pStyle w:val="Bibliography"/>
      </w:pPr>
      <w:r>
        <w:t xml:space="preserve">24. Solovieff N, Cotsapas C, Lee PH, Purcell SM, Smoller JW. Pleiotropy in complex traits: challenges and strategies. Nat Rev Genet [Internet]. 2013 Jun;14(7):483–95. Available from:</w:t>
      </w:r>
      <w:r>
        <w:t xml:space="preserve"> </w:t>
      </w:r>
      <w:hyperlink r:id="rId70">
        <w:r>
          <w:rPr>
            <w:rStyle w:val="Hyperlink"/>
          </w:rPr>
          <w:t xml:space="preserve">http://www.nature.com/doifinder/10.1038/nrg3461 http://dx.doi.org/10.1038/nrg3461 10.1038/nrg3461</w:t>
        </w:r>
      </w:hyperlink>
    </w:p>
    <w:p>
      <w:pPr>
        <w:pStyle w:val="Bibliography"/>
      </w:pPr>
      <w:r>
        <w:t xml:space="preserve">25. Hodgkin J. Seven types of pleiotropy. The International journal of developmental biology [Internet]. 1998;42(3):501–5. Available from:</w:t>
      </w:r>
      <w:r>
        <w:t xml:space="preserve"> </w:t>
      </w:r>
      <w:hyperlink r:id="rId71">
        <w:r>
          <w:rPr>
            <w:rStyle w:val="Hyperlink"/>
          </w:rPr>
          <w:t xml:space="preserve">http://www.ncbi.nlm.nih.gov/pubmed/9654038</w:t>
        </w:r>
      </w:hyperlink>
    </w:p>
    <w:p>
      <w:pPr>
        <w:pStyle w:val="Bibliography"/>
      </w:pPr>
      <w:r>
        <w:t xml:space="preserve">26. Paaby AB, Rockman MV. The many faces of pleiotropy [Internet]. Vol. 29. 2013. pp. 66–73. Available from:</w:t>
      </w:r>
      <w:r>
        <w:t xml:space="preserve"> </w:t>
      </w:r>
      <w:hyperlink r:id="rId72">
        <w:r>
          <w:rPr>
            <w:rStyle w:val="Hyperlink"/>
          </w:rPr>
          <w:t xml:space="preserve">http://www.ncbi.nlm.nih.gov/pubmed/23140989 http://www.pubmedcentral.nih.gov/articlerender.fcgi?artid=PMC3558540 http://linkinghub.elsevier.com/retrieve/pii/S0168952512001692</w:t>
        </w:r>
      </w:hyperlink>
    </w:p>
    <w:p>
      <w:pPr>
        <w:pStyle w:val="Bibliography"/>
      </w:pPr>
      <w:r>
        <w:t xml:space="preserve">27. Burgess S, Scott RA, Timpson NJ, Davey Smith G, Thompson SG, EPIC- InterAct Consortium. Using published data in Mendelian randomization: a blueprint for efficient identification of causal risk factors. European Journal of Epidemiology [Internet]. 2015 Jul;30(7):543–52. Available from:</w:t>
      </w:r>
      <w:r>
        <w:t xml:space="preserve"> </w:t>
      </w:r>
      <w:hyperlink r:id="rId73">
        <w:r>
          <w:rPr>
            <w:rStyle w:val="Hyperlink"/>
          </w:rPr>
          <w:t xml:space="preserve">http://www.ncbi.nlm.nih.gov/pubmed/25773750 http://www.pubmedcentral.nih.gov/articlerender.fcgi?artid=PMC4516908 http://link.springer.com/10.1007/s10654-015-0011-z</w:t>
        </w:r>
      </w:hyperlink>
    </w:p>
    <w:p>
      <w:pPr>
        <w:pStyle w:val="Bibliography"/>
      </w:pPr>
      <w:r>
        <w:t xml:space="preserve">28. Rucker G, Schwarzer G, Carpenter JR, Binder H, Schumacher M. Treatment-effect estimates adjusted for small-study effects via a limit meta-analysis. Biostatistics [Internet]. 2011 Jan;12(1):122–42. Available from:</w:t>
      </w:r>
      <w:r>
        <w:t xml:space="preserve"> </w:t>
      </w:r>
      <w:hyperlink r:id="rId74">
        <w:r>
          <w:rPr>
            <w:rStyle w:val="Hyperlink"/>
          </w:rPr>
          <w:t xml:space="preserve">http://www.ncbi.nlm.nih.gov/pubmed/20656692 https://academic.oup.com/biostatistics/article-lookup/doi/10.1093/biostatistics/kxq046</w:t>
        </w:r>
      </w:hyperlink>
    </w:p>
    <w:p>
      <w:pPr>
        <w:pStyle w:val="Bibliography"/>
      </w:pPr>
      <w:r>
        <w:t xml:space="preserve">29. Han C. Detecting invalid instruments using L 1-GMM. Economics Letters. 2008;101(3):285–7.</w:t>
      </w:r>
      <w:r>
        <w:t xml:space="preserve"> </w:t>
      </w:r>
    </w:p>
    <w:p>
      <w:pPr>
        <w:pStyle w:val="Bibliography"/>
      </w:pPr>
      <w:r>
        <w:t xml:space="preserve">30.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31. Steiger JH. Tests for comparing elements of a correlation matrix. Psychological Bulletin. 1980;87(2):245–51.</w:t>
      </w:r>
      <w:r>
        <w:t xml:space="preserve"> </w:t>
      </w:r>
    </w:p>
    <w:p>
      <w:pPr>
        <w:pStyle w:val="Bibliography"/>
      </w:pPr>
      <w:r>
        <w:t xml:space="preserve">32.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75">
        <w:r>
          <w:rPr>
            <w:rStyle w:val="Hyperlink"/>
          </w:rPr>
          <w:t xml:space="preserve">http://www.ncbi.nlm.nih.gov/pubmed/27402723 http://www.pubmedcentral.nih.gov/articlerender.fcgi?artid=PMC5279886</w:t>
        </w:r>
      </w:hyperlink>
    </w:p>
    <w:p>
      <w:pPr>
        <w:pStyle w:val="Bibliography"/>
      </w:pPr>
      <w:r>
        <w:t xml:space="preserve">33. White J, Sofat R, Hemani G, Shah T, Engmann J, Dale C, et al. Plasma urate concentration and risk of coronary heart disease: a Mendelian randomisation analysis. The Lancet Diabetes &amp; Endocrinology. 2016;</w:t>
      </w:r>
      <w:r>
        <w:t xml:space="preserve"> </w:t>
      </w:r>
    </w:p>
    <w:p>
      <w:pPr>
        <w:pStyle w:val="Bibliography"/>
      </w:pPr>
      <w:r>
        <w:t xml:space="preserve">34. Jordan MI, Jacobs RA. Hierarchical Mixtures of Experts and the EM Algorithm. Neural Computation [Internet]. 1994 Mar;6(2):181–214. Available from:</w:t>
      </w:r>
      <w:r>
        <w:t xml:space="preserve"> </w:t>
      </w:r>
      <w:hyperlink r:id="rId76">
        <w:r>
          <w:rPr>
            <w:rStyle w:val="Hyperlink"/>
          </w:rPr>
          <w:t xml:space="preserve">http://www.mitpressjournals.org/doi/10.1162/neco.1994.6.2.181</w:t>
        </w:r>
      </w:hyperlink>
    </w:p>
    <w:p>
      <w:pPr>
        <w:pStyle w:val="Bibliography"/>
      </w:pPr>
      <w:r>
        <w:t xml:space="preserve">35. Brazdil P, Carrier CG, Soares C, Vilalta R. Metalearning: Applications to data mining. Springer Science &amp; Business Media; 2008.</w:t>
      </w:r>
      <w:r>
        <w:t xml:space="preserve"> </w:t>
      </w:r>
    </w:p>
    <w:p>
      <w:pPr>
        <w:pStyle w:val="Bibliography"/>
      </w:pPr>
      <w:r>
        <w:t xml:space="preserve">36. Smith-Miles KA. Cross-disciplinary perspectives on meta-learning for algorithm selection. ACM Computing Surveys (CSUR). 2009;41(1):6.</w:t>
      </w:r>
      <w:r>
        <w:t xml:space="preserve"> </w:t>
      </w:r>
    </w:p>
    <w:p>
      <w:pPr>
        <w:pStyle w:val="Bibliography"/>
      </w:pPr>
      <w:r>
        <w:t xml:space="preserve">37. Lemke C, Budka M, Gabrys B. Metalearning: a survey of trends and technologies. Artificial intelligence review. 2015;44(1):117–30.</w:t>
      </w:r>
      <w:r>
        <w:t xml:space="preserve"> </w:t>
      </w:r>
    </w:p>
    <w:p>
      <w:pPr>
        <w:pStyle w:val="Bibliography"/>
      </w:pPr>
      <w:r>
        <w:t xml:space="preserve">38. Shin S-Y, Fauman EB, Petersen A-K, Krumsiek J, Santos R, Huang J, et al. An atlas of genetic influences on human blood metabolites. Nature genetics [Internet]. 2014 Jun;46(6):543–50. Available from:</w:t>
      </w:r>
      <w:r>
        <w:t xml:space="preserve"> </w:t>
      </w:r>
      <w:hyperlink r:id="rId77">
        <w:r>
          <w:rPr>
            <w:rStyle w:val="Hyperlink"/>
          </w:rPr>
          <w:t xml:space="preserve">http://dx.doi.org/10.1038/ng.2982</w:t>
        </w:r>
      </w:hyperlink>
    </w:p>
    <w:p>
      <w:pPr>
        <w:pStyle w:val="Bibliography"/>
      </w:pPr>
      <w:r>
        <w:t xml:space="preserve">39. Kettunen J, Demirkan A, Wurtz P, Draisma HHM, Haller T, Rawal R, et al. Genome-wide study for circulating metabolites identifies 62 loci and reveals novel systemic effects of LPA. Nat Commun [Internet]. 2016 Mar;7. Available from:</w:t>
      </w:r>
      <w:r>
        <w:t xml:space="preserve"> </w:t>
      </w:r>
      <w:hyperlink r:id="rId78">
        <w:r>
          <w:rPr>
            <w:rStyle w:val="Hyperlink"/>
          </w:rPr>
          <w:t xml:space="preserve">http://dx.doi.org/10.1038/ncomms11122 http://10.0.4.14/ncomms11122</w:t>
        </w:r>
      </w:hyperlink>
    </w:p>
    <w:p>
      <w:pPr>
        <w:pStyle w:val="Bibliography"/>
      </w:pPr>
      <w:r>
        <w:t xml:space="preserve">40. Sun BB, Maranville JC, Peters JE, Stacey D, Staley JR, Blackshaw J, et al. Consequences Of Natural Perturbations In The Human Plasma Proteome. bioRxiv [Internet]. 2017; Available from:</w:t>
      </w:r>
      <w:r>
        <w:t xml:space="preserve"> </w:t>
      </w:r>
      <w:hyperlink r:id="rId79">
        <w:r>
          <w:rPr>
            <w:rStyle w:val="Hyperlink"/>
          </w:rPr>
          <w:t xml:space="preserve">http://biorxiv.org/content/early/2017/05/05/134551</w:t>
        </w:r>
      </w:hyperlink>
    </w:p>
    <w:p>
      <w:pPr>
        <w:pStyle w:val="Bibliography"/>
      </w:pPr>
      <w:r>
        <w:t xml:space="preserve">41. Willer CJ, Schmidt EM, Sengupta S, Peloso GM, Gustafsson S, Kanoni S, et al. Discovery and refinement of loci associated with lipid levels. Nature Genetics [Internet]. 2013;45(11):1274–83. Available from:</w:t>
      </w:r>
      <w:r>
        <w:t xml:space="preserve"> </w:t>
      </w:r>
      <w:hyperlink r:id="rId80">
        <w:r>
          <w:rPr>
            <w:rStyle w:val="Hyperlink"/>
          </w:rPr>
          <w:t xml:space="preserve">http://www.nature.com/doifinder/10.1038/ng.2797</w:t>
        </w:r>
      </w:hyperlink>
    </w:p>
    <w:p>
      <w:pPr>
        <w:pStyle w:val="Bibliography"/>
      </w:pPr>
      <w:r>
        <w:t xml:space="preserve">42. Okbay A, Beauchamp JP, Fontana MA, Lee JJ, Pers TH, Rietveld CA, et al. Genome-wide association study identifies 74 loci associated with educational attainment. Nature [Internet]. 2016 May;533(7604):539–42. Available from:</w:t>
      </w:r>
      <w:r>
        <w:t xml:space="preserve"> </w:t>
      </w:r>
      <w:hyperlink r:id="rId81">
        <w:r>
          <w:rPr>
            <w:rStyle w:val="Hyperlink"/>
          </w:rPr>
          <w:t xml:space="preserve">http://www.ncbi.nlm.nih.gov/pubmed/27225129 http://www.pubmedcentral.nih.gov/articlerender.fcgi?artid=PMC4883595 http://www.nature.com/doifinder/10.1038/nature17671</w:t>
        </w:r>
      </w:hyperlink>
    </w:p>
    <w:p>
      <w:pPr>
        <w:pStyle w:val="Bibliography"/>
      </w:pPr>
      <w:r>
        <w:t xml:space="preserve">43. Anderson E, Wade KH, Hemani G, Bowden J, Korologou-Linden R, Davey Smith G, et al. The Causal Effect Of Educational Attainment On Alzheimer’s Disease: A Two-Sample Mendelian Randomization Study. bioRxiv [Internet]. 2017; Available from:</w:t>
      </w:r>
      <w:r>
        <w:t xml:space="preserve"> </w:t>
      </w:r>
      <w:hyperlink r:id="rId82">
        <w:r>
          <w:rPr>
            <w:rStyle w:val="Hyperlink"/>
          </w:rPr>
          <w:t xml:space="preserve">http://www.biorxiv.org/content/early/2017/04/17/127993</w:t>
        </w:r>
      </w:hyperlink>
    </w:p>
    <w:p>
      <w:pPr>
        <w:pStyle w:val="Bibliography"/>
      </w:pPr>
      <w:r>
        <w:t xml:space="preserve">44. Kotthoff L, Thornton C, Hoos HH, Hutter F, Leyton-Brown K. Auto-WEKA 2.0: Automatic model selection and hyperparameter optimization in WEKA. Journal of Machine Learning Research. 2016;17:1–5.</w:t>
      </w:r>
      <w:r>
        <w:t xml:space="preserve"> </w:t>
      </w:r>
    </w:p>
    <w:p>
      <w:pPr>
        <w:pStyle w:val="Bibliography"/>
      </w:pPr>
      <w:r>
        <w:t xml:space="preserve">45. Zhu Z, Zhang F, Hu H, Bakshi A, Robinson MR, Powell JE, et al. Integration of summary data from GWAS and eQTL studies predicts complex trait gene targets. Nature Genetics [Internet]. 2016 Mar;48(5):481–7. Available from:</w:t>
      </w:r>
      <w:r>
        <w:t xml:space="preserve"> </w:t>
      </w:r>
      <w:hyperlink r:id="rId83">
        <w:r>
          <w:rPr>
            <w:rStyle w:val="Hyperlink"/>
          </w:rPr>
          <w:t xml:space="preserve">http://www.nature.com/doifinder/10.1038/ng.3538</w:t>
        </w:r>
      </w:hyperlink>
    </w:p>
    <w:p>
      <w:pPr>
        <w:pStyle w:val="Bibliography"/>
      </w:pPr>
      <w:r>
        <w:t xml:space="preserve">46. Richardson TG, Zheng J, Davey Smith G, Timpson NJ, Gaunt TR, Relton CL, et al. Causal epigenome-wide association study identifies CpG sites that influence cardiovascular disease risk. bioRxiv [Internet]. 2017; Available from:</w:t>
      </w:r>
      <w:r>
        <w:t xml:space="preserve"> </w:t>
      </w:r>
      <w:hyperlink r:id="rId84">
        <w:r>
          <w:rPr>
            <w:rStyle w:val="Hyperlink"/>
          </w:rPr>
          <w:t xml:space="preserve">http://biorxiv.org/content/early/2017/04/29/132019</w:t>
        </w:r>
      </w:hyperlink>
    </w:p>
    <w:p>
      <w:pPr>
        <w:pStyle w:val="Bibliography"/>
      </w:pPr>
      <w:r>
        <w:t xml:space="preserve">47. Wang L, Michoel T. Efficient And Accurate Causal Inference With Hidden Confounders From Genome-Transcriptome Variation Data. bioRxiv [Internet]. 2017; Available from:</w:t>
      </w:r>
      <w:r>
        <w:t xml:space="preserve"> </w:t>
      </w:r>
      <w:hyperlink r:id="rId85">
        <w:r>
          <w:rPr>
            <w:rStyle w:val="Hyperlink"/>
          </w:rPr>
          <w:t xml:space="preserve">http://www.biorxiv.org/content/early/2017/04/19/128496</w:t>
        </w:r>
      </w:hyperlink>
    </w:p>
    <w:p>
      <w:pPr>
        <w:pStyle w:val="Bibliography"/>
      </w:pPr>
      <w:r>
        <w:t xml:space="preserve">48. Aalen OO, Valberg M, Grotmol T, Tretli S. Understanding variation in disease risk: the elusive concept of frailty. International journal of epidemiology [Internet]. 2015 Aug;44(4):1408–21. Available from:</w:t>
      </w:r>
      <w:r>
        <w:t xml:space="preserve"> </w:t>
      </w:r>
      <w:hyperlink r:id="rId86">
        <w:r>
          <w:rPr>
            <w:rStyle w:val="Hyperlink"/>
          </w:rPr>
          <w:t xml:space="preserve">http://www.ncbi.nlm.nih.gov/pubmed/25501685 http://www.pubmedcentral.nih.gov/articlerender.fcgi?artid=PMC4588855</w:t>
        </w:r>
      </w:hyperlink>
    </w:p>
    <w:p>
      <w:pPr>
        <w:pStyle w:val="Bibliography"/>
      </w:pPr>
      <w:r>
        <w:t xml:space="preserve">49.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87">
        <w:r>
          <w:rPr>
            <w:rStyle w:val="Hyperlink"/>
          </w:rPr>
          <w:t xml:space="preserve">http://dx.plos.org/10.1371/journal.pmed.1002314</w:t>
        </w:r>
      </w:hyperlink>
    </w:p>
    <w:p>
      <w:pPr>
        <w:pStyle w:val="Bibliography"/>
      </w:pPr>
      <w:r>
        <w:t xml:space="preserve">50. Burgess S, Freitag DF, Khan H, Gorman DN, Thompson SG. Using multivariable Mendelian randomization to disentangle the causal effects of lipid fractions. PloS one [Internet]. 2014 Jan;9(10):e108891. Available from:</w:t>
      </w:r>
      <w:r>
        <w:t xml:space="preserve"> </w:t>
      </w:r>
      <w:hyperlink r:id="rId88">
        <w:r>
          <w:rPr>
            <w:rStyle w:val="Hyperlink"/>
          </w:rPr>
          <w:t xml:space="preserve">http://journals.plos.org/plosone/article?id=10.1371/journal.pone.0108891</w:t>
        </w:r>
      </w:hyperlink>
    </w:p>
    <w:p>
      <w:pPr>
        <w:pStyle w:val="Bibliography"/>
      </w:pPr>
      <w:r>
        <w:t xml:space="preserve">51. Juul K, Tybjaerg-Hansen A, Marklund S, Heegaard NHH, Steffensen R, Sillesen H, et al. Genetically Reduced Antioxidative Protection and Increased Ischemic Heart Disease Risk: The Copenhagen City Heart Study. Circulation [Internet]. 2003 Dec;109(1):59–65. Available from:</w:t>
      </w:r>
      <w:r>
        <w:t xml:space="preserve"> </w:t>
      </w:r>
      <w:hyperlink r:id="rId89">
        <w:r>
          <w:rPr>
            <w:rStyle w:val="Hyperlink"/>
          </w:rPr>
          <w:t xml:space="preserve">http://www.ncbi.nlm.nih.gov/pubmed/14662715 http://circ.ahajournals.org/cgi/doi/10.1161/01.CIR.0000105720.28086.6C</w:t>
        </w:r>
      </w:hyperlink>
    </w:p>
    <w:p>
      <w:pPr>
        <w:pStyle w:val="Bibliography"/>
      </w:pPr>
      <w:r>
        <w:t xml:space="preserve">52. Hinke S von, Davey Smith G, Lawlor D, Propper C, Windmeijer F. Genetic markers as instrumental variables. J Health Econ. 2016;45:131–48.</w:t>
      </w:r>
      <w:r>
        <w:t xml:space="preserve"> </w:t>
      </w:r>
    </w:p>
    <w:p>
      <w:pPr>
        <w:pStyle w:val="Bibliography"/>
      </w:pPr>
      <w:r>
        <w:t xml:space="preserve">53. Staley JR, Blackshaw J, Kamat MA, Ellis S, Surendran P, Sun BB, et al. PhenoScanner: a database of human genotype–phenotype associations. Bioinformatics [Internet]. 2016 Oct;32(20):3207–9. Available from:</w:t>
      </w:r>
      <w:r>
        <w:t xml:space="preserve"> </w:t>
      </w:r>
      <w:hyperlink r:id="rId90">
        <w:r>
          <w:rPr>
            <w:rStyle w:val="Hyperlink"/>
          </w:rPr>
          <w:t xml:space="preserve">http://www.ncbi.nlm.nih.gov/pubmed/27318201 http://www.pubmedcentral.nih.gov/articlerender.fcgi?artid=PMC5048068 https://academic.oup.com/bioinformatics/article-lookup/doi/10.1093/bioinformatics/btw373</w:t>
        </w:r>
      </w:hyperlink>
    </w:p>
    <w:p>
      <w:pPr>
        <w:pStyle w:val="Bibliography"/>
      </w:pPr>
      <w:r>
        <w:t xml:space="preserve">54. Vanderweele TJ, Tchetgen Tchetgen EJ, Cornelis M, Kraft P. Methodological challenges in mendelian randomization. Epidemiology (Cambridge, Mass) [Internet]. 2014 May;25(3):427–35. Available from:</w:t>
      </w:r>
      <w:r>
        <w:t xml:space="preserve"> </w:t>
      </w:r>
      <w:hyperlink r:id="rId91">
        <w:r>
          <w:rPr>
            <w:rStyle w:val="Hyperlink"/>
          </w:rPr>
          <w:t xml:space="preserve">http://www.ncbi.nlm.nih.gov/pubmed/24681576</w:t>
        </w:r>
      </w:hyperlink>
    </w:p>
    <w:p>
      <w:pPr>
        <w:pStyle w:val="Bibliography"/>
      </w:pPr>
      <w:r>
        <w:t xml:space="preserve">55. Lee SH, Wray NR. Novel genetic analysis for case-control genome-wide association studies: quantification of power and genomic prediction accuracy. PLoS One. 2013;8(8):e71494.</w:t>
      </w:r>
      <w:r>
        <w:t xml:space="preserve"> </w:t>
      </w:r>
    </w:p>
    <w:p>
      <w:pPr>
        <w:pStyle w:val="Bibliography"/>
      </w:pPr>
      <w:r>
        <w:t xml:space="preserve">56. Liaw A, Wiener M. Classification and Regression by randomForest. R News [Internet]. 2002;2(3):18–22. Available from:</w:t>
      </w:r>
      <w:r>
        <w:t xml:space="preserve"> </w:t>
      </w:r>
      <w:hyperlink r:id="rId92">
        <w:r>
          <w:rPr>
            <w:rStyle w:val="Hyperlink"/>
          </w:rPr>
          <w:t xml:space="preserve">http://cran.r-project.org/doc/Rnews/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0d3a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7c372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5654db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7" Target="media/rId47.png" /><Relationship Type="http://schemas.openxmlformats.org/officeDocument/2006/relationships/image" Id="rId26" Target="media/rId26.png" /><Relationship Type="http://schemas.openxmlformats.org/officeDocument/2006/relationships/hyperlink" Id="rId57" Target="http://biorxiv.org/content/early/2017/03/15/117101" TargetMode="External" /><Relationship Type="http://schemas.openxmlformats.org/officeDocument/2006/relationships/hyperlink" Id="rId56" Target="http://biorxiv.org/content/early/2017/04/10/126102" TargetMode="External" /><Relationship Type="http://schemas.openxmlformats.org/officeDocument/2006/relationships/hyperlink" Id="rId84"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2"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87"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8" Target="http://journals.plos.org/plosone/article?id=10.1371/journal.pone.0108891" TargetMode="External" /><Relationship Type="http://schemas.openxmlformats.org/officeDocument/2006/relationships/hyperlink" Id="rId82" Target="http://www.biorxiv.org/content/early/2017/04/17/127993" TargetMode="External" /><Relationship Type="http://schemas.openxmlformats.org/officeDocument/2006/relationships/hyperlink" Id="rId85"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3" Target="http://www.nature.com/doifinder/10.1038/ng.3538" TargetMode="External" /><Relationship Type="http://schemas.openxmlformats.org/officeDocument/2006/relationships/hyperlink" Id="rId69" Target="http://www.nature.com/doifinder/10.1038/nrg.2016.87{\%}5Cnhttp://www.ncbi.nlm.nih.gov/pubmed/27498692"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89"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1" Target="http://www.ncbi.nlm.nih.gov/pubmed/24681576" TargetMode="External" /><Relationship Type="http://schemas.openxmlformats.org/officeDocument/2006/relationships/hyperlink" Id="rId86"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0"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7" Target="http://biorxiv.org/content/early/2017/03/15/117101" TargetMode="External" /><Relationship Type="http://schemas.openxmlformats.org/officeDocument/2006/relationships/hyperlink" Id="rId56" Target="http://biorxiv.org/content/early/2017/04/10/126102" TargetMode="External" /><Relationship Type="http://schemas.openxmlformats.org/officeDocument/2006/relationships/hyperlink" Id="rId84"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2"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87"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8" Target="http://journals.plos.org/plosone/article?id=10.1371/journal.pone.0108891" TargetMode="External" /><Relationship Type="http://schemas.openxmlformats.org/officeDocument/2006/relationships/hyperlink" Id="rId82" Target="http://www.biorxiv.org/content/early/2017/04/17/127993" TargetMode="External" /><Relationship Type="http://schemas.openxmlformats.org/officeDocument/2006/relationships/hyperlink" Id="rId85"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3" Target="http://www.nature.com/doifinder/10.1038/ng.3538" TargetMode="External" /><Relationship Type="http://schemas.openxmlformats.org/officeDocument/2006/relationships/hyperlink" Id="rId69" Target="http://www.nature.com/doifinder/10.1038/nrg.2016.87{\%}5Cnhttp://www.ncbi.nlm.nih.gov/pubmed/27498692"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89"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1" Target="http://www.ncbi.nlm.nih.gov/pubmed/24681576" TargetMode="External" /><Relationship Type="http://schemas.openxmlformats.org/officeDocument/2006/relationships/hyperlink" Id="rId86"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0"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putative causal map of natural variation across the human phenome</dc:title>
  <dc:creator/>
  <dcterms:created xsi:type="dcterms:W3CDTF">2017-08-03T14:09:42Z</dcterms:created>
  <dcterms:modified xsi:type="dcterms:W3CDTF">2017-08-03T14:09:42Z</dcterms:modified>
</cp:coreProperties>
</file>