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7D969" w14:textId="4B1CDFFD" w:rsidR="00594E2B" w:rsidRPr="004704DD" w:rsidRDefault="00A92D9E" w:rsidP="00594E2B">
      <w:pPr>
        <w:spacing w:after="0" w:line="331" w:lineRule="atLeast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The r</w:t>
      </w:r>
      <w:r w:rsidR="00594E2B" w:rsidRPr="004704DD">
        <w:rPr>
          <w:rFonts w:ascii="Arial" w:eastAsia="Times New Roman" w:hAnsi="Arial" w:cs="Arial"/>
          <w:b/>
          <w:color w:val="000000"/>
        </w:rPr>
        <w:t xml:space="preserve">eason Riemannian </w:t>
      </w:r>
      <w:proofErr w:type="gramStart"/>
      <w:r w:rsidR="00594E2B" w:rsidRPr="004704DD">
        <w:rPr>
          <w:rFonts w:ascii="Arial" w:eastAsia="Times New Roman" w:hAnsi="Arial" w:cs="Arial"/>
          <w:b/>
          <w:color w:val="000000"/>
        </w:rPr>
        <w:t>geometry based</w:t>
      </w:r>
      <w:proofErr w:type="gramEnd"/>
      <w:r w:rsidR="00594E2B" w:rsidRPr="004704DD">
        <w:rPr>
          <w:rFonts w:ascii="Arial" w:eastAsia="Times New Roman" w:hAnsi="Arial" w:cs="Arial"/>
          <w:b/>
          <w:color w:val="000000"/>
        </w:rPr>
        <w:t xml:space="preserve"> classifier works well</w:t>
      </w:r>
      <w:r>
        <w:rPr>
          <w:rFonts w:ascii="Arial" w:eastAsia="Times New Roman" w:hAnsi="Arial" w:cs="Arial"/>
          <w:b/>
          <w:color w:val="000000"/>
        </w:rPr>
        <w:t xml:space="preserve"> in </w:t>
      </w:r>
      <w:proofErr w:type="spellStart"/>
      <w:r>
        <w:rPr>
          <w:rFonts w:ascii="Arial" w:eastAsia="Times New Roman" w:hAnsi="Arial" w:cs="Arial"/>
          <w:b/>
          <w:color w:val="000000"/>
        </w:rPr>
        <w:t>ECoG</w:t>
      </w:r>
      <w:proofErr w:type="spellEnd"/>
      <w:r>
        <w:rPr>
          <w:rFonts w:ascii="Arial" w:eastAsia="Times New Roman" w:hAnsi="Arial" w:cs="Arial"/>
          <w:b/>
          <w:color w:val="000000"/>
        </w:rPr>
        <w:t>/EEG classification problems</w:t>
      </w:r>
      <w:r w:rsidR="00594E2B" w:rsidRPr="004704DD">
        <w:rPr>
          <w:rFonts w:ascii="Arial" w:eastAsia="Times New Roman" w:hAnsi="Arial" w:cs="Arial"/>
          <w:b/>
          <w:color w:val="000000"/>
        </w:rPr>
        <w:t>:</w:t>
      </w:r>
    </w:p>
    <w:p w14:paraId="1A5051FF" w14:textId="77777777" w:rsidR="00CD50C2" w:rsidRPr="00594E2B" w:rsidRDefault="00CD50C2" w:rsidP="00594E2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743D8F" w14:textId="388DC543" w:rsidR="00594E2B" w:rsidRPr="00594E2B" w:rsidRDefault="00A57789" w:rsidP="00594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Common classifiers such as k-nearest neighbor uses arithmetic distance and mean. </w:t>
      </w:r>
      <w:r w:rsidR="00FA5C17">
        <w:rPr>
          <w:rFonts w:ascii="Arial" w:eastAsia="Times New Roman" w:hAnsi="Arial" w:cs="Arial"/>
          <w:color w:val="000000"/>
        </w:rPr>
        <w:t>Riemannian classifier implements the same algorithm</w:t>
      </w:r>
      <w:r w:rsidR="00B02FE4">
        <w:rPr>
          <w:rFonts w:ascii="Arial" w:eastAsia="Times New Roman" w:hAnsi="Arial" w:cs="Arial"/>
          <w:color w:val="000000"/>
        </w:rPr>
        <w:t>s</w:t>
      </w:r>
      <w:r w:rsidR="00FA5C17">
        <w:rPr>
          <w:rFonts w:ascii="Arial" w:eastAsia="Times New Roman" w:hAnsi="Arial" w:cs="Arial"/>
          <w:color w:val="000000"/>
        </w:rPr>
        <w:t xml:space="preserve"> but use</w:t>
      </w:r>
      <w:r w:rsidR="00983EB0">
        <w:rPr>
          <w:rFonts w:ascii="Arial" w:eastAsia="Times New Roman" w:hAnsi="Arial" w:cs="Arial"/>
          <w:color w:val="000000"/>
        </w:rPr>
        <w:t>s</w:t>
      </w:r>
      <w:r w:rsidR="00FA5C17">
        <w:rPr>
          <w:rFonts w:ascii="Arial" w:eastAsia="Times New Roman" w:hAnsi="Arial" w:cs="Arial"/>
          <w:color w:val="000000"/>
        </w:rPr>
        <w:t xml:space="preserve"> Riemannian distance and mean. </w:t>
      </w:r>
      <w:r w:rsidR="005C0B41">
        <w:rPr>
          <w:rFonts w:ascii="Arial" w:eastAsia="Times New Roman" w:hAnsi="Arial" w:cs="Arial"/>
          <w:color w:val="000000"/>
        </w:rPr>
        <w:t xml:space="preserve">Riemannian distance and mean shares many </w:t>
      </w:r>
      <w:r w:rsidR="003474AC">
        <w:rPr>
          <w:rFonts w:ascii="Arial" w:eastAsia="Times New Roman" w:hAnsi="Arial" w:cs="Arial"/>
          <w:color w:val="000000"/>
        </w:rPr>
        <w:t>properties</w:t>
      </w:r>
      <w:r w:rsidR="005C0B41">
        <w:rPr>
          <w:rFonts w:ascii="Arial" w:eastAsia="Times New Roman" w:hAnsi="Arial" w:cs="Arial"/>
          <w:color w:val="000000"/>
        </w:rPr>
        <w:t xml:space="preserve"> with Log-Euclidean </w:t>
      </w:r>
      <w:r w:rsidR="00957667">
        <w:rPr>
          <w:rFonts w:ascii="Arial" w:eastAsia="Times New Roman" w:hAnsi="Arial" w:cs="Arial"/>
          <w:color w:val="000000"/>
        </w:rPr>
        <w:t>distance</w:t>
      </w:r>
      <w:r w:rsidR="0023424E">
        <w:rPr>
          <w:rFonts w:ascii="Arial" w:eastAsia="Times New Roman" w:hAnsi="Arial" w:cs="Arial"/>
          <w:color w:val="000000"/>
        </w:rPr>
        <w:t xml:space="preserve">, which </w:t>
      </w:r>
      <w:r w:rsidR="003474AC">
        <w:rPr>
          <w:rFonts w:ascii="Arial" w:eastAsia="Times New Roman" w:hAnsi="Arial" w:cs="Arial"/>
          <w:color w:val="000000"/>
        </w:rPr>
        <w:t>h</w:t>
      </w:r>
      <w:r w:rsidR="0023424E">
        <w:rPr>
          <w:rFonts w:ascii="Arial" w:eastAsia="Times New Roman" w:hAnsi="Arial" w:cs="Arial"/>
          <w:color w:val="000000"/>
        </w:rPr>
        <w:t>as many benefits over arithmetic distance.</w:t>
      </w:r>
      <w:r w:rsidR="00594E2B" w:rsidRPr="00594E2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06A5418" w14:textId="57D36B8B" w:rsidR="00594E2B" w:rsidRPr="00594E2B" w:rsidRDefault="00594E2B" w:rsidP="00594E2B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E2B">
        <w:rPr>
          <w:rFonts w:ascii="Arial" w:eastAsia="Times New Roman" w:hAnsi="Arial" w:cs="Arial"/>
          <w:color w:val="000000"/>
        </w:rPr>
        <w:t>Benefit</w:t>
      </w:r>
      <w:r w:rsidR="007D1A3D">
        <w:rPr>
          <w:rFonts w:ascii="Arial" w:eastAsia="Times New Roman" w:hAnsi="Arial" w:cs="Arial"/>
          <w:color w:val="000000"/>
        </w:rPr>
        <w:t>s</w:t>
      </w:r>
      <w:r w:rsidRPr="00594E2B">
        <w:rPr>
          <w:rFonts w:ascii="Arial" w:eastAsia="Times New Roman" w:hAnsi="Arial" w:cs="Arial"/>
          <w:color w:val="000000"/>
        </w:rPr>
        <w:t xml:space="preserve"> of Log Euclidean distance:</w:t>
      </w:r>
    </w:p>
    <w:p w14:paraId="7A28D895" w14:textId="0D4B3E48" w:rsidR="00594E2B" w:rsidRPr="00594E2B" w:rsidRDefault="00594E2B" w:rsidP="00594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05D95E" wp14:editId="183EDBAE">
            <wp:extent cx="2115403" cy="37678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6648" cy="38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D15B" w14:textId="3B80D869" w:rsidR="00594E2B" w:rsidRDefault="00594E2B" w:rsidP="00594E2B">
      <w:pPr>
        <w:numPr>
          <w:ilvl w:val="0"/>
          <w:numId w:val="1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 w:rsidRPr="00594E2B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Log Euclidean distance is scale invariant. D(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a,b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>) = D(</w:t>
      </w:r>
      <w:proofErr w:type="spellStart"/>
      <w:r>
        <w:rPr>
          <w:rFonts w:ascii="Arial" w:eastAsia="Times New Roman" w:hAnsi="Arial" w:cs="Arial"/>
          <w:color w:val="000000"/>
        </w:rPr>
        <w:t>xa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xb</w:t>
      </w:r>
      <w:proofErr w:type="spellEnd"/>
      <w:r>
        <w:rPr>
          <w:rFonts w:ascii="Arial" w:eastAsia="Times New Roman" w:hAnsi="Arial" w:cs="Arial"/>
          <w:color w:val="000000"/>
        </w:rPr>
        <w:t>). When this generalize to matrices</w:t>
      </w:r>
    </w:p>
    <w:p w14:paraId="58FB0298" w14:textId="27192EBD" w:rsidR="00594E2B" w:rsidRDefault="00594E2B" w:rsidP="00594E2B">
      <w:pPr>
        <w:spacing w:after="0" w:line="303" w:lineRule="atLeast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212EBEA4" wp14:editId="3096DFEC">
            <wp:extent cx="2470245" cy="2658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294" cy="2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BF83" w14:textId="3E7E69FE" w:rsidR="00594E2B" w:rsidRDefault="00594E2B" w:rsidP="00594E2B">
      <w:pPr>
        <w:spacing w:after="0" w:line="303" w:lineRule="atLeast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 terms of Sampling in </w:t>
      </w:r>
      <w:proofErr w:type="spellStart"/>
      <w:r>
        <w:rPr>
          <w:rFonts w:ascii="Arial" w:eastAsia="Times New Roman" w:hAnsi="Arial" w:cs="Arial"/>
          <w:color w:val="000000"/>
        </w:rPr>
        <w:t>ECoG</w:t>
      </w:r>
      <w:proofErr w:type="spellEnd"/>
      <w:r>
        <w:rPr>
          <w:rFonts w:ascii="Arial" w:eastAsia="Times New Roman" w:hAnsi="Arial" w:cs="Arial"/>
          <w:color w:val="000000"/>
        </w:rPr>
        <w:t xml:space="preserve"> or EEG, it means it does not matter if the electrodes are placed in slightly different position</w:t>
      </w:r>
      <w:r w:rsidR="001E6996"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 xml:space="preserve">, the distance between two measured covariance </w:t>
      </w:r>
      <w:r w:rsidR="001B2351">
        <w:rPr>
          <w:rFonts w:ascii="Arial" w:eastAsia="Times New Roman" w:hAnsi="Arial" w:cs="Arial"/>
          <w:color w:val="000000"/>
        </w:rPr>
        <w:t>matrices</w:t>
      </w:r>
      <w:r>
        <w:rPr>
          <w:rFonts w:ascii="Arial" w:eastAsia="Times New Roman" w:hAnsi="Arial" w:cs="Arial"/>
          <w:color w:val="000000"/>
        </w:rPr>
        <w:t xml:space="preserve"> will be the same. (X is the mixing matrix what is determined by the position</w:t>
      </w:r>
      <w:r w:rsidR="003E268A"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 xml:space="preserve"> of electrodes.)</w:t>
      </w:r>
    </w:p>
    <w:p w14:paraId="7171B95F" w14:textId="01A0C65C" w:rsidR="000959DD" w:rsidRDefault="000959DD" w:rsidP="00594E2B">
      <w:pPr>
        <w:spacing w:after="0" w:line="303" w:lineRule="atLeast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This give Log Euclidean based classifier good ability of transfer learning</w:t>
      </w:r>
      <w:r w:rsidR="006F0C35">
        <w:rPr>
          <w:rFonts w:ascii="Arial" w:eastAsia="Times New Roman" w:hAnsi="Arial" w:cs="Arial"/>
          <w:color w:val="000000"/>
        </w:rPr>
        <w:t xml:space="preserve"> across session and across subjects</w:t>
      </w:r>
      <w:r>
        <w:rPr>
          <w:rFonts w:ascii="Arial" w:eastAsia="Times New Roman" w:hAnsi="Arial" w:cs="Arial"/>
          <w:color w:val="000000"/>
        </w:rPr>
        <w:t xml:space="preserve">. </w:t>
      </w:r>
    </w:p>
    <w:p w14:paraId="293CE4EA" w14:textId="77777777" w:rsidR="00594E2B" w:rsidRDefault="00594E2B" w:rsidP="00594E2B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</w:p>
    <w:p w14:paraId="68AD3B9A" w14:textId="3827B063" w:rsidR="00CC1121" w:rsidRDefault="00CC1121" w:rsidP="00594E2B">
      <w:pPr>
        <w:pStyle w:val="ListParagraph"/>
        <w:numPr>
          <w:ilvl w:val="0"/>
          <w:numId w:val="1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arithmetic mean is only a good indicator of central tendency if the distribution is symmetrical (such as Gaussian), but not so good when the distribution is not symmetrical (such of Chi-squared). In this regard, Log Euclidean mean is more resistant to outlier in both Symmetrical or non-symmetrical distribution</w:t>
      </w:r>
      <w:r w:rsidR="00CE0562"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>.</w:t>
      </w:r>
    </w:p>
    <w:p w14:paraId="0C5E07C9" w14:textId="26EBB2F2" w:rsidR="00C36C2C" w:rsidRDefault="00C36C2C" w:rsidP="00C36C2C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</w:p>
    <w:p w14:paraId="3B3CA9A2" w14:textId="21447CC7" w:rsidR="00C36C2C" w:rsidRDefault="00C36C2C" w:rsidP="00C36C2C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</w:p>
    <w:p w14:paraId="5B73985C" w14:textId="13A96B7E" w:rsidR="00C36C2C" w:rsidRDefault="00EA23C1" w:rsidP="00C36C2C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According to [1], Riemannian distance inherit both property from Log Euclidean distance. It is defined as</w:t>
      </w:r>
    </w:p>
    <w:p w14:paraId="7D491AD2" w14:textId="1A12EB77" w:rsidR="00D04DBE" w:rsidRDefault="00EA23C1" w:rsidP="00C36C2C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3711994C" wp14:editId="061345D1">
            <wp:extent cx="3650776" cy="327876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214" cy="3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D7DA" w14:textId="77777777" w:rsidR="00D04DBE" w:rsidRDefault="00D04DBE" w:rsidP="00C36C2C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</w:p>
    <w:p w14:paraId="20AF48B5" w14:textId="4679372E" w:rsidR="00D04DBE" w:rsidRDefault="00D04DBE" w:rsidP="00C36C2C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Tangent Space classifier goes a step further. After finding the Riemannian mean of the covariance matrix points, it projects the data points onto the tangent space of the mean. According to [1], “</w:t>
      </w:r>
      <w:r w:rsidRPr="00D04DBE">
        <w:rPr>
          <w:rFonts w:ascii="Arial" w:eastAsia="Times New Roman" w:hAnsi="Arial" w:cs="Arial"/>
          <w:color w:val="000000"/>
        </w:rPr>
        <w:t>Tangent space mapping is a local projection that maps the elements of the manifold into a Euclidean space, keeping their distance relationship intact.</w:t>
      </w:r>
      <w:r>
        <w:rPr>
          <w:rFonts w:ascii="Arial" w:eastAsia="Times New Roman" w:hAnsi="Arial" w:cs="Arial"/>
          <w:color w:val="000000"/>
        </w:rPr>
        <w:t xml:space="preserve">” This allows us to use regular classifier such as SVM, logistic regression, </w:t>
      </w:r>
      <w:proofErr w:type="spellStart"/>
      <w:r>
        <w:rPr>
          <w:rFonts w:ascii="Arial" w:eastAsia="Times New Roman" w:hAnsi="Arial" w:cs="Arial"/>
          <w:color w:val="000000"/>
        </w:rPr>
        <w:t>etc</w:t>
      </w:r>
      <w:proofErr w:type="spellEnd"/>
      <w:r>
        <w:rPr>
          <w:rFonts w:ascii="Arial" w:eastAsia="Times New Roman" w:hAnsi="Arial" w:cs="Arial"/>
          <w:color w:val="000000"/>
        </w:rPr>
        <w:t xml:space="preserve"> which are defined in arithmetic distance.</w:t>
      </w:r>
      <w:r w:rsidR="000F5C83">
        <w:rPr>
          <w:rFonts w:ascii="Arial" w:eastAsia="Times New Roman" w:hAnsi="Arial" w:cs="Arial"/>
          <w:color w:val="000000"/>
        </w:rPr>
        <w:t xml:space="preserve"> </w:t>
      </w:r>
    </w:p>
    <w:p w14:paraId="7CC6C6DA" w14:textId="56F7E4F2" w:rsidR="000F5C83" w:rsidRDefault="000F5C83" w:rsidP="00C36C2C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</w:p>
    <w:p w14:paraId="4C22004A" w14:textId="77777777" w:rsidR="00362A4E" w:rsidRDefault="00362A4E" w:rsidP="00C36C2C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</w:p>
    <w:p w14:paraId="600A67F0" w14:textId="77777777" w:rsidR="00362A4E" w:rsidRDefault="00362A4E" w:rsidP="00C36C2C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</w:p>
    <w:p w14:paraId="2ED6D2BC" w14:textId="77777777" w:rsidR="00362A4E" w:rsidRDefault="00362A4E" w:rsidP="00C36C2C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</w:p>
    <w:p w14:paraId="1D0546BA" w14:textId="77777777" w:rsidR="00362A4E" w:rsidRDefault="00362A4E" w:rsidP="00C36C2C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</w:p>
    <w:p w14:paraId="450C7098" w14:textId="002DDA37" w:rsidR="003A3A9B" w:rsidRDefault="00362A4E" w:rsidP="00C36C2C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The workflow of the Tangent space classifier </w:t>
      </w:r>
      <w:r w:rsidR="00810C43">
        <w:rPr>
          <w:rFonts w:ascii="Arial" w:eastAsia="Times New Roman" w:hAnsi="Arial" w:cs="Arial"/>
          <w:color w:val="000000"/>
        </w:rPr>
        <w:t>is</w:t>
      </w:r>
      <w:r>
        <w:rPr>
          <w:rFonts w:ascii="Arial" w:eastAsia="Times New Roman" w:hAnsi="Arial" w:cs="Arial"/>
          <w:color w:val="000000"/>
        </w:rPr>
        <w:t>:</w:t>
      </w:r>
    </w:p>
    <w:p w14:paraId="2FA379B4" w14:textId="77A0EC44" w:rsidR="00362A4E" w:rsidRDefault="00362A4E" w:rsidP="00C36C2C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7394DB12" wp14:editId="01459061">
            <wp:extent cx="5943600" cy="776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8E90" w14:textId="7BC2C578" w:rsidR="000F5C83" w:rsidRDefault="00362A4E" w:rsidP="00C36C2C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By default, the tangent space classifier uses logistic regression on the last step. Part of the novelty in my project is applying SVM and ensemble classifier</w:t>
      </w:r>
      <w:r w:rsidR="00357ED3"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 xml:space="preserve"> to replace </w:t>
      </w:r>
      <w:r w:rsidR="00357ED3">
        <w:rPr>
          <w:rFonts w:ascii="Arial" w:eastAsia="Times New Roman" w:hAnsi="Arial" w:cs="Arial"/>
          <w:color w:val="000000"/>
        </w:rPr>
        <w:t xml:space="preserve">the </w:t>
      </w:r>
      <w:r>
        <w:rPr>
          <w:rFonts w:ascii="Arial" w:eastAsia="Times New Roman" w:hAnsi="Arial" w:cs="Arial"/>
          <w:color w:val="000000"/>
        </w:rPr>
        <w:t>logistic classifier.</w:t>
      </w:r>
    </w:p>
    <w:p w14:paraId="4274C8B5" w14:textId="15449036" w:rsidR="00362A4E" w:rsidRDefault="00362A4E" w:rsidP="00C36C2C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</w:p>
    <w:p w14:paraId="025D33E6" w14:textId="4C9CAE95" w:rsidR="00362A4E" w:rsidRDefault="00362A4E" w:rsidP="00C36C2C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</w:p>
    <w:p w14:paraId="31E27488" w14:textId="2B16AA34" w:rsidR="00362A4E" w:rsidRDefault="00362A4E" w:rsidP="00C36C2C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</w:p>
    <w:p w14:paraId="1F8C69E1" w14:textId="4289107D" w:rsidR="006C58BE" w:rsidRPr="00391745" w:rsidRDefault="00391745" w:rsidP="00C36C2C">
      <w:pPr>
        <w:spacing w:after="0" w:line="303" w:lineRule="atLeast"/>
        <w:textAlignment w:val="baseline"/>
        <w:rPr>
          <w:rFonts w:ascii="Arial" w:eastAsia="Times New Roman" w:hAnsi="Arial" w:cs="Arial"/>
          <w:b/>
          <w:color w:val="000000"/>
        </w:rPr>
      </w:pPr>
      <w:r w:rsidRPr="00391745">
        <w:rPr>
          <w:rFonts w:ascii="Arial" w:eastAsia="Times New Roman" w:hAnsi="Arial" w:cs="Arial"/>
          <w:b/>
          <w:color w:val="000000"/>
        </w:rPr>
        <w:t>My Novelty in this project:</w:t>
      </w:r>
    </w:p>
    <w:p w14:paraId="1F4A5824" w14:textId="77777777" w:rsidR="00391745" w:rsidRDefault="00391745" w:rsidP="00C36C2C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</w:p>
    <w:p w14:paraId="26FBA41C" w14:textId="1FC72FEC" w:rsidR="006C58BE" w:rsidRDefault="004F5AD9" w:rsidP="004F5AD9">
      <w:pPr>
        <w:pStyle w:val="ListParagraph"/>
        <w:numPr>
          <w:ilvl w:val="0"/>
          <w:numId w:val="2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Replace default logistic regression with SVM. Since overfitting is observed </w:t>
      </w:r>
      <w:r w:rsidR="00143250">
        <w:rPr>
          <w:rFonts w:ascii="Arial" w:eastAsia="Times New Roman" w:hAnsi="Arial" w:cs="Arial"/>
          <w:color w:val="000000"/>
        </w:rPr>
        <w:t xml:space="preserve">during training </w:t>
      </w:r>
      <w:r>
        <w:rPr>
          <w:rFonts w:ascii="Arial" w:eastAsia="Times New Roman" w:hAnsi="Arial" w:cs="Arial"/>
          <w:color w:val="000000"/>
        </w:rPr>
        <w:t xml:space="preserve">SVM. A bagging classifier with 21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fine</w:t>
      </w:r>
      <w:proofErr w:type="gramEnd"/>
      <w:r>
        <w:rPr>
          <w:rFonts w:ascii="Arial" w:eastAsia="Times New Roman" w:hAnsi="Arial" w:cs="Arial"/>
          <w:color w:val="000000"/>
        </w:rPr>
        <w:t xml:space="preserve"> tuned</w:t>
      </w:r>
      <w:proofErr w:type="spellEnd"/>
      <w:r>
        <w:rPr>
          <w:rFonts w:ascii="Arial" w:eastAsia="Times New Roman" w:hAnsi="Arial" w:cs="Arial"/>
          <w:color w:val="000000"/>
        </w:rPr>
        <w:t xml:space="preserve"> SVM base classifier</w:t>
      </w:r>
      <w:r w:rsidR="00670069"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 xml:space="preserve"> was created.</w:t>
      </w:r>
    </w:p>
    <w:p w14:paraId="75B6EF3D" w14:textId="77777777" w:rsidR="004F5AD9" w:rsidRDefault="004F5AD9" w:rsidP="004F5AD9">
      <w:pPr>
        <w:spacing w:after="0" w:line="303" w:lineRule="atLeast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2ADE95D4" w14:textId="0152157C" w:rsidR="004F5AD9" w:rsidRDefault="004F5AD9" w:rsidP="004F5AD9">
      <w:pPr>
        <w:pStyle w:val="ListParagraph"/>
        <w:numPr>
          <w:ilvl w:val="0"/>
          <w:numId w:val="2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Two</w:t>
      </w:r>
      <w:r w:rsidR="003967BD">
        <w:rPr>
          <w:rFonts w:ascii="Arial" w:eastAsia="Times New Roman" w:hAnsi="Arial" w:cs="Arial"/>
          <w:color w:val="000000"/>
        </w:rPr>
        <w:t>-</w:t>
      </w:r>
      <w:r>
        <w:rPr>
          <w:rFonts w:ascii="Arial" w:eastAsia="Times New Roman" w:hAnsi="Arial" w:cs="Arial"/>
          <w:color w:val="000000"/>
        </w:rPr>
        <w:t>stag</w:t>
      </w:r>
      <w:r w:rsidR="000168C6">
        <w:rPr>
          <w:rFonts w:ascii="Arial" w:eastAsia="Times New Roman" w:hAnsi="Arial" w:cs="Arial"/>
          <w:color w:val="000000"/>
        </w:rPr>
        <w:t>e</w:t>
      </w:r>
      <w:r>
        <w:rPr>
          <w:rFonts w:ascii="Arial" w:eastAsia="Times New Roman" w:hAnsi="Arial" w:cs="Arial"/>
          <w:color w:val="000000"/>
        </w:rPr>
        <w:t xml:space="preserve"> </w:t>
      </w:r>
      <w:r w:rsidR="00A92BEC">
        <w:rPr>
          <w:rFonts w:ascii="Arial" w:eastAsia="Times New Roman" w:hAnsi="Arial" w:cs="Arial"/>
          <w:color w:val="000000"/>
        </w:rPr>
        <w:t>classifier</w:t>
      </w:r>
      <w:r w:rsidR="000E414F">
        <w:rPr>
          <w:rFonts w:ascii="Arial" w:eastAsia="Times New Roman" w:hAnsi="Arial" w:cs="Arial"/>
          <w:color w:val="000000"/>
        </w:rPr>
        <w:t xml:space="preserve">: </w:t>
      </w:r>
      <w:r w:rsidR="003967BD">
        <w:rPr>
          <w:rFonts w:ascii="Arial" w:eastAsia="Times New Roman" w:hAnsi="Arial" w:cs="Arial"/>
          <w:color w:val="000000"/>
        </w:rPr>
        <w:t>Cross validation with 50 iterations was performed, and “bad” epochs that were repeatedly classified wrong were picked out. Another classifier was trained to distinguish “good” epochs and “bad” epochs</w:t>
      </w:r>
      <w:r w:rsidR="00296883">
        <w:rPr>
          <w:rFonts w:ascii="Arial" w:eastAsia="Times New Roman" w:hAnsi="Arial" w:cs="Arial"/>
          <w:color w:val="000000"/>
        </w:rPr>
        <w:t xml:space="preserve">. This classifier is placed before the tangent space classifier. If the epoch is classified to be “bad”, it will be thrown away and not be passed to </w:t>
      </w:r>
      <w:r w:rsidR="00C7045B">
        <w:rPr>
          <w:rFonts w:ascii="Arial" w:eastAsia="Times New Roman" w:hAnsi="Arial" w:cs="Arial"/>
          <w:color w:val="000000"/>
        </w:rPr>
        <w:t xml:space="preserve">further classification. </w:t>
      </w:r>
    </w:p>
    <w:p w14:paraId="3435A56A" w14:textId="3B82DDEE" w:rsidR="00074EAE" w:rsidRDefault="00074EAE" w:rsidP="00074EAE">
      <w:pPr>
        <w:ind w:left="360"/>
        <w:rPr>
          <w:rFonts w:ascii="Arial" w:eastAsia="Times New Roman" w:hAnsi="Arial" w:cs="Arial"/>
          <w:color w:val="000000"/>
        </w:rPr>
      </w:pPr>
    </w:p>
    <w:p w14:paraId="2688C835" w14:textId="68755D70" w:rsidR="00074EAE" w:rsidRDefault="00074EAE" w:rsidP="00CB5405">
      <w:pPr>
        <w:rPr>
          <w:rFonts w:ascii="Arial" w:eastAsia="Times New Roman" w:hAnsi="Arial" w:cs="Arial"/>
          <w:color w:val="000000"/>
        </w:rPr>
      </w:pPr>
    </w:p>
    <w:p w14:paraId="25DCFF0B" w14:textId="68807AED" w:rsidR="00074EAE" w:rsidRPr="00CB5405" w:rsidRDefault="00CB5405" w:rsidP="00CB5405">
      <w:pPr>
        <w:ind w:left="360"/>
        <w:rPr>
          <w:rFonts w:ascii="Arial" w:eastAsia="Times New Roman" w:hAnsi="Arial" w:cs="Arial"/>
          <w:b/>
          <w:color w:val="000000"/>
        </w:rPr>
      </w:pPr>
      <w:r w:rsidRPr="00CB5405">
        <w:rPr>
          <w:rFonts w:ascii="Arial" w:eastAsia="Times New Roman" w:hAnsi="Arial" w:cs="Arial"/>
          <w:b/>
          <w:color w:val="000000"/>
        </w:rPr>
        <w:t>Results and further explanation</w:t>
      </w:r>
    </w:p>
    <w:p w14:paraId="6604B078" w14:textId="5D63B02E" w:rsidR="00074EAE" w:rsidRDefault="00074EAE" w:rsidP="00074EAE">
      <w:pPr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Novelty 1: Bagging with SVM as base classifier</w:t>
      </w:r>
    </w:p>
    <w:p w14:paraId="0FE95437" w14:textId="1C5E5ABA" w:rsidR="005D634D" w:rsidRDefault="00204366" w:rsidP="005D634D">
      <w:pPr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SVM with radial basis kernel </w:t>
      </w:r>
      <w:r w:rsidR="005D634D">
        <w:rPr>
          <w:rFonts w:ascii="Arial" w:eastAsia="Times New Roman" w:hAnsi="Arial" w:cs="Arial"/>
          <w:color w:val="000000"/>
        </w:rPr>
        <w:t>was used instead of logistic regression. The parameters were fine-tuned with grid search (</w:t>
      </w:r>
      <w:r w:rsidR="005D634D" w:rsidRPr="005D634D">
        <w:rPr>
          <w:rFonts w:ascii="Arial" w:eastAsia="Times New Roman" w:hAnsi="Arial" w:cs="Arial"/>
          <w:color w:val="000000"/>
        </w:rPr>
        <w:t>gamma= 0.03, C=100</w:t>
      </w:r>
      <w:r w:rsidR="005D634D">
        <w:rPr>
          <w:rFonts w:ascii="Arial" w:eastAsia="Times New Roman" w:hAnsi="Arial" w:cs="Arial"/>
          <w:color w:val="000000"/>
        </w:rPr>
        <w:t xml:space="preserve">). </w:t>
      </w:r>
    </w:p>
    <w:p w14:paraId="3D622591" w14:textId="6139F52A" w:rsidR="005D634D" w:rsidRDefault="005D634D" w:rsidP="00C14A64">
      <w:pPr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SVM displays overfitting during cross validation. To reduce overfitting, bagging was used to even out the bias (21 base SVM classifier, each learns a random subset of 2/3 of the whole data)</w:t>
      </w:r>
    </w:p>
    <w:p w14:paraId="077F2DE5" w14:textId="77777777" w:rsidR="004E4899" w:rsidRDefault="004E4899" w:rsidP="00C14A64">
      <w:pPr>
        <w:ind w:left="360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6"/>
        <w:gridCol w:w="2269"/>
        <w:gridCol w:w="2256"/>
        <w:gridCol w:w="2259"/>
      </w:tblGrid>
      <w:tr w:rsidR="00C14A64" w14:paraId="2FD4E468" w14:textId="77777777" w:rsidTr="00204366">
        <w:tc>
          <w:tcPr>
            <w:tcW w:w="2337" w:type="dxa"/>
          </w:tcPr>
          <w:p w14:paraId="631D1A37" w14:textId="77777777" w:rsidR="00204366" w:rsidRDefault="00204366" w:rsidP="00074EA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37" w:type="dxa"/>
          </w:tcPr>
          <w:p w14:paraId="6E838CAA" w14:textId="6DE3A3FC" w:rsidR="00204366" w:rsidRDefault="00204366" w:rsidP="00074EAE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Tangent Space + logistic regression (default)</w:t>
            </w:r>
          </w:p>
        </w:tc>
        <w:tc>
          <w:tcPr>
            <w:tcW w:w="2338" w:type="dxa"/>
          </w:tcPr>
          <w:p w14:paraId="47B84A0C" w14:textId="0C81749F" w:rsidR="00204366" w:rsidRDefault="00204366" w:rsidP="00074EAE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Tangent Space + </w:t>
            </w:r>
            <w:r>
              <w:rPr>
                <w:rFonts w:ascii="Arial" w:eastAsia="Times New Roman" w:hAnsi="Arial" w:cs="Arial"/>
                <w:color w:val="000000"/>
              </w:rPr>
              <w:t xml:space="preserve">SVM </w:t>
            </w:r>
          </w:p>
        </w:tc>
        <w:tc>
          <w:tcPr>
            <w:tcW w:w="2338" w:type="dxa"/>
          </w:tcPr>
          <w:p w14:paraId="03FD849B" w14:textId="18FC76A3" w:rsidR="00204366" w:rsidRDefault="00C14A64" w:rsidP="00074EAE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Bagging with SVM as base classifier</w:t>
            </w:r>
          </w:p>
        </w:tc>
      </w:tr>
      <w:tr w:rsidR="00C14A64" w14:paraId="60D9BDCF" w14:textId="77777777" w:rsidTr="00204366">
        <w:tc>
          <w:tcPr>
            <w:tcW w:w="2337" w:type="dxa"/>
          </w:tcPr>
          <w:p w14:paraId="154B492B" w14:textId="77777777" w:rsidR="00204366" w:rsidRDefault="00204366" w:rsidP="00074EAE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37" w:type="dxa"/>
          </w:tcPr>
          <w:p w14:paraId="0442B2DE" w14:textId="417C2207" w:rsidR="00204366" w:rsidRDefault="005D634D" w:rsidP="00074EAE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71.7%</w:t>
            </w:r>
          </w:p>
        </w:tc>
        <w:tc>
          <w:tcPr>
            <w:tcW w:w="2338" w:type="dxa"/>
          </w:tcPr>
          <w:p w14:paraId="0DD4A3A0" w14:textId="5232494C" w:rsidR="00204366" w:rsidRPr="00C14A64" w:rsidRDefault="00C14A64" w:rsidP="00074EAE">
            <w:pPr>
              <w:rPr>
                <w:rFonts w:ascii="Arial" w:eastAsia="Times New Roman" w:hAnsi="Arial" w:cs="Arial"/>
                <w:b/>
                <w:color w:val="000000"/>
              </w:rPr>
            </w:pPr>
            <w:r w:rsidRPr="00C14A64">
              <w:rPr>
                <w:rFonts w:ascii="Arial" w:eastAsia="Times New Roman" w:hAnsi="Arial" w:cs="Arial"/>
                <w:b/>
                <w:color w:val="000000"/>
              </w:rPr>
              <w:t>78.5%</w:t>
            </w:r>
          </w:p>
        </w:tc>
        <w:tc>
          <w:tcPr>
            <w:tcW w:w="2338" w:type="dxa"/>
          </w:tcPr>
          <w:p w14:paraId="3195F4B6" w14:textId="6E32D1E2" w:rsidR="00204366" w:rsidRPr="00C14A64" w:rsidRDefault="00C14A64" w:rsidP="00074EAE">
            <w:pPr>
              <w:rPr>
                <w:rFonts w:ascii="Arial" w:eastAsia="Times New Roman" w:hAnsi="Arial" w:cs="Arial"/>
                <w:b/>
                <w:color w:val="000000"/>
              </w:rPr>
            </w:pPr>
            <w:r w:rsidRPr="00C14A64">
              <w:rPr>
                <w:rFonts w:ascii="Arial" w:eastAsia="Times New Roman" w:hAnsi="Arial" w:cs="Arial"/>
                <w:b/>
                <w:color w:val="000000"/>
              </w:rPr>
              <w:t>79.5%</w:t>
            </w:r>
          </w:p>
        </w:tc>
      </w:tr>
    </w:tbl>
    <w:p w14:paraId="5A5C690B" w14:textId="136E0753" w:rsidR="00074EAE" w:rsidRDefault="00074EAE" w:rsidP="00074EAE">
      <w:pPr>
        <w:ind w:left="360"/>
        <w:rPr>
          <w:rFonts w:ascii="Arial" w:eastAsia="Times New Roman" w:hAnsi="Arial" w:cs="Arial"/>
          <w:color w:val="000000"/>
        </w:rPr>
      </w:pPr>
    </w:p>
    <w:p w14:paraId="397FB77F" w14:textId="1A0967EB" w:rsidR="00074EAE" w:rsidRDefault="00956D9C" w:rsidP="00074EAE">
      <w:pPr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Novelty 2: </w:t>
      </w:r>
      <w:r>
        <w:rPr>
          <w:rFonts w:ascii="Arial" w:eastAsia="Times New Roman" w:hAnsi="Arial" w:cs="Arial"/>
          <w:color w:val="000000"/>
        </w:rPr>
        <w:t>Two-stage classifier</w:t>
      </w:r>
    </w:p>
    <w:p w14:paraId="28DDFC2D" w14:textId="6C33214E" w:rsidR="00D44D23" w:rsidRDefault="001655CF" w:rsidP="00BC7B68">
      <w:pPr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dataset was divided into three splits: training, testing, validation. </w:t>
      </w:r>
      <w:r w:rsidR="007C37FC">
        <w:rPr>
          <w:rFonts w:ascii="Arial" w:eastAsia="Times New Roman" w:hAnsi="Arial" w:cs="Arial"/>
          <w:color w:val="000000"/>
        </w:rPr>
        <w:t xml:space="preserve">After 50 iterations of cross validation on training and testing set, epochs that </w:t>
      </w:r>
      <w:r w:rsidR="00D44D23">
        <w:rPr>
          <w:rFonts w:ascii="Arial" w:eastAsia="Times New Roman" w:hAnsi="Arial" w:cs="Arial"/>
          <w:color w:val="000000"/>
        </w:rPr>
        <w:t>were</w:t>
      </w:r>
      <w:r w:rsidR="007C37FC">
        <w:rPr>
          <w:rFonts w:ascii="Arial" w:eastAsia="Times New Roman" w:hAnsi="Arial" w:cs="Arial"/>
          <w:color w:val="000000"/>
        </w:rPr>
        <w:t xml:space="preserve"> repeatedly classified wrong were picked out.</w:t>
      </w:r>
      <w:r w:rsidR="009A4A3F">
        <w:rPr>
          <w:rFonts w:ascii="Arial" w:eastAsia="Times New Roman" w:hAnsi="Arial" w:cs="Arial"/>
          <w:color w:val="000000"/>
        </w:rPr>
        <w:t xml:space="preserve"> </w:t>
      </w:r>
      <w:r w:rsidR="00F83BAE">
        <w:rPr>
          <w:rFonts w:ascii="Arial" w:eastAsia="Times New Roman" w:hAnsi="Arial" w:cs="Arial"/>
          <w:color w:val="000000"/>
        </w:rPr>
        <w:t xml:space="preserve">Another classifier was </w:t>
      </w:r>
      <w:r w:rsidR="00143012">
        <w:rPr>
          <w:rFonts w:ascii="Arial" w:eastAsia="Times New Roman" w:hAnsi="Arial" w:cs="Arial"/>
          <w:color w:val="000000"/>
        </w:rPr>
        <w:t>built</w:t>
      </w:r>
      <w:r w:rsidR="00F83BAE">
        <w:rPr>
          <w:rFonts w:ascii="Arial" w:eastAsia="Times New Roman" w:hAnsi="Arial" w:cs="Arial"/>
          <w:color w:val="000000"/>
        </w:rPr>
        <w:t xml:space="preserve"> to classify “good” epochs and “bad” epochs. </w:t>
      </w:r>
      <w:r w:rsidR="008B6A3B">
        <w:rPr>
          <w:rFonts w:ascii="Arial" w:eastAsia="Times New Roman" w:hAnsi="Arial" w:cs="Arial"/>
          <w:color w:val="000000"/>
        </w:rPr>
        <w:t xml:space="preserve">Tangent space classifier with logistic regression </w:t>
      </w:r>
      <w:r w:rsidR="00E952C7">
        <w:rPr>
          <w:rFonts w:ascii="Arial" w:eastAsia="Times New Roman" w:hAnsi="Arial" w:cs="Arial"/>
          <w:color w:val="000000"/>
        </w:rPr>
        <w:t xml:space="preserve">was used for this classifier. The reason is </w:t>
      </w:r>
      <w:r w:rsidR="00E952C7">
        <w:rPr>
          <w:rFonts w:ascii="Arial" w:eastAsia="Times New Roman" w:hAnsi="Arial" w:cs="Arial"/>
          <w:color w:val="000000"/>
        </w:rPr>
        <w:lastRenderedPageBreak/>
        <w:t xml:space="preserve">that good epochs are a lot more than bad ones. </w:t>
      </w:r>
      <w:r w:rsidR="00F53783">
        <w:rPr>
          <w:rFonts w:ascii="Arial" w:eastAsia="Times New Roman" w:hAnsi="Arial" w:cs="Arial"/>
          <w:color w:val="000000"/>
        </w:rPr>
        <w:t xml:space="preserve">SVM is more susceptible to imbalanced dataset than logistic regression, thus logistic classifier was used. </w:t>
      </w:r>
    </w:p>
    <w:p w14:paraId="0091974A" w14:textId="77777777" w:rsidR="00971AFF" w:rsidRDefault="00971AFF" w:rsidP="00BC7B68">
      <w:pPr>
        <w:ind w:left="360"/>
        <w:rPr>
          <w:rFonts w:ascii="Arial" w:eastAsia="Times New Roman" w:hAnsi="Arial" w:cs="Arial"/>
          <w:color w:val="000000"/>
        </w:rPr>
      </w:pPr>
    </w:p>
    <w:p w14:paraId="55026F2A" w14:textId="60738869" w:rsidR="00D44D23" w:rsidRDefault="00D44D23" w:rsidP="00074EAE">
      <w:pPr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motivation for this two</w:t>
      </w:r>
      <w:r w:rsidR="008364DB">
        <w:rPr>
          <w:rFonts w:ascii="Arial" w:eastAsia="Times New Roman" w:hAnsi="Arial" w:cs="Arial"/>
          <w:color w:val="000000"/>
        </w:rPr>
        <w:t>-</w:t>
      </w:r>
      <w:r>
        <w:rPr>
          <w:rFonts w:ascii="Arial" w:eastAsia="Times New Roman" w:hAnsi="Arial" w:cs="Arial"/>
          <w:color w:val="000000"/>
        </w:rPr>
        <w:t xml:space="preserve">stage design is that many BCI applications do not care if part of the data is discarded. </w:t>
      </w:r>
      <w:r w:rsidR="00C017C2">
        <w:rPr>
          <w:rFonts w:ascii="Arial" w:eastAsia="Times New Roman" w:hAnsi="Arial" w:cs="Arial"/>
          <w:color w:val="000000"/>
        </w:rPr>
        <w:t xml:space="preserve">If a person is controlling a wheelchair with EEG, he/she could simply try again if the first epoch is classified as invalid. </w:t>
      </w:r>
      <w:r w:rsidR="00163FB8">
        <w:rPr>
          <w:rFonts w:ascii="Arial" w:eastAsia="Times New Roman" w:hAnsi="Arial" w:cs="Arial"/>
          <w:color w:val="000000"/>
        </w:rPr>
        <w:t xml:space="preserve">This is more useful than misclassify the intention of the user. </w:t>
      </w:r>
      <w:r w:rsidR="00E15D2D">
        <w:rPr>
          <w:rFonts w:ascii="Arial" w:eastAsia="Times New Roman" w:hAnsi="Arial" w:cs="Arial"/>
          <w:color w:val="000000"/>
        </w:rPr>
        <w:t>In fact</w:t>
      </w:r>
      <w:r w:rsidR="00742A18">
        <w:rPr>
          <w:rFonts w:ascii="Arial" w:eastAsia="Times New Roman" w:hAnsi="Arial" w:cs="Arial"/>
          <w:color w:val="000000"/>
        </w:rPr>
        <w:t>,</w:t>
      </w:r>
      <w:r w:rsidR="00E15D2D">
        <w:rPr>
          <w:rFonts w:ascii="Arial" w:eastAsia="Times New Roman" w:hAnsi="Arial" w:cs="Arial"/>
          <w:color w:val="000000"/>
        </w:rPr>
        <w:t xml:space="preserve"> when the sampling rate is high, the user might not realize multiple classification</w:t>
      </w:r>
      <w:r w:rsidR="00833ADC">
        <w:rPr>
          <w:rFonts w:ascii="Arial" w:eastAsia="Times New Roman" w:hAnsi="Arial" w:cs="Arial"/>
          <w:color w:val="000000"/>
        </w:rPr>
        <w:t>s</w:t>
      </w:r>
      <w:r w:rsidR="00E15D2D">
        <w:rPr>
          <w:rFonts w:ascii="Arial" w:eastAsia="Times New Roman" w:hAnsi="Arial" w:cs="Arial"/>
          <w:color w:val="000000"/>
        </w:rPr>
        <w:t xml:space="preserve"> ha</w:t>
      </w:r>
      <w:r w:rsidR="00833ADC">
        <w:rPr>
          <w:rFonts w:ascii="Arial" w:eastAsia="Times New Roman" w:hAnsi="Arial" w:cs="Arial"/>
          <w:color w:val="000000"/>
        </w:rPr>
        <w:t>ve</w:t>
      </w:r>
      <w:r w:rsidR="00E15D2D">
        <w:rPr>
          <w:rFonts w:ascii="Arial" w:eastAsia="Times New Roman" w:hAnsi="Arial" w:cs="Arial"/>
          <w:color w:val="000000"/>
        </w:rPr>
        <w:t xml:space="preserve"> been made.</w:t>
      </w:r>
    </w:p>
    <w:p w14:paraId="633AB9F5" w14:textId="77777777" w:rsidR="00D345E3" w:rsidRDefault="00D345E3" w:rsidP="00D345E3">
      <w:pPr>
        <w:ind w:left="360"/>
        <w:rPr>
          <w:rFonts w:ascii="Arial" w:eastAsia="Times New Roman" w:hAnsi="Arial" w:cs="Arial"/>
          <w:color w:val="000000"/>
        </w:rPr>
      </w:pPr>
    </w:p>
    <w:p w14:paraId="24C9FAF1" w14:textId="4D0B9258" w:rsidR="00935016" w:rsidRDefault="00D345E3" w:rsidP="00935016">
      <w:pPr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Intuitively, if a Riemannian</w:t>
      </w:r>
      <w:r w:rsidR="008B7B0A">
        <w:rPr>
          <w:rFonts w:ascii="Arial" w:eastAsia="Times New Roman" w:hAnsi="Arial" w:cs="Arial"/>
          <w:color w:val="000000"/>
        </w:rPr>
        <w:t>-</w:t>
      </w:r>
      <w:r>
        <w:rPr>
          <w:rFonts w:ascii="Arial" w:eastAsia="Times New Roman" w:hAnsi="Arial" w:cs="Arial"/>
          <w:color w:val="000000"/>
        </w:rPr>
        <w:t>geometry based classifiers can differentiate covariance matrices that represent different user intentions, they should also be capable of detecting outliers and invalid covariance matrices against the good ones.</w:t>
      </w:r>
      <w:r w:rsidR="00FB3B66">
        <w:rPr>
          <w:rFonts w:ascii="Arial" w:eastAsia="Times New Roman" w:hAnsi="Arial" w:cs="Arial"/>
          <w:color w:val="000000"/>
        </w:rPr>
        <w:t xml:space="preserve"> </w:t>
      </w:r>
      <w:r w:rsidR="00CB598F">
        <w:rPr>
          <w:rFonts w:ascii="Arial" w:eastAsia="Times New Roman" w:hAnsi="Arial" w:cs="Arial"/>
          <w:color w:val="000000"/>
        </w:rPr>
        <w:t xml:space="preserve">A threshold on </w:t>
      </w:r>
      <w:proofErr w:type="spellStart"/>
      <w:r w:rsidR="00CB598F">
        <w:rPr>
          <w:rFonts w:ascii="Arial" w:eastAsia="Times New Roman" w:hAnsi="Arial" w:cs="Arial"/>
          <w:color w:val="000000"/>
        </w:rPr>
        <w:t>predict_proba</w:t>
      </w:r>
      <w:proofErr w:type="spellEnd"/>
      <w:r w:rsidR="00CB598F">
        <w:rPr>
          <w:rFonts w:ascii="Arial" w:eastAsia="Times New Roman" w:hAnsi="Arial" w:cs="Arial"/>
          <w:color w:val="000000"/>
        </w:rPr>
        <w:t xml:space="preserve"> can be adjusted to increase accuracy at the cost of </w:t>
      </w:r>
      <w:r w:rsidR="0008451C">
        <w:rPr>
          <w:rFonts w:ascii="Arial" w:eastAsia="Times New Roman" w:hAnsi="Arial" w:cs="Arial"/>
          <w:color w:val="000000"/>
        </w:rPr>
        <w:t xml:space="preserve">decreasing </w:t>
      </w:r>
      <w:r w:rsidR="0075725E">
        <w:rPr>
          <w:rFonts w:ascii="Arial" w:eastAsia="Times New Roman" w:hAnsi="Arial" w:cs="Arial"/>
          <w:color w:val="000000"/>
        </w:rPr>
        <w:t>proportion</w:t>
      </w:r>
      <w:bookmarkStart w:id="0" w:name="_GoBack"/>
      <w:bookmarkEnd w:id="0"/>
      <w:r w:rsidR="00CB598F">
        <w:rPr>
          <w:rFonts w:ascii="Arial" w:eastAsia="Times New Roman" w:hAnsi="Arial" w:cs="Arial"/>
          <w:color w:val="000000"/>
        </w:rPr>
        <w:t xml:space="preserve"> of valid epochs. </w:t>
      </w:r>
      <w:r w:rsidR="00132AEB">
        <w:rPr>
          <w:rFonts w:ascii="Arial" w:eastAsia="Times New Roman" w:hAnsi="Arial" w:cs="Arial"/>
          <w:color w:val="000000"/>
        </w:rPr>
        <w:t xml:space="preserve">The </w:t>
      </w:r>
      <w:proofErr w:type="gramStart"/>
      <w:r w:rsidR="00132AEB">
        <w:rPr>
          <w:rFonts w:ascii="Arial" w:eastAsia="Times New Roman" w:hAnsi="Arial" w:cs="Arial"/>
          <w:color w:val="000000"/>
        </w:rPr>
        <w:t>two stag</w:t>
      </w:r>
      <w:proofErr w:type="gramEnd"/>
      <w:r w:rsidR="00132AEB">
        <w:rPr>
          <w:rFonts w:ascii="Arial" w:eastAsia="Times New Roman" w:hAnsi="Arial" w:cs="Arial"/>
          <w:color w:val="000000"/>
        </w:rPr>
        <w:t xml:space="preserve"> classifier was tested using the validation set (never used in training and testing).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2"/>
        <w:gridCol w:w="1403"/>
        <w:gridCol w:w="1403"/>
        <w:gridCol w:w="1377"/>
        <w:gridCol w:w="1309"/>
        <w:gridCol w:w="998"/>
        <w:gridCol w:w="998"/>
      </w:tblGrid>
      <w:tr w:rsidR="0027407C" w14:paraId="06191ED4" w14:textId="1F31F76C" w:rsidTr="0027407C">
        <w:tc>
          <w:tcPr>
            <w:tcW w:w="1502" w:type="dxa"/>
          </w:tcPr>
          <w:p w14:paraId="0CD3C2CE" w14:textId="0638D7B8" w:rsidR="0027407C" w:rsidRDefault="0027407C" w:rsidP="00D345E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Threshold</w:t>
            </w:r>
          </w:p>
        </w:tc>
        <w:tc>
          <w:tcPr>
            <w:tcW w:w="1403" w:type="dxa"/>
          </w:tcPr>
          <w:p w14:paraId="32E5166E" w14:textId="602D9FA2" w:rsidR="0027407C" w:rsidRDefault="0027407C" w:rsidP="00D345E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1.0</w:t>
            </w:r>
          </w:p>
        </w:tc>
        <w:tc>
          <w:tcPr>
            <w:tcW w:w="1403" w:type="dxa"/>
          </w:tcPr>
          <w:p w14:paraId="199A3947" w14:textId="288DA9BF" w:rsidR="0027407C" w:rsidRDefault="0027407C" w:rsidP="00D345E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0.85</w:t>
            </w:r>
          </w:p>
        </w:tc>
        <w:tc>
          <w:tcPr>
            <w:tcW w:w="1377" w:type="dxa"/>
          </w:tcPr>
          <w:p w14:paraId="4C941EED" w14:textId="793CFBC6" w:rsidR="0027407C" w:rsidRDefault="0027407C" w:rsidP="00D345E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0.8</w:t>
            </w:r>
          </w:p>
        </w:tc>
        <w:tc>
          <w:tcPr>
            <w:tcW w:w="1309" w:type="dxa"/>
          </w:tcPr>
          <w:p w14:paraId="69734489" w14:textId="36252285" w:rsidR="0027407C" w:rsidRDefault="0027407C" w:rsidP="00D345E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0.7</w:t>
            </w:r>
          </w:p>
        </w:tc>
        <w:tc>
          <w:tcPr>
            <w:tcW w:w="998" w:type="dxa"/>
          </w:tcPr>
          <w:p w14:paraId="2381693A" w14:textId="18AA208C" w:rsidR="0027407C" w:rsidRDefault="0027407C" w:rsidP="00D345E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0.6</w:t>
            </w:r>
          </w:p>
        </w:tc>
        <w:tc>
          <w:tcPr>
            <w:tcW w:w="998" w:type="dxa"/>
          </w:tcPr>
          <w:p w14:paraId="5AEDBB75" w14:textId="1AFF24C0" w:rsidR="0027407C" w:rsidRDefault="0027407C" w:rsidP="00D345E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0.4</w:t>
            </w:r>
          </w:p>
        </w:tc>
      </w:tr>
      <w:tr w:rsidR="0027407C" w14:paraId="52D9377B" w14:textId="6D3D4D72" w:rsidTr="0027407C">
        <w:tc>
          <w:tcPr>
            <w:tcW w:w="1502" w:type="dxa"/>
          </w:tcPr>
          <w:p w14:paraId="0CC06371" w14:textId="648320E9" w:rsidR="0027407C" w:rsidRDefault="0027407C" w:rsidP="00D345E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Valid epochs</w:t>
            </w:r>
          </w:p>
        </w:tc>
        <w:tc>
          <w:tcPr>
            <w:tcW w:w="1403" w:type="dxa"/>
          </w:tcPr>
          <w:p w14:paraId="4BB390E9" w14:textId="1AC788E2" w:rsidR="0027407C" w:rsidRDefault="0027407C" w:rsidP="00D345E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817/817</w:t>
            </w:r>
          </w:p>
        </w:tc>
        <w:tc>
          <w:tcPr>
            <w:tcW w:w="1403" w:type="dxa"/>
          </w:tcPr>
          <w:p w14:paraId="42CB1096" w14:textId="25F01FA1" w:rsidR="0027407C" w:rsidRDefault="0027407C" w:rsidP="00D345E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207/817</w:t>
            </w:r>
          </w:p>
        </w:tc>
        <w:tc>
          <w:tcPr>
            <w:tcW w:w="1377" w:type="dxa"/>
          </w:tcPr>
          <w:p w14:paraId="03483173" w14:textId="76DE0BC5" w:rsidR="0027407C" w:rsidRDefault="0027407C" w:rsidP="00D345E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169</w:t>
            </w:r>
            <w:r w:rsidR="00313DA7">
              <w:rPr>
                <w:rFonts w:ascii="Arial" w:eastAsia="Times New Roman" w:hAnsi="Arial" w:cs="Arial"/>
                <w:color w:val="000000"/>
              </w:rPr>
              <w:t>/817</w:t>
            </w:r>
          </w:p>
        </w:tc>
        <w:tc>
          <w:tcPr>
            <w:tcW w:w="1309" w:type="dxa"/>
          </w:tcPr>
          <w:p w14:paraId="039DABEC" w14:textId="073F11E0" w:rsidR="0027407C" w:rsidRDefault="0027407C" w:rsidP="00D345E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119</w:t>
            </w:r>
            <w:r w:rsidR="00313DA7">
              <w:rPr>
                <w:rFonts w:ascii="Arial" w:eastAsia="Times New Roman" w:hAnsi="Arial" w:cs="Arial"/>
                <w:color w:val="000000"/>
              </w:rPr>
              <w:t>/817</w:t>
            </w:r>
          </w:p>
        </w:tc>
        <w:tc>
          <w:tcPr>
            <w:tcW w:w="998" w:type="dxa"/>
          </w:tcPr>
          <w:p w14:paraId="665492AD" w14:textId="6655C41A" w:rsidR="0027407C" w:rsidRDefault="0027407C" w:rsidP="00D345E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90</w:t>
            </w:r>
            <w:r w:rsidR="00313DA7">
              <w:rPr>
                <w:rFonts w:ascii="Arial" w:eastAsia="Times New Roman" w:hAnsi="Arial" w:cs="Arial"/>
                <w:color w:val="000000"/>
              </w:rPr>
              <w:t>/817</w:t>
            </w:r>
          </w:p>
        </w:tc>
        <w:tc>
          <w:tcPr>
            <w:tcW w:w="998" w:type="dxa"/>
          </w:tcPr>
          <w:p w14:paraId="63D0F55D" w14:textId="32414460" w:rsidR="0027407C" w:rsidRDefault="0027407C" w:rsidP="00D345E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56</w:t>
            </w:r>
            <w:r w:rsidR="00313DA7">
              <w:rPr>
                <w:rFonts w:ascii="Arial" w:eastAsia="Times New Roman" w:hAnsi="Arial" w:cs="Arial"/>
                <w:color w:val="000000"/>
              </w:rPr>
              <w:t>/817</w:t>
            </w:r>
          </w:p>
        </w:tc>
      </w:tr>
      <w:tr w:rsidR="0027407C" w14:paraId="7B84DFDA" w14:textId="6261E0CD" w:rsidTr="0027407C">
        <w:tc>
          <w:tcPr>
            <w:tcW w:w="1502" w:type="dxa"/>
          </w:tcPr>
          <w:p w14:paraId="723243BC" w14:textId="01A49A47" w:rsidR="0027407C" w:rsidRDefault="0027407C" w:rsidP="00D345E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Accuracy</w:t>
            </w:r>
          </w:p>
        </w:tc>
        <w:tc>
          <w:tcPr>
            <w:tcW w:w="1403" w:type="dxa"/>
          </w:tcPr>
          <w:p w14:paraId="0D5D80F4" w14:textId="58DF8205" w:rsidR="0027407C" w:rsidRDefault="0027407C" w:rsidP="00D345E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73.9%</w:t>
            </w:r>
          </w:p>
        </w:tc>
        <w:tc>
          <w:tcPr>
            <w:tcW w:w="1403" w:type="dxa"/>
          </w:tcPr>
          <w:p w14:paraId="5728DBA5" w14:textId="57123F1E" w:rsidR="0027407C" w:rsidRPr="00FB3B66" w:rsidRDefault="0027407C" w:rsidP="00D345E3">
            <w:pPr>
              <w:rPr>
                <w:rFonts w:ascii="Arial" w:eastAsia="Times New Roman" w:hAnsi="Arial" w:cs="Arial"/>
                <w:b/>
                <w:color w:val="000000"/>
              </w:rPr>
            </w:pPr>
            <w:r w:rsidRPr="00FB3B66">
              <w:rPr>
                <w:rFonts w:ascii="Arial" w:eastAsia="Times New Roman" w:hAnsi="Arial" w:cs="Arial"/>
                <w:b/>
                <w:color w:val="000000"/>
              </w:rPr>
              <w:t>80.7%</w:t>
            </w:r>
          </w:p>
        </w:tc>
        <w:tc>
          <w:tcPr>
            <w:tcW w:w="1377" w:type="dxa"/>
          </w:tcPr>
          <w:p w14:paraId="557F1BF6" w14:textId="795D2E1D" w:rsidR="0027407C" w:rsidRPr="00FB3B66" w:rsidRDefault="0027407C" w:rsidP="00D345E3">
            <w:pPr>
              <w:rPr>
                <w:rFonts w:ascii="Arial" w:eastAsia="Times New Roman" w:hAnsi="Arial" w:cs="Arial"/>
                <w:b/>
                <w:color w:val="000000"/>
              </w:rPr>
            </w:pPr>
            <w:r w:rsidRPr="00FB3B66">
              <w:rPr>
                <w:rFonts w:ascii="Arial" w:eastAsia="Times New Roman" w:hAnsi="Arial" w:cs="Arial"/>
                <w:b/>
                <w:color w:val="000000"/>
              </w:rPr>
              <w:t>84.02%</w:t>
            </w:r>
          </w:p>
        </w:tc>
        <w:tc>
          <w:tcPr>
            <w:tcW w:w="1309" w:type="dxa"/>
          </w:tcPr>
          <w:p w14:paraId="0860901A" w14:textId="6835A93C" w:rsidR="0027407C" w:rsidRPr="00FB3B66" w:rsidRDefault="0027407C" w:rsidP="00D345E3">
            <w:pPr>
              <w:rPr>
                <w:rFonts w:ascii="Arial" w:eastAsia="Times New Roman" w:hAnsi="Arial" w:cs="Arial"/>
                <w:b/>
                <w:color w:val="000000"/>
              </w:rPr>
            </w:pPr>
            <w:r w:rsidRPr="00FB3B66">
              <w:rPr>
                <w:rFonts w:ascii="Arial" w:eastAsia="Times New Roman" w:hAnsi="Arial" w:cs="Arial"/>
                <w:b/>
                <w:color w:val="000000"/>
              </w:rPr>
              <w:t>88.2%</w:t>
            </w:r>
          </w:p>
        </w:tc>
        <w:tc>
          <w:tcPr>
            <w:tcW w:w="998" w:type="dxa"/>
          </w:tcPr>
          <w:p w14:paraId="744F8DE0" w14:textId="723A809C" w:rsidR="0027407C" w:rsidRPr="00FB3B66" w:rsidRDefault="0027407C" w:rsidP="00D345E3">
            <w:pPr>
              <w:rPr>
                <w:rFonts w:ascii="Arial" w:eastAsia="Times New Roman" w:hAnsi="Arial" w:cs="Arial"/>
                <w:b/>
                <w:color w:val="000000"/>
              </w:rPr>
            </w:pPr>
            <w:r w:rsidRPr="00FB3B66">
              <w:rPr>
                <w:rFonts w:ascii="Arial" w:eastAsia="Times New Roman" w:hAnsi="Arial" w:cs="Arial"/>
                <w:b/>
                <w:color w:val="000000"/>
              </w:rPr>
              <w:t>91.1%</w:t>
            </w:r>
          </w:p>
        </w:tc>
        <w:tc>
          <w:tcPr>
            <w:tcW w:w="998" w:type="dxa"/>
          </w:tcPr>
          <w:p w14:paraId="5FFA0784" w14:textId="68192266" w:rsidR="0027407C" w:rsidRPr="00FB3B66" w:rsidRDefault="0027407C" w:rsidP="00D345E3">
            <w:pPr>
              <w:rPr>
                <w:rFonts w:ascii="Arial" w:eastAsia="Times New Roman" w:hAnsi="Arial" w:cs="Arial"/>
                <w:b/>
                <w:color w:val="000000"/>
              </w:rPr>
            </w:pPr>
            <w:r w:rsidRPr="00FB3B66">
              <w:rPr>
                <w:rFonts w:ascii="Arial" w:eastAsia="Times New Roman" w:hAnsi="Arial" w:cs="Arial"/>
                <w:b/>
                <w:color w:val="000000"/>
              </w:rPr>
              <w:t>91.1%</w:t>
            </w:r>
          </w:p>
        </w:tc>
      </w:tr>
    </w:tbl>
    <w:p w14:paraId="6403F022" w14:textId="77777777" w:rsidR="00A20D37" w:rsidRDefault="00A20D37" w:rsidP="00D345E3">
      <w:pPr>
        <w:ind w:left="360"/>
        <w:rPr>
          <w:rFonts w:ascii="Arial" w:eastAsia="Times New Roman" w:hAnsi="Arial" w:cs="Arial"/>
          <w:color w:val="000000"/>
        </w:rPr>
      </w:pPr>
    </w:p>
    <w:p w14:paraId="22C81A02" w14:textId="0927FEEE" w:rsidR="00E15D2D" w:rsidRDefault="00A77948" w:rsidP="00074EAE">
      <w:pPr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As shown in the data, if we </w:t>
      </w:r>
      <w:proofErr w:type="gramStart"/>
      <w:r>
        <w:rPr>
          <w:rFonts w:ascii="Arial" w:eastAsia="Times New Roman" w:hAnsi="Arial" w:cs="Arial"/>
          <w:color w:val="000000"/>
        </w:rPr>
        <w:t>are allow</w:t>
      </w:r>
      <w:r w:rsidR="0085127E">
        <w:rPr>
          <w:rFonts w:ascii="Arial" w:eastAsia="Times New Roman" w:hAnsi="Arial" w:cs="Arial"/>
          <w:color w:val="000000"/>
        </w:rPr>
        <w:t>ed</w:t>
      </w:r>
      <w:r>
        <w:rPr>
          <w:rFonts w:ascii="Arial" w:eastAsia="Times New Roman" w:hAnsi="Arial" w:cs="Arial"/>
          <w:color w:val="000000"/>
        </w:rPr>
        <w:t xml:space="preserve"> to</w:t>
      </w:r>
      <w:proofErr w:type="gramEnd"/>
      <w:r>
        <w:rPr>
          <w:rFonts w:ascii="Arial" w:eastAsia="Times New Roman" w:hAnsi="Arial" w:cs="Arial"/>
          <w:color w:val="000000"/>
        </w:rPr>
        <w:t xml:space="preserve"> retain only 25% of the data, the accuracy can be boosted to 80.7%. </w:t>
      </w:r>
      <w:r w:rsidR="0085127E">
        <w:rPr>
          <w:rFonts w:ascii="Arial" w:eastAsia="Times New Roman" w:hAnsi="Arial" w:cs="Arial"/>
          <w:color w:val="000000"/>
        </w:rPr>
        <w:t xml:space="preserve">If we </w:t>
      </w:r>
      <w:proofErr w:type="gramStart"/>
      <w:r w:rsidR="0085127E">
        <w:rPr>
          <w:rFonts w:ascii="Arial" w:eastAsia="Times New Roman" w:hAnsi="Arial" w:cs="Arial"/>
          <w:color w:val="000000"/>
        </w:rPr>
        <w:t>are allowed to</w:t>
      </w:r>
      <w:proofErr w:type="gramEnd"/>
      <w:r w:rsidR="0085127E">
        <w:rPr>
          <w:rFonts w:ascii="Arial" w:eastAsia="Times New Roman" w:hAnsi="Arial" w:cs="Arial"/>
          <w:color w:val="000000"/>
        </w:rPr>
        <w:t xml:space="preserve"> retain 15% of the data, the accuracy can be boosted to 88.2%.</w:t>
      </w:r>
    </w:p>
    <w:p w14:paraId="525D4A0A" w14:textId="77777777" w:rsidR="00E15D2D" w:rsidRDefault="00E15D2D" w:rsidP="00074EAE">
      <w:pPr>
        <w:ind w:left="360"/>
        <w:rPr>
          <w:rFonts w:ascii="Arial" w:eastAsia="Times New Roman" w:hAnsi="Arial" w:cs="Arial"/>
          <w:color w:val="000000"/>
        </w:rPr>
      </w:pPr>
    </w:p>
    <w:p w14:paraId="75AEDED7" w14:textId="336E9838" w:rsidR="00A13AFF" w:rsidRDefault="00A13AFF" w:rsidP="00074EAE">
      <w:pPr>
        <w:ind w:left="360"/>
        <w:rPr>
          <w:rFonts w:ascii="Arial" w:eastAsia="Times New Roman" w:hAnsi="Arial" w:cs="Arial"/>
          <w:color w:val="000000"/>
        </w:rPr>
      </w:pPr>
    </w:p>
    <w:p w14:paraId="2F38AECC" w14:textId="77777777" w:rsidR="00956D9C" w:rsidRPr="00074EAE" w:rsidRDefault="00956D9C" w:rsidP="00074EAE">
      <w:pPr>
        <w:ind w:left="360"/>
        <w:rPr>
          <w:rFonts w:ascii="Arial" w:eastAsia="Times New Roman" w:hAnsi="Arial" w:cs="Arial"/>
          <w:color w:val="000000"/>
        </w:rPr>
      </w:pPr>
    </w:p>
    <w:p w14:paraId="450EE793" w14:textId="77777777" w:rsidR="006A228D" w:rsidRPr="006A228D" w:rsidRDefault="006A228D" w:rsidP="006A228D">
      <w:pPr>
        <w:spacing w:after="0" w:line="303" w:lineRule="atLeast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F01EF3C" w14:textId="77777777" w:rsidR="004F5AD9" w:rsidRPr="004F5AD9" w:rsidRDefault="004F5AD9" w:rsidP="004F5AD9">
      <w:pPr>
        <w:spacing w:after="0" w:line="303" w:lineRule="atLeast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68505F03" w14:textId="77777777" w:rsidR="00CC1121" w:rsidRDefault="00CC1121" w:rsidP="00CC1121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</w:p>
    <w:p w14:paraId="63A4D183" w14:textId="1E52C4B0" w:rsidR="00594E2B" w:rsidRPr="00CC1121" w:rsidRDefault="00CC1121" w:rsidP="00CC1121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 w:rsidRPr="00CC1121">
        <w:rPr>
          <w:rFonts w:ascii="Arial" w:eastAsia="Times New Roman" w:hAnsi="Arial" w:cs="Arial"/>
          <w:color w:val="000000"/>
        </w:rPr>
        <w:t xml:space="preserve">  </w:t>
      </w:r>
    </w:p>
    <w:p w14:paraId="5BEAC0FC" w14:textId="77777777" w:rsidR="00594E2B" w:rsidRPr="00594E2B" w:rsidRDefault="00594E2B" w:rsidP="00594E2B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</w:p>
    <w:p w14:paraId="697CAACE" w14:textId="77777777" w:rsidR="00B02AFA" w:rsidRDefault="00B02AFA"/>
    <w:sectPr w:rsidR="00B0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C6A01"/>
    <w:multiLevelType w:val="multilevel"/>
    <w:tmpl w:val="03FE7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B07C0A"/>
    <w:multiLevelType w:val="hybridMultilevel"/>
    <w:tmpl w:val="8C56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FA"/>
    <w:rsid w:val="000168C6"/>
    <w:rsid w:val="0007406D"/>
    <w:rsid w:val="00074EAE"/>
    <w:rsid w:val="0008451C"/>
    <w:rsid w:val="000959DD"/>
    <w:rsid w:val="000E414F"/>
    <w:rsid w:val="000F5C83"/>
    <w:rsid w:val="00132AEB"/>
    <w:rsid w:val="00143012"/>
    <w:rsid w:val="00143250"/>
    <w:rsid w:val="00163FB8"/>
    <w:rsid w:val="001655CF"/>
    <w:rsid w:val="001801E6"/>
    <w:rsid w:val="001B2351"/>
    <w:rsid w:val="001E6996"/>
    <w:rsid w:val="00204366"/>
    <w:rsid w:val="0023424E"/>
    <w:rsid w:val="00260526"/>
    <w:rsid w:val="0027407C"/>
    <w:rsid w:val="00296883"/>
    <w:rsid w:val="002F7B6A"/>
    <w:rsid w:val="00313DA7"/>
    <w:rsid w:val="003474AC"/>
    <w:rsid w:val="00357ED3"/>
    <w:rsid w:val="00362A4E"/>
    <w:rsid w:val="00391745"/>
    <w:rsid w:val="003967BD"/>
    <w:rsid w:val="003A3A9B"/>
    <w:rsid w:val="003C35F3"/>
    <w:rsid w:val="003E268A"/>
    <w:rsid w:val="004704DD"/>
    <w:rsid w:val="004E4899"/>
    <w:rsid w:val="004F4581"/>
    <w:rsid w:val="004F5AD9"/>
    <w:rsid w:val="00560C95"/>
    <w:rsid w:val="00594E2B"/>
    <w:rsid w:val="005A41B7"/>
    <w:rsid w:val="005A720E"/>
    <w:rsid w:val="005C0B41"/>
    <w:rsid w:val="005D634D"/>
    <w:rsid w:val="005F3771"/>
    <w:rsid w:val="00603D65"/>
    <w:rsid w:val="00670069"/>
    <w:rsid w:val="006A228D"/>
    <w:rsid w:val="006C58BE"/>
    <w:rsid w:val="006F0C35"/>
    <w:rsid w:val="00723D96"/>
    <w:rsid w:val="00742A18"/>
    <w:rsid w:val="0075725E"/>
    <w:rsid w:val="00766893"/>
    <w:rsid w:val="007C37FC"/>
    <w:rsid w:val="007D1A3D"/>
    <w:rsid w:val="00810C43"/>
    <w:rsid w:val="00833ADC"/>
    <w:rsid w:val="008364DB"/>
    <w:rsid w:val="0085127E"/>
    <w:rsid w:val="008B6A3B"/>
    <w:rsid w:val="008B7B0A"/>
    <w:rsid w:val="008E5BE1"/>
    <w:rsid w:val="00935016"/>
    <w:rsid w:val="00956D9C"/>
    <w:rsid w:val="00957667"/>
    <w:rsid w:val="00971AFF"/>
    <w:rsid w:val="00983EB0"/>
    <w:rsid w:val="009A4A3F"/>
    <w:rsid w:val="009F07E3"/>
    <w:rsid w:val="009F2EE4"/>
    <w:rsid w:val="00A05441"/>
    <w:rsid w:val="00A13AFF"/>
    <w:rsid w:val="00A20D37"/>
    <w:rsid w:val="00A57789"/>
    <w:rsid w:val="00A77948"/>
    <w:rsid w:val="00A8688E"/>
    <w:rsid w:val="00A92BEC"/>
    <w:rsid w:val="00A92D9E"/>
    <w:rsid w:val="00B02AFA"/>
    <w:rsid w:val="00B02FE4"/>
    <w:rsid w:val="00BC198A"/>
    <w:rsid w:val="00BC7B68"/>
    <w:rsid w:val="00C017C2"/>
    <w:rsid w:val="00C14A64"/>
    <w:rsid w:val="00C36C2C"/>
    <w:rsid w:val="00C7045B"/>
    <w:rsid w:val="00C76710"/>
    <w:rsid w:val="00C97780"/>
    <w:rsid w:val="00CB5405"/>
    <w:rsid w:val="00CB598F"/>
    <w:rsid w:val="00CC1121"/>
    <w:rsid w:val="00CD50C2"/>
    <w:rsid w:val="00CE0562"/>
    <w:rsid w:val="00D04DBE"/>
    <w:rsid w:val="00D124F1"/>
    <w:rsid w:val="00D345E3"/>
    <w:rsid w:val="00D44D23"/>
    <w:rsid w:val="00E15D2D"/>
    <w:rsid w:val="00E819EF"/>
    <w:rsid w:val="00E952C7"/>
    <w:rsid w:val="00EA23C1"/>
    <w:rsid w:val="00F06737"/>
    <w:rsid w:val="00F53783"/>
    <w:rsid w:val="00F809B1"/>
    <w:rsid w:val="00F83BAE"/>
    <w:rsid w:val="00FA5C17"/>
    <w:rsid w:val="00FB3B66"/>
    <w:rsid w:val="00FE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91BF"/>
  <w15:chartTrackingRefBased/>
  <w15:docId w15:val="{68E28262-D947-4002-B1B6-F7F40EB4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4E2B"/>
    <w:pPr>
      <w:ind w:left="720"/>
      <w:contextualSpacing/>
    </w:pPr>
  </w:style>
  <w:style w:type="table" w:styleId="TableGrid">
    <w:name w:val="Table Grid"/>
    <w:basedOn w:val="TableNormal"/>
    <w:uiPriority w:val="39"/>
    <w:rsid w:val="00204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34157-8E5C-4832-97D5-6ADFA3B34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Xikun Yuan</dc:creator>
  <cp:keywords/>
  <dc:description/>
  <cp:lastModifiedBy>Xikun Yuan</cp:lastModifiedBy>
  <cp:revision>175</cp:revision>
  <dcterms:created xsi:type="dcterms:W3CDTF">2018-11-06T00:12:00Z</dcterms:created>
  <dcterms:modified xsi:type="dcterms:W3CDTF">2018-11-06T06:38:00Z</dcterms:modified>
</cp:coreProperties>
</file>