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951D" w14:textId="77777777" w:rsidR="00ED20CE" w:rsidRPr="00B14625" w:rsidRDefault="00ED20CE" w:rsidP="00ED20CE">
      <w:pPr>
        <w:pStyle w:val="Titre1"/>
      </w:pPr>
      <w:r w:rsidRPr="00B14625">
        <w:t>Helgrind</w:t>
      </w:r>
    </w:p>
    <w:p w14:paraId="592C67C1" w14:textId="77777777" w:rsidR="00ED20CE" w:rsidRPr="00B14625" w:rsidRDefault="00ED20CE" w:rsidP="00ED20CE">
      <w:pPr>
        <w:pStyle w:val="Titre2"/>
      </w:pPr>
      <w:r w:rsidRPr="00B14625">
        <w:t>Principe général</w:t>
      </w:r>
    </w:p>
    <w:p w14:paraId="1795385F" w14:textId="633A9FC1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 xml:space="preserve">Helgrind est un outil d’analyse dynamique basé sur l’infrastructure de </w:t>
      </w:r>
      <w:proofErr w:type="spellStart"/>
      <w:r w:rsidRPr="002C60EE">
        <w:rPr>
          <w:rFonts w:ascii="Calibri" w:hAnsi="Calibri" w:cs="Calibri"/>
          <w:color w:val="000000"/>
        </w:rPr>
        <w:t>Valgrind</w:t>
      </w:r>
      <w:proofErr w:type="spellEnd"/>
      <w:r w:rsidRPr="002C60EE">
        <w:rPr>
          <w:rFonts w:ascii="Calibri" w:hAnsi="Calibri" w:cs="Calibri"/>
          <w:color w:val="000000"/>
        </w:rPr>
        <w:t xml:space="preserve">. </w:t>
      </w:r>
      <w:proofErr w:type="spellStart"/>
      <w:r w:rsidRPr="002C60EE">
        <w:rPr>
          <w:rFonts w:ascii="Calibri" w:hAnsi="Calibri" w:cs="Calibri"/>
          <w:color w:val="000000"/>
        </w:rPr>
        <w:t>Valgrind</w:t>
      </w:r>
      <w:proofErr w:type="spellEnd"/>
      <w:r w:rsidRPr="002C60EE">
        <w:rPr>
          <w:rFonts w:ascii="Calibri" w:hAnsi="Calibri" w:cs="Calibri"/>
          <w:color w:val="000000"/>
        </w:rPr>
        <w:t xml:space="preserve"> fonctionne comme un environnement d’exécution instrumenté. Lorsqu’un programme est exécuté avec </w:t>
      </w:r>
      <w:proofErr w:type="spellStart"/>
      <w:r w:rsidRPr="002C60EE">
        <w:rPr>
          <w:rFonts w:ascii="Calibri" w:hAnsi="Calibri" w:cs="Calibri"/>
          <w:color w:val="000000"/>
        </w:rPr>
        <w:t>Valgrind</w:t>
      </w:r>
      <w:proofErr w:type="spellEnd"/>
      <w:r w:rsidRPr="002C60EE">
        <w:rPr>
          <w:rFonts w:ascii="Calibri" w:hAnsi="Calibri" w:cs="Calibri"/>
          <w:color w:val="000000"/>
        </w:rPr>
        <w:t xml:space="preserve">, il ne s’exécute pas directement sur le processeur. </w:t>
      </w:r>
    </w:p>
    <w:p w14:paraId="52A06582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Ce mécanisme, appelé</w:t>
      </w:r>
      <w:r w:rsidRPr="002C60EE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60E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Dynamic </w:t>
      </w:r>
      <w:proofErr w:type="spellStart"/>
      <w:r w:rsidRPr="002C60E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Binary</w:t>
      </w:r>
      <w:proofErr w:type="spellEnd"/>
      <w:r w:rsidRPr="002C60E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Instrumentation</w:t>
      </w:r>
      <w:r w:rsidRPr="002C60EE">
        <w:rPr>
          <w:rFonts w:ascii="Calibri" w:hAnsi="Calibri" w:cs="Calibri"/>
          <w:color w:val="000000"/>
        </w:rPr>
        <w:t xml:space="preserve">, permet à </w:t>
      </w:r>
      <w:proofErr w:type="spellStart"/>
      <w:r w:rsidRPr="002C60EE">
        <w:rPr>
          <w:rFonts w:ascii="Calibri" w:hAnsi="Calibri" w:cs="Calibri"/>
          <w:color w:val="000000"/>
        </w:rPr>
        <w:t>Valgrind</w:t>
      </w:r>
      <w:proofErr w:type="spellEnd"/>
      <w:r w:rsidRPr="002C60EE">
        <w:rPr>
          <w:rFonts w:ascii="Calibri" w:hAnsi="Calibri" w:cs="Calibri"/>
          <w:color w:val="000000"/>
        </w:rPr>
        <w:t xml:space="preserve"> d’insérer des opérations supplémentaires afin d’observer et d’analyser le comportement du programme pendant son exécution.</w:t>
      </w:r>
    </w:p>
    <w:p w14:paraId="6E6313A0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Grâce à ce mécanisme, Helgrind est capable de surveiller un grand nombre d’événements liés à la concurrence, notamment :</w:t>
      </w:r>
    </w:p>
    <w:p w14:paraId="69F4D470" w14:textId="77777777" w:rsidR="00ED20CE" w:rsidRPr="002C60EE" w:rsidRDefault="00ED20CE" w:rsidP="00ED20CE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la</w:t>
      </w:r>
      <w:proofErr w:type="gramEnd"/>
      <w:r w:rsidRPr="002C60EE">
        <w:rPr>
          <w:rFonts w:ascii="Calibri" w:hAnsi="Calibri" w:cs="Calibri"/>
          <w:color w:val="000000"/>
        </w:rPr>
        <w:t xml:space="preserve"> création et la terminaison des threads</w:t>
      </w:r>
    </w:p>
    <w:p w14:paraId="7086BB81" w14:textId="77777777" w:rsidR="00ED20CE" w:rsidRPr="002C60EE" w:rsidRDefault="00ED20CE" w:rsidP="00ED20CE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accès mémoire en lecture et en écriture</w:t>
      </w:r>
    </w:p>
    <w:p w14:paraId="7BD43680" w14:textId="77777777" w:rsidR="00ED20CE" w:rsidRPr="002C60EE" w:rsidRDefault="00ED20CE" w:rsidP="00ED20CE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opérations de verrouillage et de déverrouillage de mutex</w:t>
      </w:r>
    </w:p>
    <w:p w14:paraId="173BC942" w14:textId="77777777" w:rsidR="00ED20CE" w:rsidRPr="002C60EE" w:rsidRDefault="00ED20CE" w:rsidP="00ED20CE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l’utilisation</w:t>
      </w:r>
      <w:proofErr w:type="gramEnd"/>
      <w:r w:rsidRPr="002C60EE">
        <w:rPr>
          <w:rFonts w:ascii="Calibri" w:hAnsi="Calibri" w:cs="Calibri"/>
          <w:color w:val="000000"/>
        </w:rPr>
        <w:t xml:space="preserve"> de variables conditionnelles</w:t>
      </w:r>
    </w:p>
    <w:p w14:paraId="6BA4AD16" w14:textId="77777777" w:rsidR="00ED20CE" w:rsidRPr="002C60EE" w:rsidRDefault="00ED20CE" w:rsidP="00ED20CE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opérations de synchronisation entre threads</w:t>
      </w:r>
    </w:p>
    <w:p w14:paraId="2791031B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En interceptant ces événements, Helgrind peut reconstruire les relations de synchronisation entre les différents threads et identifier les situations dangereuses.</w:t>
      </w:r>
    </w:p>
    <w:p w14:paraId="0130DBAF" w14:textId="77777777" w:rsidR="00ED20CE" w:rsidRPr="00B14625" w:rsidRDefault="00ED20CE" w:rsidP="00ED20CE">
      <w:pPr>
        <w:pStyle w:val="Titre2"/>
      </w:pPr>
      <w:r w:rsidRPr="00B14625">
        <w:t>Détection des conditions de compétition</w:t>
      </w:r>
    </w:p>
    <w:p w14:paraId="4A6876E1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Une</w:t>
      </w:r>
      <w:r w:rsidRPr="002C60EE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60E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condition de compétition</w:t>
      </w:r>
      <w:r w:rsidRPr="002C60EE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60EE">
        <w:rPr>
          <w:rFonts w:ascii="Calibri" w:hAnsi="Calibri" w:cs="Calibri"/>
          <w:color w:val="000000"/>
        </w:rPr>
        <w:t>(data race) se produit lorsque plusieurs threads accèdent à la même zone mémoire simultanément sans mécanisme de synchronisation approprié. Dans ce cas, l’ordre d’exécution des instructions peut varier d’une exécution à l’autre, ce qui entraîne un comportement non déterministe.</w:t>
      </w:r>
    </w:p>
    <w:p w14:paraId="24A57952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Helgrind utilise un algorithme basé sur le</w:t>
      </w:r>
      <w:r w:rsidRPr="002C60EE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D20C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Lockset</w:t>
      </w:r>
      <w:proofErr w:type="spellEnd"/>
      <w:r w:rsidRPr="00ED20C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</w:t>
      </w:r>
      <w:proofErr w:type="spellStart"/>
      <w:r w:rsidRPr="00ED20C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Algorithm</w:t>
      </w:r>
      <w:proofErr w:type="spellEnd"/>
      <w:r w:rsidRPr="002C60EE">
        <w:rPr>
          <w:rFonts w:ascii="Calibri" w:hAnsi="Calibri" w:cs="Calibri"/>
          <w:color w:val="000000"/>
        </w:rPr>
        <w:t xml:space="preserve">, inspiré de l’outil </w:t>
      </w:r>
      <w:proofErr w:type="spellStart"/>
      <w:r w:rsidRPr="002C60EE">
        <w:rPr>
          <w:rFonts w:ascii="Calibri" w:hAnsi="Calibri" w:cs="Calibri"/>
          <w:color w:val="000000"/>
        </w:rPr>
        <w:t>Eraser</w:t>
      </w:r>
      <w:proofErr w:type="spellEnd"/>
      <w:r w:rsidRPr="002C60EE">
        <w:rPr>
          <w:rFonts w:ascii="Calibri" w:hAnsi="Calibri" w:cs="Calibri"/>
          <w:color w:val="000000"/>
        </w:rPr>
        <w:t>. Cet algorithme consiste à analyser les verrous détenus par les threads lors des accès mémoire.</w:t>
      </w:r>
    </w:p>
    <w:p w14:paraId="7B2C0D16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Le principe de fonctionnement est le suivant :</w:t>
      </w:r>
    </w:p>
    <w:p w14:paraId="63FEFE13" w14:textId="77777777" w:rsidR="00ED20CE" w:rsidRPr="002C60EE" w:rsidRDefault="00ED20CE" w:rsidP="00ED20CE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Lorsqu’un thread accède à une variable mémoire, Helgrind enregistre l’ensemble des verrous actuellement détenus par ce thread.</w:t>
      </w:r>
    </w:p>
    <w:p w14:paraId="48660D1F" w14:textId="77777777" w:rsidR="00ED20CE" w:rsidRPr="002C60EE" w:rsidRDefault="00ED20CE" w:rsidP="00ED20CE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Pour chaque variable mémoire observée, Helgrind maintient un ensemble de verrous potentiels censés protéger cette variable.</w:t>
      </w:r>
    </w:p>
    <w:p w14:paraId="0E123F86" w14:textId="77777777" w:rsidR="00ED20CE" w:rsidRPr="002C60EE" w:rsidRDefault="00ED20CE" w:rsidP="00ED20CE">
      <w:pPr>
        <w:pStyle w:val="NormalWeb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À chaque nouvel accès, Helgrind calcule l’intersection entre cet ensemble et les verrous détenus par le thread.</w:t>
      </w:r>
    </w:p>
    <w:p w14:paraId="6D1BA250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Si cette intersection devient vide, cela signifie qu’aucun verrou commun ne protège la variable. Helgrind signale alors une</w:t>
      </w:r>
      <w:r w:rsidRPr="002C60EE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D20C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data race potentielle</w:t>
      </w:r>
      <w:r w:rsidRPr="002C60EE">
        <w:rPr>
          <w:rFonts w:ascii="Calibri" w:hAnsi="Calibri" w:cs="Calibri"/>
          <w:color w:val="000000"/>
        </w:rPr>
        <w:t>.</w:t>
      </w:r>
    </w:p>
    <w:p w14:paraId="582EBE76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lastRenderedPageBreak/>
        <w:t>Le rapport généré contient généralement :</w:t>
      </w:r>
    </w:p>
    <w:p w14:paraId="144DA82F" w14:textId="77777777" w:rsidR="00ED20CE" w:rsidRPr="002C60EE" w:rsidRDefault="00ED20CE" w:rsidP="00ED20CE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threads impliqués</w:t>
      </w:r>
    </w:p>
    <w:p w14:paraId="0239DB76" w14:textId="77777777" w:rsidR="00ED20CE" w:rsidRPr="002C60EE" w:rsidRDefault="00ED20CE" w:rsidP="00ED20CE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instructions mémoire concernées</w:t>
      </w:r>
    </w:p>
    <w:p w14:paraId="00A4DCD1" w14:textId="77777777" w:rsidR="00ED20CE" w:rsidRPr="002C60EE" w:rsidRDefault="00ED20CE" w:rsidP="00ED20CE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les</w:t>
      </w:r>
      <w:proofErr w:type="gramEnd"/>
      <w:r w:rsidRPr="002C60EE">
        <w:rPr>
          <w:rFonts w:ascii="Calibri" w:hAnsi="Calibri" w:cs="Calibri"/>
          <w:color w:val="000000"/>
        </w:rPr>
        <w:t xml:space="preserve"> lignes du code source associées</w:t>
      </w:r>
    </w:p>
    <w:p w14:paraId="4FB7F214" w14:textId="77777777" w:rsidR="00ED20CE" w:rsidRPr="002C60EE" w:rsidRDefault="00ED20CE" w:rsidP="00ED20CE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la</w:t>
      </w:r>
      <w:proofErr w:type="gramEnd"/>
      <w:r w:rsidRPr="002C60EE">
        <w:rPr>
          <w:rFonts w:ascii="Calibri" w:hAnsi="Calibri" w:cs="Calibri"/>
          <w:color w:val="000000"/>
        </w:rPr>
        <w:t xml:space="preserve"> pile d’appels correspondant à l’accès mémoire</w:t>
      </w:r>
    </w:p>
    <w:p w14:paraId="38C57C10" w14:textId="024A192C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Ces informations facilitent considérablement la localisation et la correction de l’erreur.</w:t>
      </w:r>
      <w:r>
        <w:rPr>
          <w:rFonts w:ascii="Calibri" w:hAnsi="Calibri" w:cs="Calibri"/>
          <w:color w:val="000000"/>
        </w:rPr>
        <w:t xml:space="preserve"> </w:t>
      </w:r>
      <w:r w:rsidRPr="002C60EE">
        <w:rPr>
          <w:rFonts w:ascii="Calibri" w:hAnsi="Calibri" w:cs="Calibri"/>
          <w:color w:val="000000"/>
        </w:rPr>
        <w:t>En plus des conditions de compétition, Helgrind permet également de détecter plusieurs autres types d’erreurs liées à la synchronisation.</w:t>
      </w:r>
    </w:p>
    <w:p w14:paraId="0B355339" w14:textId="77777777" w:rsidR="00ED20CE" w:rsidRPr="00ED20CE" w:rsidRDefault="00ED20CE" w:rsidP="00ED20CE">
      <w:pPr>
        <w:pStyle w:val="Titre3"/>
        <w:rPr>
          <w:rFonts w:ascii="Calibri" w:hAnsi="Calibri" w:cs="Calibri"/>
        </w:rPr>
      </w:pPr>
      <w:r w:rsidRPr="00ED20CE">
        <w:rPr>
          <w:rFonts w:ascii="Calibri" w:hAnsi="Calibri" w:cs="Calibri"/>
        </w:rPr>
        <w:t>Mauvaise utilisation des mutex</w:t>
      </w:r>
    </w:p>
    <w:p w14:paraId="17C66A48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Les mutex sont utilisés pour protéger des sections critiques du code. Une utilisation incorrecte de ces mécanismes peut provoquer des comportements indéfinis. Helgrind est capable de détecter plusieurs erreurs, notamment :</w:t>
      </w:r>
    </w:p>
    <w:p w14:paraId="31E804F4" w14:textId="77777777" w:rsidR="00ED20CE" w:rsidRPr="002C60EE" w:rsidRDefault="00ED20CE" w:rsidP="00ED20CE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</w:t>
      </w:r>
      <w:proofErr w:type="gramEnd"/>
      <w:r w:rsidRPr="002C60EE">
        <w:rPr>
          <w:rFonts w:ascii="Calibri" w:hAnsi="Calibri" w:cs="Calibri"/>
          <w:color w:val="000000"/>
        </w:rPr>
        <w:t xml:space="preserve"> déverrouillage d’un mutex qui n’est pas verrouillé</w:t>
      </w:r>
    </w:p>
    <w:p w14:paraId="2D12D258" w14:textId="77777777" w:rsidR="00ED20CE" w:rsidRPr="002C60EE" w:rsidRDefault="00ED20CE" w:rsidP="00ED20CE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la</w:t>
      </w:r>
      <w:proofErr w:type="gramEnd"/>
      <w:r w:rsidRPr="002C60EE">
        <w:rPr>
          <w:rFonts w:ascii="Calibri" w:hAnsi="Calibri" w:cs="Calibri"/>
          <w:color w:val="000000"/>
        </w:rPr>
        <w:t xml:space="preserve"> destruction d’un mutex encore utilisé</w:t>
      </w:r>
    </w:p>
    <w:p w14:paraId="461C3B4E" w14:textId="77777777" w:rsidR="00ED20CE" w:rsidRPr="002C60EE" w:rsidRDefault="00ED20CE" w:rsidP="00ED20CE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proofErr w:type="gramStart"/>
      <w:r w:rsidRPr="002C60EE">
        <w:rPr>
          <w:rFonts w:ascii="Calibri" w:hAnsi="Calibri" w:cs="Calibri"/>
          <w:color w:val="000000"/>
        </w:rPr>
        <w:t>le</w:t>
      </w:r>
      <w:proofErr w:type="gramEnd"/>
      <w:r w:rsidRPr="002C60EE">
        <w:rPr>
          <w:rFonts w:ascii="Calibri" w:hAnsi="Calibri" w:cs="Calibri"/>
          <w:color w:val="000000"/>
        </w:rPr>
        <w:t xml:space="preserve"> verrouillage multiple incorrect</w:t>
      </w:r>
    </w:p>
    <w:p w14:paraId="441C0829" w14:textId="77777777" w:rsidR="00ED20CE" w:rsidRPr="002C60EE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2C60EE">
        <w:rPr>
          <w:rFonts w:ascii="Calibri" w:hAnsi="Calibri" w:cs="Calibri"/>
          <w:color w:val="000000"/>
        </w:rPr>
        <w:t>Ces erreurs peuvent être difficiles à identifier lors d’une exécution normale car elles ne provoquent pas toujours un crash immédiat.</w:t>
      </w:r>
    </w:p>
    <w:p w14:paraId="0271EB29" w14:textId="77777777" w:rsidR="00ED20CE" w:rsidRPr="00A721F5" w:rsidRDefault="00ED20CE" w:rsidP="00ED20CE">
      <w:pPr>
        <w:pStyle w:val="Titre3"/>
        <w:rPr>
          <w:rFonts w:ascii="Calibri" w:hAnsi="Calibri" w:cs="Calibri"/>
        </w:rPr>
      </w:pPr>
      <w:r w:rsidRPr="00A721F5">
        <w:rPr>
          <w:rFonts w:ascii="Calibri" w:hAnsi="Calibri" w:cs="Calibri"/>
        </w:rPr>
        <w:t>Détection des deadlocks</w:t>
      </w:r>
    </w:p>
    <w:p w14:paraId="67572456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Un</w:t>
      </w:r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D20CE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deadlock</w:t>
      </w:r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721F5">
        <w:rPr>
          <w:rFonts w:ascii="Calibri" w:hAnsi="Calibri" w:cs="Calibri"/>
          <w:color w:val="000000"/>
        </w:rPr>
        <w:t>se produit lorsque deux ou plusieurs threads attendent indéfiniment des ressources détenues par d’autres threads.</w:t>
      </w:r>
    </w:p>
    <w:p w14:paraId="1519EA0A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Helgrind analyse l’ordre dans lequel les verrous sont acquis afin de détecter les cycles potentiels dans les dépendances entre mutex.</w:t>
      </w:r>
    </w:p>
    <w:p w14:paraId="7DC2B301" w14:textId="77777777" w:rsidR="00ED20CE" w:rsidRDefault="00ED20CE" w:rsidP="00ED20CE">
      <w:pPr>
        <w:pStyle w:val="Titre2"/>
      </w:pPr>
      <w:r>
        <w:t>Procédure de compilation multi-architecture</w:t>
      </w:r>
    </w:p>
    <w:p w14:paraId="315A2E04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 xml:space="preserve">Afin d’utiliser Helgrind dans différents environnements d’exécution, il est nécessaire de compiler les binaires de </w:t>
      </w:r>
      <w:proofErr w:type="spellStart"/>
      <w:r w:rsidRPr="00A721F5">
        <w:rPr>
          <w:rFonts w:ascii="Calibri" w:hAnsi="Calibri" w:cs="Calibri"/>
          <w:color w:val="000000"/>
        </w:rPr>
        <w:t>Valgrind</w:t>
      </w:r>
      <w:proofErr w:type="spellEnd"/>
      <w:r w:rsidRPr="00A721F5">
        <w:rPr>
          <w:rFonts w:ascii="Calibri" w:hAnsi="Calibri" w:cs="Calibri"/>
          <w:color w:val="000000"/>
        </w:rPr>
        <w:t xml:space="preserve"> à partir des sources. Cette approche permet de garantir la compatibilité avec l’architecture du système et d’assurer la reproductibilité de l’environnement.</w:t>
      </w:r>
    </w:p>
    <w:p w14:paraId="6BA424A5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La première étape consiste à récupérer les sources depuis le dépôt officiel du projet :</w:t>
      </w:r>
    </w:p>
    <w:p w14:paraId="131EBBF0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git</w:t>
      </w:r>
      <w:proofErr w:type="gramEnd"/>
      <w:r>
        <w:rPr>
          <w:rStyle w:val="CodeHTML"/>
          <w:rFonts w:eastAsiaTheme="majorEastAsia"/>
          <w:color w:val="000000"/>
        </w:rPr>
        <w:t xml:space="preserve"> clone https://sourceware.org/git/valgrind.git</w:t>
      </w:r>
    </w:p>
    <w:p w14:paraId="1D1CB28B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 xml:space="preserve">Une fois les sources téléchargées, l’environnement de compilation doit être préparé à l’aide des outils GNU </w:t>
      </w:r>
      <w:proofErr w:type="spellStart"/>
      <w:r w:rsidRPr="00A721F5">
        <w:rPr>
          <w:rFonts w:ascii="Calibri" w:hAnsi="Calibri" w:cs="Calibri"/>
          <w:color w:val="000000"/>
        </w:rPr>
        <w:t>Autotools</w:t>
      </w:r>
      <w:proofErr w:type="spellEnd"/>
      <w:r w:rsidRPr="00A721F5">
        <w:rPr>
          <w:rFonts w:ascii="Calibri" w:hAnsi="Calibri" w:cs="Calibri"/>
          <w:color w:val="000000"/>
        </w:rPr>
        <w:t>. Cette étape est réalisée via la commande :</w:t>
      </w:r>
    </w:p>
    <w:p w14:paraId="70FA357E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>./autogen.sh</w:t>
      </w:r>
    </w:p>
    <w:p w14:paraId="49E3090D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lastRenderedPageBreak/>
        <w:t>Cette commande génère le script</w:t>
      </w:r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D20CE">
        <w:rPr>
          <w:rStyle w:val="CodeHTML"/>
          <w:rFonts w:ascii="Calibri" w:eastAsiaTheme="majorEastAsia" w:hAnsi="Calibri" w:cs="Calibri"/>
          <w:color w:val="000000"/>
          <w:sz w:val="24"/>
          <w:szCs w:val="24"/>
        </w:rPr>
        <w:t>configure</w:t>
      </w:r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721F5">
        <w:rPr>
          <w:rFonts w:ascii="Calibri" w:hAnsi="Calibri" w:cs="Calibri"/>
          <w:color w:val="000000"/>
        </w:rPr>
        <w:t>permettant d’adapter la compilation au système cible.</w:t>
      </w:r>
    </w:p>
    <w:p w14:paraId="25DF0F51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La configuration de la compilation est ensuite réalisée avec :</w:t>
      </w:r>
    </w:p>
    <w:p w14:paraId="795B56DC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./</w:t>
      </w:r>
      <w:proofErr w:type="gramEnd"/>
      <w:r>
        <w:rPr>
          <w:rStyle w:val="CodeHTML"/>
          <w:rFonts w:eastAsiaTheme="majorEastAsia"/>
          <w:color w:val="000000"/>
        </w:rPr>
        <w:t>configure --</w:t>
      </w:r>
      <w:proofErr w:type="spellStart"/>
      <w:r>
        <w:rPr>
          <w:rStyle w:val="CodeHTML"/>
          <w:rFonts w:eastAsiaTheme="majorEastAsia"/>
          <w:color w:val="000000"/>
        </w:rPr>
        <w:t>prefix</w:t>
      </w:r>
      <w:proofErr w:type="spellEnd"/>
      <w:r>
        <w:rPr>
          <w:rStyle w:val="CodeHTML"/>
          <w:rFonts w:eastAsiaTheme="majorEastAsia"/>
          <w:color w:val="000000"/>
        </w:rPr>
        <w:t>=/chemin/installation</w:t>
      </w:r>
    </w:p>
    <w:p w14:paraId="40203E37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Cette commande détecte automatiquement l’architecture du processeur, les bibliothèques disponibles et les capacités du compilateur.</w:t>
      </w:r>
    </w:p>
    <w:p w14:paraId="2FFFAD68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La compilation des binaires est ensuite effectuée avec :</w:t>
      </w:r>
    </w:p>
    <w:p w14:paraId="7EAC380F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CodeHTML"/>
          <w:rFonts w:eastAsiaTheme="majorEastAsia"/>
          <w:color w:val="000000"/>
        </w:rPr>
        <w:t>make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 -</w:t>
      </w:r>
      <w:proofErr w:type="spellStart"/>
      <w:r>
        <w:rPr>
          <w:rStyle w:val="CodeHTML"/>
          <w:rFonts w:eastAsiaTheme="majorEastAsia"/>
          <w:color w:val="000000"/>
        </w:rPr>
        <w:t>jN</w:t>
      </w:r>
      <w:proofErr w:type="spellEnd"/>
    </w:p>
    <w:p w14:paraId="2FEF8A04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proofErr w:type="gramStart"/>
      <w:r w:rsidRPr="00A721F5">
        <w:rPr>
          <w:rFonts w:ascii="Calibri" w:hAnsi="Calibri" w:cs="Calibri"/>
          <w:color w:val="000000"/>
        </w:rPr>
        <w:t>où</w:t>
      </w:r>
      <w:proofErr w:type="gramEnd"/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721F5">
        <w:rPr>
          <w:rStyle w:val="CodeHTML"/>
          <w:rFonts w:ascii="Calibri" w:eastAsiaTheme="majorEastAsia" w:hAnsi="Calibri" w:cs="Calibri"/>
          <w:color w:val="000000"/>
        </w:rPr>
        <w:t>N</w:t>
      </w:r>
      <w:r w:rsidRPr="00A721F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721F5">
        <w:rPr>
          <w:rFonts w:ascii="Calibri" w:hAnsi="Calibri" w:cs="Calibri"/>
          <w:color w:val="000000"/>
        </w:rPr>
        <w:t>correspond au nombre de cœurs disponibles sur la machine. Cette compilation parallèle permet de réduire significativement le temps de construction.</w:t>
      </w:r>
    </w:p>
    <w:p w14:paraId="138E8AF5" w14:textId="77777777" w:rsidR="00ED20CE" w:rsidRPr="00A721F5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A721F5">
        <w:rPr>
          <w:rFonts w:ascii="Calibri" w:hAnsi="Calibri" w:cs="Calibri"/>
          <w:color w:val="000000"/>
        </w:rPr>
        <w:t>Enfin, les binaires sont installés avec :</w:t>
      </w:r>
    </w:p>
    <w:p w14:paraId="5E7581C3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CodeHTML"/>
          <w:rFonts w:eastAsiaTheme="majorEastAsia"/>
          <w:color w:val="000000"/>
        </w:rPr>
        <w:t>make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 </w:t>
      </w:r>
      <w:proofErr w:type="spellStart"/>
      <w:r>
        <w:rPr>
          <w:rStyle w:val="CodeHTML"/>
          <w:rFonts w:eastAsiaTheme="majorEastAsia"/>
          <w:color w:val="000000"/>
        </w:rPr>
        <w:t>install</w:t>
      </w:r>
      <w:proofErr w:type="spellEnd"/>
    </w:p>
    <w:p w14:paraId="5D000ED9" w14:textId="77777777" w:rsidR="00ED20CE" w:rsidRPr="00AE43C5" w:rsidRDefault="00ED20CE" w:rsidP="00ED20CE">
      <w:pPr>
        <w:pStyle w:val="NormalWeb"/>
        <w:rPr>
          <w:color w:val="000000"/>
        </w:rPr>
      </w:pPr>
      <w:r w:rsidRPr="00A721F5">
        <w:rPr>
          <w:rFonts w:ascii="Calibri" w:hAnsi="Calibri" w:cs="Calibri"/>
          <w:color w:val="000000"/>
        </w:rPr>
        <w:t>Le binaire principal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eHTML"/>
          <w:rFonts w:eastAsiaTheme="majorEastAsia"/>
          <w:color w:val="000000"/>
        </w:rPr>
        <w:t>valgrind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A721F5">
        <w:rPr>
          <w:rFonts w:ascii="Calibri" w:hAnsi="Calibri" w:cs="Calibri"/>
          <w:color w:val="000000"/>
        </w:rPr>
        <w:t xml:space="preserve">inclut alors l’ensemble des outils du </w:t>
      </w:r>
      <w:proofErr w:type="spellStart"/>
      <w:r w:rsidRPr="00A721F5">
        <w:rPr>
          <w:rFonts w:ascii="Calibri" w:hAnsi="Calibri" w:cs="Calibri"/>
          <w:color w:val="000000"/>
        </w:rPr>
        <w:t>framework</w:t>
      </w:r>
      <w:proofErr w:type="spellEnd"/>
      <w:r w:rsidRPr="00A721F5">
        <w:rPr>
          <w:rFonts w:ascii="Calibri" w:hAnsi="Calibri" w:cs="Calibri"/>
          <w:color w:val="000000"/>
        </w:rPr>
        <w:t>, dont Helgrind.</w:t>
      </w:r>
    </w:p>
    <w:p w14:paraId="66468215" w14:textId="77777777" w:rsidR="00ED20CE" w:rsidRDefault="00ED20CE" w:rsidP="00ED20CE">
      <w:pPr>
        <w:pStyle w:val="Titre2"/>
      </w:pPr>
      <w:r>
        <w:t>Exemple d’analyse avec Helgrind</w:t>
      </w:r>
    </w:p>
    <w:p w14:paraId="39F94502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Afin de valider le fonctionnement de l’outil, un programme multithread contenant volontairement une condition de compétition a été utilisé.</w:t>
      </w:r>
    </w:p>
    <w:p w14:paraId="2AD92E5A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Le programme crée deux threads qui incrémentent simultanément une variable globale sans protection par mutex.</w:t>
      </w:r>
    </w:p>
    <w:p w14:paraId="68D3F741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Lors de l’exécution avec Helgrind :</w:t>
      </w:r>
    </w:p>
    <w:p w14:paraId="26C15A2C" w14:textId="452B5B55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CodeHTML"/>
          <w:rFonts w:eastAsiaTheme="majorEastAsia"/>
          <w:color w:val="000000"/>
        </w:rPr>
        <w:t>valgrind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 --</w:t>
      </w:r>
      <w:proofErr w:type="spellStart"/>
      <w:r>
        <w:rPr>
          <w:rStyle w:val="CodeHTML"/>
          <w:rFonts w:eastAsiaTheme="majorEastAsia"/>
          <w:color w:val="000000"/>
        </w:rPr>
        <w:t>tool</w:t>
      </w:r>
      <w:proofErr w:type="spellEnd"/>
      <w:r>
        <w:rPr>
          <w:rStyle w:val="CodeHTML"/>
          <w:rFonts w:eastAsiaTheme="majorEastAsia"/>
          <w:color w:val="000000"/>
        </w:rPr>
        <w:t>=</w:t>
      </w:r>
      <w:proofErr w:type="spellStart"/>
      <w:proofErr w:type="gramStart"/>
      <w:r>
        <w:rPr>
          <w:rStyle w:val="CodeHTML"/>
          <w:rFonts w:eastAsiaTheme="majorEastAsia"/>
          <w:color w:val="000000"/>
        </w:rPr>
        <w:t>helgrind</w:t>
      </w:r>
      <w:proofErr w:type="spellEnd"/>
      <w:r>
        <w:rPr>
          <w:rStyle w:val="CodeHTML"/>
          <w:rFonts w:eastAsiaTheme="majorEastAsia"/>
          <w:color w:val="000000"/>
        </w:rPr>
        <w:t xml:space="preserve"> .</w:t>
      </w:r>
      <w:proofErr w:type="gramEnd"/>
      <w:r>
        <w:rPr>
          <w:rStyle w:val="CodeHTML"/>
          <w:rFonts w:eastAsiaTheme="majorEastAsia"/>
          <w:color w:val="000000"/>
        </w:rPr>
        <w:t>/</w:t>
      </w:r>
      <w:proofErr w:type="spellStart"/>
      <w:r>
        <w:rPr>
          <w:rStyle w:val="CodeHTML"/>
          <w:rFonts w:eastAsiaTheme="majorEastAsia"/>
          <w:color w:val="000000"/>
        </w:rPr>
        <w:t>test_</w:t>
      </w:r>
      <w:r>
        <w:rPr>
          <w:rStyle w:val="CodeHTML"/>
          <w:rFonts w:eastAsiaTheme="majorEastAsia"/>
          <w:color w:val="000000"/>
        </w:rPr>
        <w:t>helgrind</w:t>
      </w:r>
      <w:proofErr w:type="spellEnd"/>
    </w:p>
    <w:p w14:paraId="62AD107D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Helgrind génère un rapport indiquant la présence d’une data race.</w:t>
      </w:r>
    </w:p>
    <w:p w14:paraId="245E88B1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Un extrait typique du rapport est le suivant :</w:t>
      </w:r>
    </w:p>
    <w:p w14:paraId="59AEBCC0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Possible data race </w:t>
      </w:r>
      <w:proofErr w:type="spellStart"/>
      <w:r>
        <w:rPr>
          <w:rStyle w:val="CodeHTML"/>
          <w:rFonts w:eastAsiaTheme="majorEastAsia"/>
          <w:color w:val="000000"/>
        </w:rPr>
        <w:t>during</w:t>
      </w:r>
      <w:proofErr w:type="spellEnd"/>
      <w:r>
        <w:rPr>
          <w:rStyle w:val="CodeHTML"/>
          <w:rFonts w:eastAsiaTheme="majorEastAsia"/>
          <w:color w:val="000000"/>
        </w:rPr>
        <w:t xml:space="preserve"> </w:t>
      </w:r>
      <w:proofErr w:type="spellStart"/>
      <w:r>
        <w:rPr>
          <w:rStyle w:val="CodeHTML"/>
          <w:rFonts w:eastAsiaTheme="majorEastAsia"/>
          <w:color w:val="000000"/>
        </w:rPr>
        <w:t>write</w:t>
      </w:r>
      <w:proofErr w:type="spellEnd"/>
      <w:r>
        <w:rPr>
          <w:rStyle w:val="CodeHTML"/>
          <w:rFonts w:eastAsiaTheme="majorEastAsia"/>
          <w:color w:val="000000"/>
        </w:rPr>
        <w:t xml:space="preserve"> of size 4</w:t>
      </w:r>
    </w:p>
    <w:p w14:paraId="1F8BF269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at</w:t>
      </w:r>
      <w:proofErr w:type="gramEnd"/>
      <w:r>
        <w:rPr>
          <w:rStyle w:val="CodeHTML"/>
          <w:rFonts w:eastAsiaTheme="majorEastAsia"/>
          <w:color w:val="000000"/>
        </w:rPr>
        <w:t xml:space="preserve"> thread #1</w:t>
      </w:r>
    </w:p>
    <w:p w14:paraId="56DF65C2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Location:</w:t>
      </w:r>
      <w:proofErr w:type="gramEnd"/>
      <w:r>
        <w:rPr>
          <w:rStyle w:val="CodeHTML"/>
          <w:rFonts w:eastAsiaTheme="majorEastAsia"/>
          <w:color w:val="000000"/>
        </w:rPr>
        <w:t xml:space="preserve"> </w:t>
      </w:r>
      <w:proofErr w:type="spellStart"/>
      <w:r>
        <w:rPr>
          <w:rStyle w:val="CodeHTML"/>
          <w:rFonts w:eastAsiaTheme="majorEastAsia"/>
          <w:color w:val="000000"/>
        </w:rPr>
        <w:t>counter</w:t>
      </w:r>
      <w:proofErr w:type="spellEnd"/>
      <w:r>
        <w:rPr>
          <w:rStyle w:val="CodeHTML"/>
          <w:rFonts w:eastAsiaTheme="majorEastAsia"/>
          <w:color w:val="000000"/>
        </w:rPr>
        <w:t xml:space="preserve"> variable</w:t>
      </w:r>
    </w:p>
    <w:p w14:paraId="534FA57B" w14:textId="77777777" w:rsidR="00ED20CE" w:rsidRDefault="00ED20CE" w:rsidP="00ED20CE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r>
        <w:rPr>
          <w:rStyle w:val="CodeHTML"/>
          <w:rFonts w:eastAsiaTheme="majorEastAsia"/>
          <w:color w:val="000000"/>
        </w:rPr>
        <w:t>Conflicting</w:t>
      </w:r>
      <w:proofErr w:type="spellEnd"/>
      <w:r>
        <w:rPr>
          <w:rStyle w:val="CodeHTML"/>
          <w:rFonts w:eastAsiaTheme="majorEastAsia"/>
          <w:color w:val="000000"/>
        </w:rPr>
        <w:t xml:space="preserve"> </w:t>
      </w:r>
      <w:proofErr w:type="spellStart"/>
      <w:r>
        <w:rPr>
          <w:rStyle w:val="CodeHTML"/>
          <w:rFonts w:eastAsiaTheme="majorEastAsia"/>
          <w:color w:val="000000"/>
        </w:rPr>
        <w:t>access</w:t>
      </w:r>
      <w:proofErr w:type="spellEnd"/>
      <w:r>
        <w:rPr>
          <w:rStyle w:val="CodeHTML"/>
          <w:rFonts w:eastAsiaTheme="majorEastAsia"/>
          <w:color w:val="000000"/>
        </w:rPr>
        <w:t xml:space="preserve"> by thread #2</w:t>
      </w:r>
    </w:p>
    <w:p w14:paraId="318C5001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Ce rapport indique que deux threads accèdent simultanément à la même variable mémoire sans synchronisation. Helgrind fournit également les traces d’exécution permettant d’identifier précisément l’origine du problème dans le code source.</w:t>
      </w:r>
    </w:p>
    <w:p w14:paraId="6EE5F48D" w14:textId="77777777" w:rsidR="00ED20CE" w:rsidRDefault="00ED20CE" w:rsidP="00ED20CE">
      <w:pPr>
        <w:pStyle w:val="Titre2"/>
      </w:pPr>
      <w:r>
        <w:lastRenderedPageBreak/>
        <w:t>Résultats préliminaires</w:t>
      </w:r>
    </w:p>
    <w:p w14:paraId="06E3BC4A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 xml:space="preserve">Les premiers tests réalisés ont permis de vérifier la compilation correcte des binaires de </w:t>
      </w:r>
      <w:proofErr w:type="spellStart"/>
      <w:r w:rsidRPr="004F6612">
        <w:rPr>
          <w:rFonts w:ascii="Calibri" w:hAnsi="Calibri" w:cs="Calibri"/>
          <w:color w:val="000000"/>
        </w:rPr>
        <w:t>Valgrind</w:t>
      </w:r>
      <w:proofErr w:type="spellEnd"/>
      <w:r w:rsidRPr="004F6612">
        <w:rPr>
          <w:rFonts w:ascii="Calibri" w:hAnsi="Calibri" w:cs="Calibri"/>
          <w:color w:val="000000"/>
        </w:rPr>
        <w:t xml:space="preserve"> et l’exécution de Helgrind sur différentes architectures.</w:t>
      </w:r>
    </w:p>
    <w:p w14:paraId="69BB081F" w14:textId="77777777" w:rsidR="00ED20CE" w:rsidRPr="004F6612" w:rsidRDefault="00ED20CE" w:rsidP="00ED20CE">
      <w:pPr>
        <w:pStyle w:val="NormalWeb"/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Les résultats obtenus montrent que :</w:t>
      </w:r>
    </w:p>
    <w:p w14:paraId="1B9C6FE2" w14:textId="1F90DD7F" w:rsidR="00ED20CE" w:rsidRPr="003620BD" w:rsidRDefault="00ED20CE" w:rsidP="003620BD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4F6612">
        <w:rPr>
          <w:rFonts w:ascii="Calibri" w:hAnsi="Calibri" w:cs="Calibri"/>
          <w:color w:val="000000"/>
        </w:rPr>
        <w:t>la compilation fonctionne correctement sur les architectures x86_64</w:t>
      </w:r>
      <w:r w:rsidR="003620BD">
        <w:rPr>
          <w:rFonts w:ascii="Calibri" w:hAnsi="Calibri" w:cs="Calibri"/>
          <w:color w:val="000000"/>
        </w:rPr>
        <w:t xml:space="preserve"> et </w:t>
      </w:r>
      <w:r w:rsidR="003620BD" w:rsidRPr="004F6612">
        <w:rPr>
          <w:rFonts w:ascii="Calibri" w:hAnsi="Calibri" w:cs="Calibri"/>
          <w:color w:val="000000"/>
        </w:rPr>
        <w:t>ARM64</w:t>
      </w:r>
    </w:p>
    <w:p w14:paraId="5B7D04DF" w14:textId="77777777" w:rsidR="00ED20CE" w:rsidRPr="004F6612" w:rsidRDefault="00ED20CE" w:rsidP="00ED20CE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proofErr w:type="gramStart"/>
      <w:r w:rsidRPr="004F6612">
        <w:rPr>
          <w:rFonts w:ascii="Calibri" w:hAnsi="Calibri" w:cs="Calibri"/>
          <w:color w:val="000000"/>
        </w:rPr>
        <w:t>les</w:t>
      </w:r>
      <w:proofErr w:type="gramEnd"/>
      <w:r w:rsidRPr="004F6612">
        <w:rPr>
          <w:rFonts w:ascii="Calibri" w:hAnsi="Calibri" w:cs="Calibri"/>
          <w:color w:val="000000"/>
        </w:rPr>
        <w:t xml:space="preserve"> binaires générés permettent l’exécution correcte de Helgrind</w:t>
      </w:r>
    </w:p>
    <w:p w14:paraId="55103E13" w14:textId="6630BBB2" w:rsidR="009D39E5" w:rsidRDefault="00ED20CE" w:rsidP="00ED20CE">
      <w:r w:rsidRPr="004F6612">
        <w:rPr>
          <w:rFonts w:ascii="Calibri" w:hAnsi="Calibri" w:cs="Calibri"/>
          <w:color w:val="000000"/>
        </w:rPr>
        <w:t>Les tests réalisés avec des programmes multithread contenant volontairement des erreurs ont confirmé la capacité de Helgrind à détecter efficacement les conditions de compétition et certaines erreurs de synchronisation.</w:t>
      </w:r>
    </w:p>
    <w:sectPr w:rsidR="009D3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2C1"/>
    <w:multiLevelType w:val="multilevel"/>
    <w:tmpl w:val="592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F21"/>
    <w:multiLevelType w:val="multilevel"/>
    <w:tmpl w:val="EE1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D59DC"/>
    <w:multiLevelType w:val="multilevel"/>
    <w:tmpl w:val="21B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2147B"/>
    <w:multiLevelType w:val="multilevel"/>
    <w:tmpl w:val="C4FC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9207E"/>
    <w:multiLevelType w:val="multilevel"/>
    <w:tmpl w:val="5E3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43177">
    <w:abstractNumId w:val="1"/>
  </w:num>
  <w:num w:numId="2" w16cid:durableId="1833528132">
    <w:abstractNumId w:val="3"/>
  </w:num>
  <w:num w:numId="3" w16cid:durableId="1763408456">
    <w:abstractNumId w:val="4"/>
  </w:num>
  <w:num w:numId="4" w16cid:durableId="626083527">
    <w:abstractNumId w:val="0"/>
  </w:num>
  <w:num w:numId="5" w16cid:durableId="1692998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CE"/>
    <w:rsid w:val="000E4330"/>
    <w:rsid w:val="002711E9"/>
    <w:rsid w:val="00352871"/>
    <w:rsid w:val="003620BD"/>
    <w:rsid w:val="0039138E"/>
    <w:rsid w:val="009D39E5"/>
    <w:rsid w:val="00DB251C"/>
    <w:rsid w:val="00ED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E8C78"/>
  <w15:chartTrackingRefBased/>
  <w15:docId w15:val="{A967A0C1-A7D2-A74D-9230-5B712366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0CE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D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2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2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20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20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20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20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2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2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D2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20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20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20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20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20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20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20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2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20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20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20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2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20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20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20C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ED20CE"/>
  </w:style>
  <w:style w:type="character" w:styleId="lev">
    <w:name w:val="Strong"/>
    <w:basedOn w:val="Policepardfaut"/>
    <w:uiPriority w:val="22"/>
    <w:qFormat/>
    <w:rsid w:val="00ED20C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D2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D20C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D20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928</Words>
  <Characters>5110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Amaouche</dc:creator>
  <cp:keywords/>
  <dc:description/>
  <cp:lastModifiedBy>Nolan Amaouche</cp:lastModifiedBy>
  <cp:revision>2</cp:revision>
  <dcterms:created xsi:type="dcterms:W3CDTF">2026-03-08T07:17:00Z</dcterms:created>
  <dcterms:modified xsi:type="dcterms:W3CDTF">2026-03-08T07:27:00Z</dcterms:modified>
</cp:coreProperties>
</file>