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61.xml" ContentType="application/vnd.openxmlformats-officedocument.wordprocessingml.footer+xml"/>
  <Override PartName="/word/footer62.xml" ContentType="application/vnd.openxmlformats-officedocument.wordprocessingml.footer+xml"/>
  <Override PartName="/word/footnotes.xml" ContentType="application/vnd.openxmlformats-officedocument.wordprocessingml.footnotes+xml"/>
  <Override PartName="/word/header61.xml" ContentType="application/vnd.openxmlformats-officedocument.wordprocessingml.header+xml"/>
  <Override PartName="/word/header6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52699" w14:textId="77777777" w:rsidR="00B86100" w:rsidRDefault="00000000">
      <w:pPr>
        <w:keepLines/>
        <w:widowControl w:val="0"/>
        <w:spacing w:before="38" w:line="240" w:lineRule="auto"/>
        <w:jc w:val="center"/>
        <w:rPr>
          <w:rFonts w:hint="eastAsia"/>
        </w:rPr>
      </w:pPr>
      <w:r>
        <w:rPr>
          <w:rFonts w:ascii="Noto Serif CJK SC" w:eastAsia="Noto Serif CJK SC" w:hAnsi="Noto Serif CJK SC" w:cs="Noto Serif CJK SC"/>
          <w:noProof/>
          <w:sz w:val="2"/>
        </w:rPr>
        <w:drawing>
          <wp:inline distT="0" distB="0" distL="0" distR="0" wp14:anchorId="2CBE82D4" wp14:editId="23ADCA9F">
            <wp:extent cx="1917700" cy="1917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c-9eb5127e-d831-4faf-91a5-dc24e8afa051.png"/>
                    <pic:cNvPicPr/>
                  </pic:nvPicPr>
                  <pic:blipFill>
                    <a:blip r:embed="rId8"/>
                    <a:stretch>
                      <a:fillRect/>
                    </a:stretch>
                  </pic:blipFill>
                  <pic:spPr>
                    <a:xfrm>
                      <a:off x="0" y="0"/>
                      <a:ext cx="1917700" cy="1917700"/>
                    </a:xfrm>
                    <a:prstGeom prst="rect">
                      <a:avLst/>
                    </a:prstGeom>
                  </pic:spPr>
                </pic:pic>
              </a:graphicData>
            </a:graphic>
          </wp:inline>
        </w:drawing>
      </w:r>
    </w:p>
    <w:p w14:paraId="5B16B351" w14:textId="24091AC8" w:rsidR="00B86100" w:rsidRDefault="00DD77F1" w:rsidP="00DD77F1">
      <w:pPr>
        <w:keepLines/>
        <w:widowControl w:val="0"/>
        <w:spacing w:before="194" w:line="1122" w:lineRule="exact"/>
        <w:ind w:firstLineChars="300" w:firstLine="2499"/>
        <w:rPr>
          <w:rFonts w:hint="eastAsia"/>
          <w:lang w:eastAsia="zh-CN"/>
        </w:rPr>
      </w:pPr>
      <w:r>
        <w:rPr>
          <w:rFonts w:ascii="Noto Serif CJK SC" w:eastAsia="Noto Serif CJK SC" w:hAnsi="Noto Serif CJK SC" w:cs="Noto Serif CJK SC" w:hint="eastAsia"/>
          <w:w w:val="98"/>
          <w:sz w:val="85"/>
          <w:lang w:eastAsia="zh-CN"/>
        </w:rPr>
        <w:t>毕业</w:t>
      </w:r>
      <w:r>
        <w:rPr>
          <w:rFonts w:ascii="Noto Serif CJK SC" w:eastAsia="Noto Serif CJK SC" w:hAnsi="Noto Serif CJK SC" w:cs="Noto Serif CJK SC"/>
          <w:w w:val="98"/>
          <w:sz w:val="85"/>
          <w:lang w:eastAsia="zh-CN"/>
        </w:rPr>
        <w:t>论文</w:t>
      </w:r>
    </w:p>
    <w:p w14:paraId="10EA0E4F" w14:textId="5AA8809F" w:rsidR="00B86100" w:rsidRDefault="00B86100">
      <w:pPr>
        <w:keepLines/>
        <w:widowControl w:val="0"/>
        <w:spacing w:before="375" w:line="371" w:lineRule="exact"/>
        <w:ind w:left="2899"/>
        <w:rPr>
          <w:rFonts w:hint="eastAsia"/>
          <w:lang w:eastAsia="zh-CN"/>
        </w:rPr>
      </w:pPr>
    </w:p>
    <w:p w14:paraId="7E33A50B" w14:textId="25197ED4" w:rsidR="00B86100" w:rsidRDefault="00000000">
      <w:pPr>
        <w:keepLines/>
        <w:widowControl w:val="0"/>
        <w:tabs>
          <w:tab w:val="left" w:pos="761"/>
        </w:tabs>
        <w:spacing w:before="828" w:line="421" w:lineRule="exact"/>
        <w:ind w:left="787"/>
        <w:rPr>
          <w:rFonts w:hint="eastAsia"/>
          <w:lang w:eastAsia="zh-CN"/>
        </w:rPr>
      </w:pPr>
      <w:r>
        <w:rPr>
          <w:rFonts w:ascii="Noto Serif CJK SC" w:eastAsia="Noto Serif CJK SC" w:hAnsi="Noto Serif CJK SC" w:cs="Noto Serif CJK SC"/>
          <w:w w:val="98"/>
          <w:sz w:val="31"/>
          <w:lang w:eastAsia="zh-CN"/>
        </w:rPr>
        <w:t>题</w:t>
      </w:r>
      <w:r>
        <w:rPr>
          <w:rFonts w:ascii="Noto Serif CJK SC" w:hAnsi="Noto Serif CJK SC" w:eastAsia="Noto Serif CJK SC" w:cs="Noto Serif CJK SC"/>
          <w:w w:val="98"/>
          <w:lang w:eastAsia="zh-CN"/>
        </w:rPr>
        <w:tab/>
      </w:r>
      <w:r>
        <w:rPr>
          <w:rFonts w:ascii="Noto Serif CJK SC" w:eastAsia="Noto Serif CJK SC" w:hAnsi="Noto Serif CJK SC" w:cs="Noto Serif CJK SC"/>
          <w:w w:val="98"/>
          <w:sz w:val="31"/>
          <w:lang w:eastAsia="zh-CN"/>
        </w:rPr>
        <w:t>目：</w:t>
      </w:r>
      <w:r w:rsidR="003321BA" w:rsidRPr="003321BA">
        <w:rPr>
          <w:rFonts w:ascii="Noto Serif CJK SC" w:eastAsia="Noto Serif CJK SC" w:hAnsi="Noto Serif CJK SC" w:cs="Noto Serif CJK SC"/>
          <w:w w:val="98"/>
          <w:sz w:val="31"/>
          <w:lang w:eastAsia="zh-CN"/>
        </w:rPr>
        <w:t>基于改进 YOLO11 的印刷电路板缺陷检测研究</w:t>
      </w:r>
    </w:p>
    <w:p w14:paraId="6C126C2C" w14:textId="20E038F4" w:rsidR="00B86100" w:rsidRPr="003321BA" w:rsidRDefault="00000000" w:rsidP="003321BA">
      <w:pPr>
        <w:keepLines/>
        <w:widowControl w:val="0"/>
        <w:spacing w:before="1079" w:line="421" w:lineRule="exact"/>
        <w:ind w:left="787"/>
        <w:rPr>
          <w:rFonts w:ascii="黑体" w:eastAsia="黑体" w:hAnsi="黑体" w:cs="黑体" w:hint="eastAsia"/>
          <w:w w:val="98"/>
          <w:sz w:val="31"/>
        </w:rPr>
      </w:pPr>
      <w:proofErr w:type="spellStart"/>
      <w:r>
        <w:rPr>
          <w:rFonts w:ascii="Noto Serif CJK SC" w:eastAsia="Noto Serif CJK SC" w:hAnsi="Noto Serif CJK SC" w:cs="Noto Serif CJK SC"/>
          <w:w w:val="98"/>
          <w:sz w:val="31"/>
        </w:rPr>
        <w:t>英文题目：</w:t>
      </w:r>
      <w:r w:rsidR="003321BA" w:rsidRPr="003321BA">
        <w:rPr>
          <w:rFonts w:ascii="Noto Serif CJK SC" w:eastAsia="Noto Serif CJK SC" w:hAnsi="Noto Serif CJK SC" w:cs="Noto Serif CJK SC"/>
          <w:w w:val="98"/>
          <w:sz w:val="31"/>
        </w:rPr>
        <w:t>Research</w:t>
      </w:r>
      <w:proofErr w:type="spellEnd"/>
      <w:r w:rsidR="003321BA" w:rsidRPr="003321BA">
        <w:rPr>
          <w:rFonts w:ascii="Noto Serif CJK SC" w:eastAsia="Noto Serif CJK SC" w:hAnsi="Noto Serif CJK SC" w:cs="Noto Serif CJK SC"/>
          <w:w w:val="98"/>
          <w:sz w:val="31"/>
        </w:rPr>
        <w:t xml:space="preserve"> on Printed Circuit Board Defect Detection Based on Improved YOLO11</w:t>
      </w:r>
    </w:p>
    <w:p w14:paraId="56FA01C4" w14:textId="77777777" w:rsidR="00DD77F1" w:rsidRPr="003321BA" w:rsidRDefault="00DD77F1">
      <w:pPr>
        <w:keepLines/>
        <w:widowControl w:val="0"/>
        <w:spacing w:before="1260" w:line="396" w:lineRule="exact"/>
        <w:ind w:left="1207"/>
        <w:rPr>
          <w:rFonts w:ascii="黑体" w:eastAsia="黑体" w:hAnsi="黑体" w:cs="黑体" w:hint="eastAsia"/>
          <w:w w:val="98"/>
          <w:sz w:val="31"/>
        </w:rPr>
      </w:pPr>
    </w:p>
    <w:p w14:paraId="19CCC188" w14:textId="379E8250" w:rsidR="00B86100" w:rsidRDefault="00000000">
      <w:pPr>
        <w:keepLines/>
        <w:widowControl w:val="0"/>
        <w:spacing w:before="1260" w:line="396" w:lineRule="exact"/>
        <w:ind w:left="1207"/>
        <w:rPr>
          <w:rFonts w:hint="eastAsia"/>
          <w:lang w:eastAsia="zh-CN"/>
        </w:rPr>
      </w:pPr>
      <w:r>
        <w:rPr>
          <w:rFonts w:ascii="Noto Serif CJK SC" w:eastAsia="Noto Serif CJK SC" w:hAnsi="Noto Serif CJK SC" w:cs="Noto Serif CJK SC"/>
          <w:w w:val="98"/>
          <w:sz w:val="30"/>
          <w:lang w:eastAsia="zh-CN"/>
        </w:rPr>
        <w:t>姓名：</w:t>
      </w:r>
      <w:r w:rsidR="00DD77F1">
        <w:rPr>
          <w:rFonts w:ascii="Noto Serif CJK SC" w:eastAsia="Noto Serif CJK SC" w:hAnsi="Noto Serif CJK SC" w:cs="Noto Serif CJK SC" w:hint="eastAsia"/>
          <w:w w:val="98"/>
          <w:sz w:val="30"/>
          <w:lang w:eastAsia="zh-CN"/>
        </w:rPr>
        <w:t>张雨新</w:t>
      </w:r>
    </w:p>
    <w:p w14:paraId="5F294776" w14:textId="75B058DD" w:rsidR="00B86100" w:rsidRDefault="00000000">
      <w:pPr>
        <w:keepLines/>
        <w:widowControl w:val="0"/>
        <w:spacing w:before="302" w:line="396" w:lineRule="exact"/>
        <w:ind w:left="1159"/>
        <w:rPr>
          <w:rFonts w:hint="eastAsia"/>
          <w:lang w:eastAsia="zh-CN"/>
        </w:rPr>
      </w:pPr>
      <w:r>
        <w:rPr>
          <w:rFonts w:ascii="Noto Serif CJK SC" w:eastAsia="Noto Serif CJK SC" w:hAnsi="Noto Serif CJK SC" w:cs="Noto Serif CJK SC"/>
          <w:w w:val="98"/>
          <w:sz w:val="30"/>
          <w:lang w:eastAsia="zh-CN"/>
        </w:rPr>
        <w:t>专业</w:t>
      </w:r>
      <w:r w:rsidR="00DD77F1">
        <w:rPr>
          <w:rFonts w:ascii="Noto Serif CJK SC" w:eastAsia="Noto Serif CJK SC" w:hAnsi="Noto Serif CJK SC" w:cs="Noto Serif CJK SC" w:hint="eastAsia"/>
          <w:w w:val="98"/>
          <w:sz w:val="30"/>
          <w:lang w:eastAsia="zh-CN"/>
        </w:rPr>
        <w:t>及班级</w:t>
      </w:r>
      <w:r>
        <w:rPr>
          <w:rFonts w:ascii="Noto Serif CJK SC" w:eastAsia="Noto Serif CJK SC" w:hAnsi="Noto Serif CJK SC" w:cs="Noto Serif CJK SC"/>
          <w:w w:val="98"/>
          <w:sz w:val="30"/>
          <w:lang w:eastAsia="zh-CN"/>
        </w:rPr>
        <w:t>：</w:t>
      </w:r>
      <w:r w:rsidR="00DD77F1">
        <w:rPr>
          <w:rFonts w:ascii="Noto Serif CJK SC" w:eastAsia="Noto Serif CJK SC" w:hAnsi="Noto Serif CJK SC" w:cs="Noto Serif CJK SC" w:hint="eastAsia"/>
          <w:w w:val="98"/>
          <w:sz w:val="30"/>
          <w:lang w:eastAsia="zh-CN"/>
        </w:rPr>
        <w:t>25机械设计制造及自动化C1</w:t>
      </w:r>
    </w:p>
    <w:p w14:paraId="4DA75787" w14:textId="267F27C9" w:rsidR="00B86100" w:rsidRDefault="00000000">
      <w:pPr>
        <w:keepLines/>
        <w:widowControl w:val="0"/>
        <w:spacing w:before="305" w:line="396" w:lineRule="exact"/>
        <w:ind w:left="1228"/>
        <w:rPr>
          <w:rFonts w:hint="eastAsia"/>
          <w:lang w:eastAsia="zh-CN"/>
        </w:rPr>
      </w:pPr>
      <w:r>
        <w:rPr>
          <w:rFonts w:ascii="Noto Serif CJK SC" w:eastAsia="Noto Serif CJK SC" w:hAnsi="Noto Serif CJK SC" w:cs="Noto Serif CJK SC"/>
          <w:w w:val="98"/>
          <w:sz w:val="30"/>
          <w:lang w:eastAsia="zh-CN"/>
        </w:rPr>
        <w:t>指导教师姓名：</w:t>
      </w:r>
      <w:r w:rsidR="00DD77F1">
        <w:rPr>
          <w:rFonts w:ascii="Noto Serif CJK SC" w:eastAsia="Noto Serif CJK SC" w:hAnsi="Noto Serif CJK SC" w:cs="Noto Serif CJK SC" w:hint="eastAsia"/>
          <w:w w:val="98"/>
          <w:sz w:val="30"/>
          <w:lang w:eastAsia="zh-CN"/>
        </w:rPr>
        <w:t>彭康威</w:t>
      </w:r>
    </w:p>
    <w:p w14:paraId="3579ADAE" w14:textId="77777777" w:rsidR="00B86100" w:rsidRPr="003321BA" w:rsidRDefault="00B86100">
      <w:pPr>
        <w:spacing w:line="20" w:lineRule="exact"/>
        <w:rPr>
          <w:rFonts w:eastAsia="宋体" w:hint="eastAsia"/>
          <w:lang w:eastAsia="zh-CN"/>
        </w:rPr>
      </w:pPr>
    </w:p>
    <w:p>
      <w:r>
        <w:rPr>
          <w:rFonts w:ascii="Noto Serif CJK SC" w:hAnsi="Noto Serif CJK SC" w:eastAsia="Noto Serif CJK SC" w:cs="Noto Serif CJK SC"/>
        </w:rPr>
        <w:br w:type="page"/>
      </w:r>
    </w:p>
    <w:p>
      <w:pPr>
        <w:pStyle w:val="1"/>
        <w:jc w:val="center"/>
      </w:pPr>
      <w:r>
        <w:rPr>
          <w:rFonts w:ascii="Noto Sans CJK SC" w:hAnsi="Noto Sans CJK SC" w:eastAsia="Noto Sans CJK SC" w:cs="Noto Sans CJK SC"/>
        </w:rPr>
        <w:t>摘    要</w:t>
      </w:r>
    </w:p>
    <w:p>
      <w:pPr>
        <w:widowControl/>
        <w:ind w:firstLine="420"/>
      </w:pPr>
      <w:r>
        <w:rPr>
          <w:rFonts w:ascii="Noto Serif CJK SC" w:hAnsi="Noto Serif CJK SC" w:eastAsia="Noto Serif CJK SC" w:cs="Noto Serif CJK SC"/>
        </w:rPr>
        <w:t>印刷电路板（PCB）表面缺陷种类多、尺度小，其中断路与短路可能只占据较少像素，给目标检测模型的定位和分类带来困难。本文以 DeepPCB 数据集为研究对象，以 YOLO11n 为基线，设计面向小缺陷的 P2 检测分支和高分辨率双向特征融合方案。DeepPCB 包含 1 500 组已配准的待检图与模板图，缺陷分为断路、短路、鼠咬、毛刺、杂铜和针孔六类。本文规定先依据官方清单划分训练、验证和测试数据，再开展图像增强，避免同源样本跨集合。</w:t>
      </w:r>
    </w:p>
    <w:p>
      <w:pPr>
        <w:widowControl/>
        <w:ind w:firstLine="420"/>
      </w:pPr>
      <w:r>
        <w:rPr>
          <w:rFonts w:ascii="Noto Serif CJK SC" w:hAnsi="Noto Serif CJK SC" w:eastAsia="Noto Serif CJK SC" w:cs="Noto Serif CJK SC"/>
        </w:rPr>
        <w:t>方法上，在 YOLO11 的 P3、P4、P5 检测尺度之外引入步长为 4 的 P2 特征，保留浅层空间细节；在消融对照中进一步研究双向加权特征融合对小缺陷识别的作用。实验将统一训练设置，比较基线、单独加入 P2、单独加入融合模块及两者结合的四组模型，报告六类 AP、召回率、mAP、参数量、计算量和端到端推理延迟，并重点分析断路、短路的漏检。</w:t>
      </w:r>
    </w:p>
    <w:p>
      <w:pPr>
        <w:widowControl/>
        <w:ind w:firstLine="420"/>
      </w:pPr>
      <w:r>
        <w:t>目前已完成一次 10 epoch、320 输入的 CPU 预备训练与测试。本稿将该结果用于核对流程，正式性能结论仍需增加训练轮次和随机种子后确认。</w:t>
      </w:r>
    </w:p>
    <w:p>
      <w:pPr>
        <w:widowControl/>
      </w:pPr>
      <w:r>
        <w:rPr>
          <w:rFonts w:ascii="Noto Serif CJK SC" w:hAnsi="Noto Serif CJK SC" w:eastAsia="Noto Serif CJK SC" w:cs="Noto Serif CJK SC"/>
        </w:rPr>
        <w:t>关键词：印刷电路板；缺陷检测；DeepPCB；YOLO11；小目标检测；特征融合</w:t>
      </w:r>
    </w:p>
    <w:p>
      <w:r>
        <w:rPr>
          <w:rFonts w:ascii="Noto Serif CJK SC" w:hAnsi="Noto Serif CJK SC" w:eastAsia="Noto Serif CJK SC" w:cs="Noto Serif CJK SC"/>
        </w:rPr>
        <w:br w:type="page"/>
      </w:r>
    </w:p>
    <w:p>
      <w:pPr>
        <w:pStyle w:val="1"/>
        <w:jc w:val="center"/>
      </w:pPr>
      <w:r>
        <w:rPr>
          <w:rFonts w:ascii="Noto Sans CJK SC" w:hAnsi="Noto Sans CJK SC" w:eastAsia="Noto Sans CJK SC" w:cs="Noto Sans CJK SC"/>
        </w:rPr>
        <w:t>Abstract</w:t>
      </w:r>
    </w:p>
    <w:p>
      <w:pPr>
        <w:widowControl/>
      </w:pPr>
      <w:r>
        <w:rPr>
          <w:rFonts w:ascii="Noto Serif CJK SC" w:hAnsi="Noto Serif CJK SC" w:eastAsia="Noto Serif CJK SC" w:cs="Noto Serif CJK SC"/>
        </w:rPr>
        <w:t>Printed circuit board (PCB) defects are diverse and often small. Open circuits and short circuits may occupy only a few pixels, making accurate localization and classification difficult. This thesis proposes an experimental design based on YOLO11n and the DeepPCB dataset. DeepPCB contains 1,500 registered tested and defect-free template image pairs with six defect categories: open, short, mousebite, spur, copper, and pin-hole. Training and validation samples will be split from the official training list before augmentation; the official test list will remain held out.</w:t>
      </w:r>
    </w:p>
    <w:p>
      <w:pPr>
        <w:widowControl/>
      </w:pPr>
      <w:r>
        <w:rPr>
          <w:rFonts w:ascii="Noto Serif CJK SC" w:hAnsi="Noto Serif CJK SC" w:eastAsia="Noto Serif CJK SC" w:cs="Noto Serif CJK SC"/>
        </w:rPr>
        <w:t>A stride-4 P2 detection branch is planned to retain shallow spatial details. A bidirectional weighted feature-fusion variant will be evaluated separately and jointly with P2. Four controlled configurations will be compared under the same data split, training budget, and inference settings. The planned evaluation includes per-class AP and recall, mAP, model complexity, and end-to-end latency, with particular attention to open and short defects. Training and testing have not yet been completed; all numerical results and performance conclusions remain pending measurement.</w:t>
      </w:r>
    </w:p>
    <w:p>
      <w:pPr>
        <w:widowControl/>
      </w:pPr>
      <w:r>
        <w:rPr>
          <w:rFonts w:ascii="Noto Serif CJK SC" w:hAnsi="Noto Serif CJK SC" w:eastAsia="Noto Serif CJK SC" w:cs="Noto Serif CJK SC"/>
        </w:rPr>
        <w:t>Keywords: printed circuit board; defect detection; DeepPCB; YOLO11; small object detection; feature fusion</w:t>
      </w:r>
    </w:p>
    <w:p>
      <w:r>
        <w:rPr>
          <w:rFonts w:ascii="Noto Serif CJK SC" w:hAnsi="Noto Serif CJK SC" w:eastAsia="Noto Serif CJK SC" w:cs="Noto Serif CJK SC"/>
        </w:rPr>
        <w:br w:type="page"/>
      </w:r>
    </w:p>
    <w:p>
      <w:pPr>
        <w:pStyle w:val="1"/>
        <w:jc w:val="center"/>
      </w:pPr>
      <w:r>
        <w:rPr>
          <w:rFonts w:ascii="Noto Sans CJK SC" w:hAnsi="Noto Sans CJK SC" w:eastAsia="Noto Sans CJK SC" w:cs="Noto Sans CJK SC"/>
        </w:rPr>
        <w:t>目    录</w:t>
      </w:r>
    </w:p>
    <w:p>
      <w:pPr>
        <w:widowControl/>
        <w:tabs>
          <w:tab w:pos="7937" w:val="left"/>
        </w:tabs>
        <w:ind w:left="0"/>
      </w:pPr>
      <w:r>
        <w:rPr>
          <w:rFonts w:ascii="Noto Serif CJK SC" w:hAnsi="Noto Serif CJK SC" w:eastAsia="Noto Serif CJK SC" w:cs="Noto Serif CJK SC"/>
        </w:rPr>
      </w:r>
      <w:r>
        <w:rPr>
          <w:rFonts w:ascii="Noto Serif CJK SC" w:hAnsi="Noto Serif CJK SC" w:eastAsia="Noto Serif CJK SC" w:cs="Noto Serif CJK SC"/>
        </w:rPr>
        <w:t>第1章 绪论</w:t>
        <w:tab/>
      </w:r>
      <w:r>
        <w:rPr>
          <w:rFonts w:ascii="Noto Serif CJK SC" w:hAnsi="Noto Serif CJK SC" w:eastAsia="Noto Serif CJK SC" w:cs="Noto Serif CJK SC"/>
        </w:rPr>
        <w:t>5</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1.1 研究背景与意义</w:t>
        <w:tab/>
      </w:r>
      <w:r>
        <w:rPr>
          <w:rFonts w:ascii="Noto Serif CJK SC" w:hAnsi="Noto Serif CJK SC" w:eastAsia="Noto Serif CJK SC" w:cs="Noto Serif CJK SC"/>
        </w:rPr>
        <w:t>5</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1.2 国内外研究现状</w:t>
        <w:tab/>
      </w:r>
      <w:r>
        <w:rPr>
          <w:rFonts w:ascii="Noto Serif CJK SC" w:hAnsi="Noto Serif CJK SC" w:eastAsia="Noto Serif CJK SC" w:cs="Noto Serif CJK SC"/>
        </w:rPr>
        <w:t>6</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1.3 研究内容与技术路线</w:t>
        <w:tab/>
      </w:r>
      <w:r>
        <w:rPr>
          <w:rFonts w:ascii="Noto Serif CJK SC" w:hAnsi="Noto Serif CJK SC" w:eastAsia="Noto Serif CJK SC" w:cs="Noto Serif CJK SC"/>
        </w:rPr>
        <w:t>7</w:t>
      </w:r>
    </w:p>
    <w:p>
      <w:pPr>
        <w:widowControl/>
        <w:tabs>
          <w:tab w:pos="7937" w:val="left"/>
        </w:tabs>
        <w:ind w:left="0"/>
      </w:pPr>
      <w:r>
        <w:rPr>
          <w:rFonts w:ascii="Noto Serif CJK SC" w:hAnsi="Noto Serif CJK SC" w:eastAsia="Noto Serif CJK SC" w:cs="Noto Serif CJK SC"/>
        </w:rPr>
      </w:r>
      <w:r>
        <w:rPr>
          <w:rFonts w:ascii="Noto Serif CJK SC" w:hAnsi="Noto Serif CJK SC" w:eastAsia="Noto Serif CJK SC" w:cs="Noto Serif CJK SC"/>
        </w:rPr>
        <w:t>第2章 相关理论与技术</w:t>
        <w:tab/>
      </w:r>
      <w:r>
        <w:rPr>
          <w:rFonts w:ascii="Noto Serif CJK SC" w:hAnsi="Noto Serif CJK SC" w:eastAsia="Noto Serif CJK SC" w:cs="Noto Serif CJK SC"/>
        </w:rPr>
        <w:t>9</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2.1 目标检测与 YOLO11</w:t>
        <w:tab/>
      </w:r>
      <w:r>
        <w:rPr>
          <w:rFonts w:ascii="Noto Serif CJK SC" w:hAnsi="Noto Serif CJK SC" w:eastAsia="Noto Serif CJK SC" w:cs="Noto Serif CJK SC"/>
        </w:rPr>
        <w:t>9</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2.2 小目标与多尺度特征</w:t>
        <w:tab/>
      </w:r>
      <w:r>
        <w:rPr>
          <w:rFonts w:ascii="Noto Serif CJK SC" w:hAnsi="Noto Serif CJK SC" w:eastAsia="Noto Serif CJK SC" w:cs="Noto Serif CJK SC"/>
        </w:rPr>
        <w:t>10</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2.3 评价指标</w:t>
        <w:tab/>
      </w:r>
      <w:r>
        <w:rPr>
          <w:rFonts w:ascii="Noto Serif CJK SC" w:hAnsi="Noto Serif CJK SC" w:eastAsia="Noto Serif CJK SC" w:cs="Noto Serif CJK SC"/>
        </w:rPr>
        <w:t>11</w:t>
      </w:r>
    </w:p>
    <w:p>
      <w:pPr>
        <w:widowControl/>
        <w:tabs>
          <w:tab w:pos="7937" w:val="left"/>
        </w:tabs>
        <w:ind w:left="0"/>
      </w:pPr>
      <w:r>
        <w:rPr>
          <w:rFonts w:ascii="Noto Serif CJK SC" w:hAnsi="Noto Serif CJK SC" w:eastAsia="Noto Serif CJK SC" w:cs="Noto Serif CJK SC"/>
        </w:rPr>
      </w:r>
      <w:r>
        <w:rPr>
          <w:rFonts w:ascii="Noto Serif CJK SC" w:hAnsi="Noto Serif CJK SC" w:eastAsia="Noto Serif CJK SC" w:cs="Noto Serif CJK SC"/>
        </w:rPr>
        <w:t>第3章 DeepPCB 数据准备与基线</w:t>
        <w:tab/>
      </w:r>
      <w:r>
        <w:rPr>
          <w:rFonts w:ascii="Noto Serif CJK SC" w:hAnsi="Noto Serif CJK SC" w:eastAsia="Noto Serif CJK SC" w:cs="Noto Serif CJK SC"/>
        </w:rPr>
        <w:t>12</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3.1 数据来源与类别</w:t>
        <w:tab/>
      </w:r>
      <w:r>
        <w:rPr>
          <w:rFonts w:ascii="Noto Serif CJK SC" w:hAnsi="Noto Serif CJK SC" w:eastAsia="Noto Serif CJK SC" w:cs="Noto Serif CJK SC"/>
        </w:rPr>
        <w:t>12</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3.2 数据转换和划分</w:t>
        <w:tab/>
      </w:r>
      <w:r>
        <w:rPr>
          <w:rFonts w:ascii="Noto Serif CJK SC" w:hAnsi="Noto Serif CJK SC" w:eastAsia="Noto Serif CJK SC" w:cs="Noto Serif CJK SC"/>
        </w:rPr>
        <w:t>13</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3.3 基线训练方案</w:t>
        <w:tab/>
      </w:r>
      <w:r>
        <w:rPr>
          <w:rFonts w:ascii="Noto Serif CJK SC" w:hAnsi="Noto Serif CJK SC" w:eastAsia="Noto Serif CJK SC" w:cs="Noto Serif CJK SC"/>
        </w:rPr>
        <w:t>14</w:t>
      </w:r>
    </w:p>
    <w:p>
      <w:pPr>
        <w:widowControl/>
        <w:tabs>
          <w:tab w:pos="7937" w:val="left"/>
        </w:tabs>
        <w:ind w:left="0"/>
      </w:pPr>
      <w:r>
        <w:rPr>
          <w:rFonts w:ascii="Noto Serif CJK SC" w:hAnsi="Noto Serif CJK SC" w:eastAsia="Noto Serif CJK SC" w:cs="Noto Serif CJK SC"/>
        </w:rPr>
      </w:r>
      <w:r>
        <w:rPr>
          <w:rFonts w:ascii="Noto Serif CJK SC" w:hAnsi="Noto Serif CJK SC" w:eastAsia="Noto Serif CJK SC" w:cs="Noto Serif CJK SC"/>
        </w:rPr>
        <w:t>第4章 改进 YOLO11 的方法设计</w:t>
        <w:tab/>
      </w:r>
      <w:r>
        <w:rPr>
          <w:rFonts w:ascii="Noto Serif CJK SC" w:hAnsi="Noto Serif CJK SC" w:eastAsia="Noto Serif CJK SC" w:cs="Noto Serif CJK SC"/>
        </w:rPr>
        <w:t>16</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4.1 P2 小目标检测分支</w:t>
        <w:tab/>
      </w:r>
      <w:r>
        <w:rPr>
          <w:rFonts w:ascii="Noto Serif CJK SC" w:hAnsi="Noto Serif CJK SC" w:eastAsia="Noto Serif CJK SC" w:cs="Noto Serif CJK SC"/>
        </w:rPr>
        <w:t>16</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4.2 高分辨率双向加权融合</w:t>
        <w:tab/>
      </w:r>
      <w:r>
        <w:rPr>
          <w:rFonts w:ascii="Noto Serif CJK SC" w:hAnsi="Noto Serif CJK SC" w:eastAsia="Noto Serif CJK SC" w:cs="Noto Serif CJK SC"/>
        </w:rPr>
        <w:t>17</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4.3 模型实现与复杂度约束</w:t>
        <w:tab/>
      </w:r>
      <w:r>
        <w:rPr>
          <w:rFonts w:ascii="Noto Serif CJK SC" w:hAnsi="Noto Serif CJK SC" w:eastAsia="Noto Serif CJK SC" w:cs="Noto Serif CJK SC"/>
        </w:rPr>
        <w:t>18</w:t>
      </w:r>
    </w:p>
    <w:p>
      <w:pPr>
        <w:widowControl/>
        <w:tabs>
          <w:tab w:pos="7937" w:val="left"/>
        </w:tabs>
        <w:ind w:left="0"/>
      </w:pPr>
      <w:r>
        <w:rPr>
          <w:rFonts w:ascii="Noto Serif CJK SC" w:hAnsi="Noto Serif CJK SC" w:eastAsia="Noto Serif CJK SC" w:cs="Noto Serif CJK SC"/>
        </w:rPr>
      </w:r>
      <w:r>
        <w:rPr>
          <w:rFonts w:ascii="Noto Serif CJK SC" w:hAnsi="Noto Serif CJK SC" w:eastAsia="Noto Serif CJK SC" w:cs="Noto Serif CJK SC"/>
        </w:rPr>
        <w:t>第5章 实验设计与待实测结果</w:t>
        <w:tab/>
      </w:r>
      <w:r>
        <w:rPr>
          <w:rFonts w:ascii="Noto Serif CJK SC" w:hAnsi="Noto Serif CJK SC" w:eastAsia="Noto Serif CJK SC" w:cs="Noto Serif CJK SC"/>
        </w:rPr>
        <w:t>20</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5.1 实验条件与对照设置</w:t>
        <w:tab/>
      </w:r>
      <w:r>
        <w:rPr>
          <w:rFonts w:ascii="Noto Serif CJK SC" w:hAnsi="Noto Serif CJK SC" w:eastAsia="Noto Serif CJK SC" w:cs="Noto Serif CJK SC"/>
        </w:rPr>
        <w:t>20</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5.2 消融与对比实验</w:t>
        <w:tab/>
      </w:r>
      <w:r>
        <w:rPr>
          <w:rFonts w:ascii="Noto Serif CJK SC" w:hAnsi="Noto Serif CJK SC" w:eastAsia="Noto Serif CJK SC" w:cs="Noto Serif CJK SC"/>
        </w:rPr>
        <w:t>21</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5.3 误差分析与可复现性</w:t>
        <w:tab/>
      </w:r>
      <w:r>
        <w:rPr>
          <w:rFonts w:ascii="Noto Serif CJK SC" w:hAnsi="Noto Serif CJK SC" w:eastAsia="Noto Serif CJK SC" w:cs="Noto Serif CJK SC"/>
        </w:rPr>
        <w:t>23</w:t>
      </w:r>
    </w:p>
    <w:p>
      <w:pPr>
        <w:widowControl/>
        <w:tabs>
          <w:tab w:pos="7937" w:val="left"/>
        </w:tabs>
        <w:ind w:left="0"/>
      </w:pPr>
      <w:r>
        <w:rPr>
          <w:rFonts w:ascii="Noto Serif CJK SC" w:hAnsi="Noto Serif CJK SC" w:eastAsia="Noto Serif CJK SC" w:cs="Noto Serif CJK SC"/>
        </w:rPr>
      </w:r>
      <w:r>
        <w:rPr>
          <w:rFonts w:ascii="Noto Serif CJK SC" w:hAnsi="Noto Serif CJK SC" w:eastAsia="Noto Serif CJK SC" w:cs="Noto Serif CJK SC"/>
        </w:rPr>
        <w:t>第6章 总结与展望</w:t>
        <w:tab/>
      </w:r>
      <w:r>
        <w:rPr>
          <w:rFonts w:ascii="Noto Serif CJK SC" w:hAnsi="Noto Serif CJK SC" w:eastAsia="Noto Serif CJK SC" w:cs="Noto Serif CJK SC"/>
        </w:rPr>
        <w:t>25</w:t>
      </w:r>
    </w:p>
    <w:p>
      <w:pPr>
        <w:widowControl/>
        <w:tabs>
          <w:tab w:pos="7937" w:val="left"/>
        </w:tabs>
        <w:ind w:left="0"/>
      </w:pPr>
      <w:r>
        <w:rPr>
          <w:rFonts w:ascii="Noto Serif CJK SC" w:hAnsi="Noto Serif CJK SC" w:eastAsia="Noto Serif CJK SC" w:cs="Noto Serif CJK SC"/>
        </w:rPr>
      </w:r>
      <w:r>
        <w:rPr>
          <w:rFonts w:ascii="Noto Serif CJK SC" w:hAnsi="Noto Serif CJK SC" w:eastAsia="Noto Serif CJK SC" w:cs="Noto Serif CJK SC"/>
        </w:rPr>
        <w:t>参考文献</w:t>
        <w:tab/>
      </w:r>
      <w:r>
        <w:rPr>
          <w:rFonts w:ascii="Noto Serif CJK SC" w:hAnsi="Noto Serif CJK SC" w:eastAsia="Noto Serif CJK SC" w:cs="Noto Serif CJK SC"/>
        </w:rPr>
        <w:t>27</w:t>
      </w:r>
    </w:p>
    <w:p>
      <w:r>
        <w:rPr>
          <w:rFonts w:ascii="Noto Serif CJK SC" w:hAnsi="Noto Serif CJK SC" w:eastAsia="Noto Serif CJK SC" w:cs="Noto Serif CJK SC"/>
        </w:rPr>
        <w:br w:type="page"/>
      </w:r>
    </w:p>
    <w:p>
      <w:pPr>
        <w:pStyle w:val="1"/>
        <w:pageBreakBefore/>
        <w:jc w:val="center"/>
      </w:pPr>
      <w:r>
        <w:rPr>
          <w:rFonts w:ascii="Noto Sans CJK SC" w:hAnsi="Noto Sans CJK SC" w:eastAsia="Noto Sans CJK SC" w:cs="Noto Sans CJK SC"/>
        </w:rPr>
        <w:t>第1章 绪论</w:t>
      </w:r>
    </w:p>
    <w:p>
      <w:pPr>
        <w:pStyle w:val="21"/>
      </w:pPr>
      <w:r>
        <w:rPr>
          <w:rFonts w:ascii="Noto Sans CJK SC" w:hAnsi="Noto Sans CJK SC" w:eastAsia="Noto Sans CJK SC" w:cs="Noto Sans CJK SC"/>
        </w:rPr>
        <w:t>1.1 研究背景与意义</w:t>
      </w:r>
    </w:p>
    <w:p>
      <w:pPr>
        <w:spacing w:line="341" w:lineRule="auto" w:after="0"/>
        <w:ind w:firstLine="420"/>
      </w:pPr>
      <w:r>
        <w:t>在实际工位中，漏检通常会导致不合格板流入后续工序，误检则会增加人工复核和返工成本。断路和短路的面积很小，但其电气后果可能比面积较大的外观缺陷更严重，所以本文把这两类缺陷作为重点观察对象。模型若提高了总体 mAP，却牺牲了短路召回率，仍不能直接认为满足检测要求。后续实验将通过分类别召回率和错误案例共同判断模型是否具有实际价值。</w:t>
      </w:r>
    </w:p>
    <w:p>
      <w:pPr>
        <w:widowControl/>
        <w:ind w:firstLine="420"/>
      </w:pPr>
      <w:r>
        <w:rPr>
          <w:rFonts w:ascii="Noto Serif CJK SC" w:hAnsi="Noto Serif CJK SC" w:eastAsia="Noto Serif CJK SC" w:cs="Noto Serif CJK SC"/>
        </w:rPr>
        <w:t>印刷电路板承担电子器件的电气连接和机械支撑。表面线路制作、蚀刻和后处理中的局部异常可能形成断路、短路、针孔等缺陷。随着线宽和间距缩小，缺陷与正常纹理的差异趋于细微，人工目检难以持续满足一致性与速度要求。因此，研究能够兼顾定位精度与推理效率的自动检测方法具有实际意义。</w:t>
      </w:r>
    </w:p>
    <w:p>
      <w:pPr>
        <w:widowControl/>
        <w:ind w:firstLine="420"/>
      </w:pPr>
      <w:r>
        <w:rPr>
          <w:rFonts w:ascii="Noto Serif CJK SC" w:hAnsi="Noto Serif CJK SC" w:eastAsia="Noto Serif CJK SC" w:cs="Noto Serif CJK SC"/>
        </w:rPr>
        <w:t>传统模板比对需要稳定配准，复杂光照、成像噪声和板面差异会影响阈值设定；学习式目标检测能够从标注数据中提取缺陷特征，但小目标容易在下采样中丢失。DeepPCB 提供成对、已配准的图像与六类缺陷标注，为结构改进和受控比较提供了可用基础[1]。其样本含人工增补的缺陷，数据集结果与真实生产场景之间仍需额外验证。</w:t>
      </w:r>
    </w:p>
    <w:p>
      <w:pPr>
        <w:pStyle w:val="21"/>
        <w:keepNext/>
      </w:pPr>
      <w:r>
        <w:t>1.1.1 PCB 表面检测的生产流程</w:t>
      </w:r>
    </w:p>
    <w:p>
      <w:pPr>
        <w:spacing w:line="341" w:lineRule="auto" w:after="0"/>
        <w:ind w:firstLine="420"/>
      </w:pPr>
      <w:r>
        <w:t>典型的 PCB 表面检测流程包括板面清洁、光学成像、图像校正、缺陷定位、人工复核和结果追溯。相机采集的图像需要先完成畸变校正和亮度归一化，使同一线路在不同位置具有相近的外观。检测模型输出的类别、位置和置信度随后被写入质量记录，并与板号、批次号和工位号关联。由此可见，模型的评价不能只看单一精度数字，还要关注推理延迟、输出稳定性、误报后的复核工作量以及结果能否被保存和复查。</w:t>
      </w:r>
    </w:p>
    <w:p>
      <w:pPr>
        <w:pStyle w:val="21"/>
        <w:keepNext/>
      </w:pPr>
      <w:r>
        <w:t>1.1.2 研究问题的界定</w:t>
      </w:r>
    </w:p>
    <w:p>
      <w:pPr>
        <w:spacing w:line="341" w:lineRule="auto" w:after="0"/>
        <w:ind w:firstLine="420"/>
      </w:pPr>
      <w:r>
        <w:t>本文解决的是已裁剪、已标注的 PCB 图像中的目标检测问题，输入为 DeepPCB 的待检图，输出为六类缺陷的矩形框和类别。研究不把模板差分、缺陷分割、真实产线相机标定和自动剔除机构混入主要结论。模板图可以作为后续扩展输入，但一旦使用模板信息，就必须建立同样使用模板的基线。通过限定问题边界，可以使结构改进带来的变化与输入信息变化区分开。</w:t>
      </w:r>
    </w:p>
    <w:p>
      <w:pPr>
        <w:pStyle w:val="21"/>
      </w:pPr>
      <w:r>
        <w:rPr>
          <w:rFonts w:ascii="Noto Sans CJK SC" w:hAnsi="Noto Sans CJK SC" w:eastAsia="Noto Sans CJK SC" w:cs="Noto Sans CJK SC"/>
        </w:rPr>
        <w:t>1.2 国内外研究现状</w:t>
      </w:r>
    </w:p>
    <w:p>
      <w:pPr>
        <w:pStyle w:val="31"/>
      </w:pPr>
      <w:r>
        <w:rPr>
          <w:rFonts w:ascii="Noto Sans CJK SC" w:hAnsi="Noto Sans CJK SC" w:eastAsia="Noto Sans CJK SC" w:cs="Noto Sans CJK SC"/>
        </w:rPr>
        <w:t>1.2.1 多尺度目标检测</w:t>
      </w:r>
    </w:p>
    <w:p>
      <w:pPr>
        <w:widowControl/>
        <w:ind w:firstLine="420"/>
      </w:pPr>
      <w:r>
        <w:rPr>
          <w:rFonts w:ascii="Noto Serif CJK SC" w:hAnsi="Noto Serif CJK SC" w:eastAsia="Noto Serif CJK SC" w:cs="Noto Serif CJK SC"/>
        </w:rPr>
        <w:t>YOLO 系列将检测建模为端到端的视觉预测问题，推动了实时检测方法的发展[2]。特征金字塔网络（FPN）通过自顶向下的语义传播改善不同尺度目标的识别[3]；路径聚合网络（PANet）进一步强化自底向上的信息流动[4]。EfficientDet 提出的 BiFPN 使用双向路径与归一化可学习权重，以较低代价整合多尺度特征[5]。这些研究说明：浅层分辨率与深层语义能否有效结合，是小缺陷检测的重要问题。</w:t>
      </w:r>
    </w:p>
    <w:p>
      <w:pPr>
        <w:pStyle w:val="31"/>
      </w:pPr>
      <w:r>
        <w:rPr>
          <w:rFonts w:ascii="Noto Sans CJK SC" w:hAnsi="Noto Sans CJK SC" w:eastAsia="Noto Sans CJK SC" w:cs="Noto Sans CJK SC"/>
        </w:rPr>
        <w:t>1.2.2 小目标定位与推理方法</w:t>
      </w:r>
    </w:p>
    <w:p>
      <w:pPr>
        <w:widowControl/>
        <w:ind w:firstLine="420"/>
      </w:pPr>
      <w:r>
        <w:rPr>
          <w:rFonts w:ascii="Noto Serif CJK SC" w:hAnsi="Noto Serif CJK SC" w:eastAsia="Noto Serif CJK SC" w:cs="Noto Serif CJK SC"/>
        </w:rPr>
        <w:t>小目标包围框面积较小，相同的像素偏移可能导致更明显的交并比下降。基于归一化 Wasserstein 距离的研究尝试缓解这一问题[6]。切片辅助推理 SAHI 通过局部放大提升大图中微小目标的可见度[7]，但增加切片、合并和推理时间。高分辨率表示网络通过保持高分辨率分支与多尺度交互强化空间信息[8]；CBAM 则通过通道和空间注意力增强特征[9]。上述技术为 PCB 小缺陷检测提供启发，其在 DeepPCB 上的收益和代价仍须通过统一实验确认。</w:t>
      </w:r>
    </w:p>
    <w:p>
      <w:pPr>
        <w:pStyle w:val="31"/>
      </w:pPr>
      <w:r>
        <w:rPr>
          <w:rFonts w:ascii="Noto Sans CJK SC" w:hAnsi="Noto Sans CJK SC" w:eastAsia="Noto Sans CJK SC" w:cs="Noto Sans CJK SC"/>
        </w:rPr>
        <w:t>1.2.3 PCB 缺陷检测与研究空缺</w:t>
      </w:r>
    </w:p>
    <w:p>
      <w:pPr>
        <w:widowControl/>
        <w:ind w:firstLine="420"/>
      </w:pPr>
      <w:r>
        <w:rPr>
          <w:rFonts w:ascii="Noto Serif CJK SC" w:hAnsi="Noto Serif CJK SC" w:eastAsia="Noto Serif CJK SC" w:cs="Noto Serif CJK SC"/>
        </w:rPr>
        <w:t>DeepPCB 的待检图和模板图为已配准图像对，标注覆盖断路、短路、鼠咬、毛刺、杂铜及针孔[1]。部分既有 PCB 研究使用的类别集合、图像大小和评价协议不同，直接横向比较其报告数值并不可靠。YOLO11 的官方实现以 C3k2、C2PSA 等模块构成主干与颈部，原始检测输出主要为 P3、P4、P5 三个尺度[10]。本研究拟在固定版本和数据协议下检验 P2 与高分辨率融合的独立贡献，并记录精度与延迟之间的取舍。</w:t>
      </w:r>
    </w:p>
    <w:p>
      <w:pPr>
        <w:pStyle w:val="21"/>
        <w:keepNext/>
      </w:pPr>
      <w:r>
        <w:t>1.2.4 不同检测路线的比较</w:t>
      </w:r>
    </w:p>
    <w:p>
      <w:pPr>
        <w:spacing w:line="341" w:lineRule="auto" w:after="0"/>
        <w:ind w:firstLine="420"/>
      </w:pPr>
      <w:r>
        <w:t>模板比对方法利用正常模板和待测板之间的差异，具有直观、易解释的优点，但对配准误差、光照变化和线路位置偏移较为敏感。传统图像处理方法可以通过边缘、阈值和形态学运算定位规则异常，参数设置通常需要针对板型调整。两阶段检测器先产生候选区域再分类，定位能力较强但推理链路较长。一阶段检测器把候选生成和分类回归放在同一网络中，便于在边缘设备上保持较低延迟。本文选择 YOLO11 作为统一基线，重点讨论它在小缺陷场景下的尺度表达问题。</w:t>
      </w:r>
    </w:p>
    <w:p>
      <w:pPr>
        <w:spacing w:line="341" w:lineRule="auto" w:after="0"/>
        <w:ind w:firstLine="420"/>
      </w:pPr>
      <w:r>
        <w:t>不同研究使用的数据集、类别定义和 IoU 阈值差异很大。例如，同样称为针孔或漏孔的类别，可能对应不同的标注规则；同样的 mAP 数字也可能来自 0.5 或 0.5:0.95 的不同阈值范围。因此，本文不把其他项目 README 中的指标直接当作对照结果，而是只借鉴其数据转换和工程实现思路。所有能写入论文结论的数字都来自本研究固定清单和保存的评估日志。</w:t>
      </w:r>
    </w:p>
    <w:p>
      <w:pPr>
        <w:pStyle w:val="21"/>
      </w:pPr>
      <w:r>
        <w:rPr>
          <w:rFonts w:ascii="Noto Sans CJK SC" w:hAnsi="Noto Sans CJK SC" w:eastAsia="Noto Sans CJK SC" w:cs="Noto Sans CJK SC"/>
        </w:rPr>
        <w:t>1.3 研究内容与技术路线</w:t>
      </w:r>
    </w:p>
    <w:p>
      <w:pPr>
        <w:widowControl/>
        <w:ind w:firstLine="420"/>
      </w:pPr>
      <w:r>
        <w:t>本文工作分为四步：第一，核对 DeepPCB 官方数据清单、类别编号与图像对应关系，建立可复现的数据转换流程；第二，训练固定版本的 YOLO11n 基线；第三，分别设计 P2 分支和双向加权融合，并通过四组消融实验分析各自贡献；第四，从类别、目标面积、漏检类型和部署开销多个角度评价模型。目前仅完成一次预备训练；本稿将未运行的融合消融项目列为待实测。</w:t>
      </w:r>
    </w:p>
    <w:p>
      <w:pPr>
        <w:keepNext/>
        <w:widowControl/>
        <w:jc w:val="center"/>
      </w:pPr>
      <w:r>
        <w:rPr>
          <w:rFonts w:ascii="Noto Serif CJK SC" w:hAnsi="Noto Serif CJK SC" w:eastAsia="Noto Serif CJK SC" w:cs="Noto Serif CJK SC"/>
          <w:sz w:val="21"/>
        </w:rPr>
        <w:t>图1-1 研究技术路线（文字及框图均可编辑）</w:t>
      </w:r>
    </w:p>
    <w:tbl>
      <w:tblPr>
        <w:tblStyle w:val="aff1"/>
        <w:tblW w:type="auto" w:w="0"/>
        <w:jc w:val="center"/>
        <w:tblLayout w:type="autofit"/>
        <w:tblLook w:firstColumn="1" w:firstRow="1" w:lastColumn="0" w:lastRow="0" w:noHBand="0" w:noVBand="1" w:val="04A0"/>
      </w:tblPr>
      <w:tblGrid>
        <w:gridCol w:w="2197"/>
        <w:gridCol w:w="2197"/>
        <w:gridCol w:w="2197"/>
        <w:gridCol w:w="2197"/>
      </w:tblGrid>
      <w:tr>
        <w:trPr>
          <w:cantSplit/>
          <w:tblHeader w:val="true"/>
        </w:trPr>
        <w:tc>
          <w:tcPr>
            <w:tcW w:type="dxa" w:w="2197"/>
            <w:vAlign w:val="center"/>
          </w:tcPr>
          <w:p>
            <w:r>
              <w:rPr>
                <w:b/>
              </w:rPr>
              <w:t>数据准备</w:t>
            </w:r>
          </w:p>
        </w:tc>
        <w:tc>
          <w:tcPr>
            <w:tcW w:type="dxa" w:w="2197"/>
            <w:vAlign w:val="center"/>
          </w:tcPr>
          <w:p>
            <w:r>
              <w:rPr>
                <w:b/>
              </w:rPr>
              <w:t>模型设计</w:t>
            </w:r>
          </w:p>
        </w:tc>
        <w:tc>
          <w:tcPr>
            <w:tcW w:type="dxa" w:w="2197"/>
            <w:vAlign w:val="center"/>
          </w:tcPr>
          <w:p>
            <w:r>
              <w:rPr>
                <w:b/>
              </w:rPr>
              <w:t>训练验证</w:t>
            </w:r>
          </w:p>
        </w:tc>
        <w:tc>
          <w:tcPr>
            <w:tcW w:type="dxa" w:w="2197"/>
            <w:vAlign w:val="center"/>
          </w:tcPr>
          <w:p>
            <w:r>
              <w:rPr>
                <w:b/>
              </w:rPr>
              <w:t>测试分析</w:t>
            </w:r>
          </w:p>
        </w:tc>
      </w:tr>
      <w:tr>
        <w:trPr>
          <w:cantSplit/>
        </w:trPr>
        <w:tc>
          <w:tcPr>
            <w:tcW w:type="dxa" w:w="2197"/>
            <w:vAlign w:val="center"/>
          </w:tcPr>
          <w:p>
            <w:pPr>
              <w:spacing w:line="276" w:lineRule="auto" w:after="40"/>
            </w:pPr>
            <w:r>
              <w:rPr>
                <w:sz w:val="21"/>
              </w:rPr>
              <w:t>官方清单与六类标注</w:t>
              <w:br/>
              <w:t>先划分后增强</w:t>
            </w:r>
          </w:p>
        </w:tc>
        <w:tc>
          <w:tcPr>
            <w:tcW w:type="dxa" w:w="2197"/>
            <w:vAlign w:val="center"/>
          </w:tcPr>
          <w:p>
            <w:pPr>
              <w:spacing w:line="276" w:lineRule="auto" w:after="40"/>
            </w:pPr>
            <w:r>
              <w:rPr>
                <w:sz w:val="21"/>
              </w:rPr>
              <w:t>A 基线；B 加 P2</w:t>
              <w:br/>
              <w:t>C 加融合；D 联合</w:t>
            </w:r>
          </w:p>
        </w:tc>
        <w:tc>
          <w:tcPr>
            <w:tcW w:type="dxa" w:w="2197"/>
            <w:vAlign w:val="center"/>
          </w:tcPr>
          <w:p>
            <w:pPr>
              <w:spacing w:line="276" w:lineRule="auto" w:after="40"/>
            </w:pPr>
            <w:r>
              <w:rPr>
                <w:sz w:val="21"/>
              </w:rPr>
              <w:t>统一参数和随机种子</w:t>
              <w:br/>
              <w:t>仅用验证集选模</w:t>
            </w:r>
          </w:p>
        </w:tc>
        <w:tc>
          <w:tcPr>
            <w:tcW w:type="dxa" w:w="2197"/>
            <w:vAlign w:val="center"/>
          </w:tcPr>
          <w:p>
            <w:pPr>
              <w:spacing w:line="276" w:lineRule="auto" w:after="40"/>
            </w:pPr>
            <w:r>
              <w:rPr>
                <w:sz w:val="21"/>
              </w:rPr>
              <w:t>官方测试集一次评估</w:t>
              <w:br/>
              <w:t>精度、召回与延迟</w:t>
            </w:r>
          </w:p>
        </w:tc>
      </w:tr>
    </w:tbl>
    <w:p>
      <w:pPr>
        <w:widowControl/>
      </w:pPr>
      <w:r>
        <w:rPr>
          <w:rFonts w:ascii="Noto Serif CJK SC" w:hAnsi="Noto Serif CJK SC" w:eastAsia="Noto Serif CJK SC" w:cs="Noto Serif CJK SC"/>
        </w:rPr>
      </w:r>
    </w:p>
    <w:p>
      <w:pPr>
        <w:pStyle w:val="21"/>
      </w:pPr>
      <w:r>
        <w:rPr>
          <w:rFonts w:ascii="Noto Sans CJK SC" w:hAnsi="Noto Sans CJK SC" w:eastAsia="Noto Sans CJK SC" w:cs="Noto Sans CJK SC"/>
        </w:rPr>
        <w:t>1.4 章节安排</w:t>
      </w:r>
    </w:p>
    <w:p>
      <w:pPr>
        <w:widowControl/>
        <w:ind w:firstLine="420"/>
      </w:pPr>
      <w:r>
        <w:rPr>
          <w:rFonts w:ascii="Noto Serif CJK SC" w:hAnsi="Noto Serif CJK SC" w:eastAsia="Noto Serif CJK SC" w:cs="Noto Serif CJK SC"/>
        </w:rPr>
        <w:t>第1章说明研究背景与问题；第2章介绍 YOLO11、多尺度理论和评价指标；第3章给出 DeepPCB 数据及基线训练方案；第4章说明结构改进；第5章规定消融、对比和误差分析方法，并留出待实测结果；第6章总结已完成的研究设计与后续工作。</w:t>
      </w:r>
    </w:p>
    <w:p>
      <w:pPr>
        <w:pStyle w:val="1"/>
        <w:pageBreakBefore/>
        <w:jc w:val="center"/>
      </w:pPr>
      <w:r>
        <w:rPr>
          <w:rFonts w:ascii="Noto Sans CJK SC" w:hAnsi="Noto Sans CJK SC" w:eastAsia="Noto Sans CJK SC" w:cs="Noto Sans CJK SC"/>
        </w:rPr>
        <w:t>第2章 相关理论与技术</w:t>
      </w:r>
    </w:p>
    <w:p>
      <w:pPr>
        <w:pStyle w:val="21"/>
      </w:pPr>
      <w:r>
        <w:rPr>
          <w:rFonts w:ascii="Noto Sans CJK SC" w:hAnsi="Noto Sans CJK SC" w:eastAsia="Noto Sans CJK SC" w:cs="Noto Sans CJK SC"/>
        </w:rPr>
        <w:t>2.1 目标检测与 YOLO11</w:t>
      </w:r>
    </w:p>
    <w:p>
      <w:pPr>
        <w:pStyle w:val="21"/>
        <w:keepNext/>
      </w:pPr>
      <w:r>
        <w:t>2.1.1 YOLO11 的网络组成</w:t>
      </w:r>
    </w:p>
    <w:p>
      <w:pPr>
        <w:spacing w:line="341" w:lineRule="auto" w:after="0"/>
        <w:ind w:firstLine="420"/>
      </w:pPr>
      <w:r>
        <w:t>YOLO11 的主干先通过步长为 2 的卷积逐步降低空间分辨率，再用 C3k2 模块进行特征提取。C3k2 通过部分通道处理和跨层连接平衡了表达能力与计算量；SPPF 在较低分辨率上扩大有效感受野；C2PSA 用于加强通道和空间方向的特征交互。颈部网络将深层语义特征逐级上采样，并与主干的浅层特征拼接，再通过卷积块完成融合。检测头在不同步长上同时回归边界框和分类概率。</w:t>
      </w:r>
    </w:p>
    <w:p>
      <w:pPr>
        <w:spacing w:line="341" w:lineRule="auto" w:after="0"/>
        <w:ind w:firstLine="420"/>
      </w:pPr>
      <w:r>
        <w:t>从张量尺寸看，640 输入经过步长 8、16、32 的路径后得到三个检测尺度。深层尺度包含更强的语义信息，适合识别较大的缺陷；浅层尺度具有更多边缘和纹理细节，但也更容易受到线路背景干扰。P2 方案的基本动机是在主干输出的步长 4 特征上增加预测，使极小缺陷在进入检测头前保留更细的空间位置。这个改动同时增加了特征图面积和候选数量，因此必须配合效率测试。</w:t>
      </w:r>
    </w:p>
    <w:p>
      <w:pPr>
        <w:pStyle w:val="21"/>
        <w:keepNext/>
      </w:pPr>
      <w:r>
        <w:t>2.1.2 边界框回归与分类的关系</w:t>
      </w:r>
    </w:p>
    <w:p>
      <w:pPr>
        <w:spacing w:line="341" w:lineRule="auto" w:after="0"/>
        <w:ind w:firstLine="420"/>
      </w:pPr>
      <w:r>
        <w:t>检测模型的训练损失通常由分类、边界框回归和分布焦点损失组成。分类分支回答目标属于哪一类，回归分支回答目标位于何处，二者共享特征但评价方式不同。当缺陷面积很小，框中心只偏移几个像素就可能使 IoU 明显变化；当类别外观相似时，位置正确也可能发生类别混淆。因此，本文分别报告分类别 AP、召回率和定位相关的 mAP 区间，不用单一损失值代替测试集评价。</w:t>
      </w:r>
    </w:p>
    <w:p>
      <w:pPr>
        <w:widowControl/>
        <w:ind w:firstLine="420"/>
      </w:pPr>
      <w:r>
        <w:rPr>
          <w:rFonts w:ascii="Noto Serif CJK SC" w:hAnsi="Noto Serif CJK SC" w:eastAsia="Noto Serif CJK SC" w:cs="Noto Serif CJK SC"/>
        </w:rPr>
        <w:t>目标检测同时预测类别与边界框。YOLO11 是 Ultralytics 的一阶段检测模型。本研究拟固定 Ultralytics v8.3.0 的 YOLO11n 配置及软件版本，记录训练时的代码提交、权重来源与环境信息[10]。在该配置中，主干使用 Conv、C3k2、SPPF 和 C2PSA 等模块，颈部通过上采样与跨层融合输出多尺度特征；标准检测头输出 P3/8、P4/16、P5/32。</w:t>
      </w:r>
    </w:p>
    <w:p>
      <w:pPr>
        <w:widowControl/>
        <w:ind w:firstLine="420"/>
      </w:pPr>
      <w:r>
        <w:rPr>
          <w:rFonts w:ascii="Noto Serif CJK SC" w:hAnsi="Noto Serif CJK SC" w:eastAsia="Noto Serif CJK SC" w:cs="Noto Serif CJK SC"/>
        </w:rPr>
        <w:t>以 640×640 输入为例，三个尺度的空间网格分别约为 80×80、40×40、20×20。若某缺陷宽度仅为数像素，其在步长 8 的特征图上可能不足一个网格。步长为 4 的 P2 特征图约为 160×160，可以保留更多局部位置线索，但也会增加特征图存储和计算开销。P2 与高分辨率融合是否带来净收益，须以相同训练及测速条件测定。</w:t>
      </w:r>
    </w:p>
    <w:p>
      <w:pPr>
        <w:pStyle w:val="21"/>
      </w:pPr>
      <w:r>
        <w:rPr>
          <w:rFonts w:ascii="Noto Sans CJK SC" w:hAnsi="Noto Sans CJK SC" w:eastAsia="Noto Sans CJK SC" w:cs="Noto Sans CJK SC"/>
        </w:rPr>
        <w:t>2.2 小目标与多尺度特征</w:t>
      </w:r>
    </w:p>
    <w:p>
      <w:pPr>
        <w:pStyle w:val="21"/>
        <w:keepNext/>
      </w:pPr>
      <w:r>
        <w:t>2.2.1 下采样对细小缺陷的影响</w:t>
      </w:r>
    </w:p>
    <w:p>
      <w:pPr>
        <w:spacing w:line="341" w:lineRule="auto" w:after="0"/>
        <w:ind w:firstLine="420"/>
      </w:pPr>
      <w:r>
        <w:t>下采样能够降低计算量并扩大感受野，但也会压缩细线、尖角和针孔边缘等局部结构。假设输入中缺陷宽度为 d 个像素，在步长 s 的特征图上，其理论宽度约为 d/s。宽度接近一个网格甚至更小时，卷积和插值过程中的取整会使缺陷响应与背景线路混合。增加 P2 并不能恢复采集阶段已经丢失的细节，但能够减少网络内部过早下采样造成的额外信息损失。</w:t>
      </w:r>
    </w:p>
    <w:p>
      <w:pPr>
        <w:spacing w:line="341" w:lineRule="auto" w:after="0"/>
        <w:ind w:firstLine="420"/>
      </w:pPr>
      <w:r>
        <w:t>高分辨率分支也会带来背景噪声放大的风险。PCB 线路具有大量重复纹理，浅层特征可能把正常焊盘边缘误认为缺陷。实际判断 P2 是否有效时，应比较断路、短路的召回与 spur、copper 等类别的误检变化，并观察混淆矩阵，而不是只比较总体 AP。</w:t>
      </w:r>
    </w:p>
    <w:p>
      <w:pPr>
        <w:widowControl/>
        <w:ind w:firstLine="420"/>
      </w:pPr>
      <w:r>
        <w:rPr>
          <w:rFonts w:ascii="Noto Serif CJK SC" w:hAnsi="Noto Serif CJK SC" w:eastAsia="Noto Serif CJK SC" w:cs="Noto Serif CJK SC"/>
        </w:rPr>
        <w:t>FPN 的自顶向下连接有助于为浅层特征注入语义；PANet 的自底向上连接则缩短定位信息向深层传播的路径[3-4]。BiFPN 借鉴这两类路径，在同尺度输入对齐后采用可学习、归一化的融合权重[5]。本文将其作为结构依据，设计适用于 P2 至 P5 的融合节点。这里的权重是训练得到的参数；若需每张图像自适应生成权重，必须另行实现与验证。</w:t>
      </w:r>
    </w:p>
    <w:p>
      <w:pPr>
        <w:widowControl/>
        <w:ind w:firstLine="420"/>
      </w:pPr>
      <w:r>
        <w:rPr>
          <w:rFonts w:ascii="Noto Serif CJK SC" w:hAnsi="Noto Serif CJK SC" w:eastAsia="Noto Serif CJK SC" w:cs="Noto Serif CJK SC"/>
        </w:rPr>
        <w:t>对于小框，可按目标面积与输入图像面积之比划分尺度，并单独观察召回。与只观察总体 mAP 相比，分类别、分面积统计更容易发现模型是否仅提高了较大的鼠咬或杂铜目标，而对断路、短路仍存在漏检。面积阈值应在查看测试结果之前确定并记录，避免事后选择有利阈值。</w:t>
      </w:r>
    </w:p>
    <w:p>
      <w:pPr>
        <w:pStyle w:val="21"/>
      </w:pPr>
      <w:r>
        <w:rPr>
          <w:rFonts w:ascii="Noto Sans CJK SC" w:hAnsi="Noto Sans CJK SC" w:eastAsia="Noto Sans CJK SC" w:cs="Noto Sans CJK SC"/>
        </w:rPr>
        <w:t>2.3 评价指标</w:t>
      </w:r>
    </w:p>
    <w:p>
      <w:pPr>
        <w:pStyle w:val="21"/>
        <w:keepNext/>
      </w:pPr>
      <w:r>
        <w:t>2.3.1 指标的计算与报告原则</w:t>
      </w:r>
    </w:p>
    <w:p>
      <w:pPr>
        <w:spacing w:line="341" w:lineRule="auto" w:after="0"/>
        <w:ind w:firstLine="420"/>
      </w:pPr>
      <w:r>
        <w:t>本文在固定置信度排序规则下计算每一类的精确率和召回率，再由 P–R 曲线求 AP。mAP@0.5 只使用 IoU 大于或等于 0.5 的匹配，mAP@0.5:0.95 则在 0.5 至 0.95 的多个阈值上平均。DeepPCB 原作者的 IoU 大于 0.33 协议另行记录，不能把它和 COCO 风格的 mAP 混在同一列。报告中还要写清是否使用类别无关 NMS、最大检测框数量和置信度阈值。</w:t>
      </w:r>
    </w:p>
    <w:p>
      <w:pPr>
        <w:spacing w:line="341" w:lineRule="auto" w:after="0"/>
        <w:ind w:firstLine="420"/>
      </w:pPr>
      <w:r>
        <w:t>为了避免抽样波动掩盖真实差异，正式实验计划使用多个随机种子，报告均值、标准差和每个类别的样本数。若某类样本量较少，AP 的变化可能来自少量图像中的几个框，论文应配合典型案例解释。效率指标也要固定设备、输入尺寸、精度、预热次数和计时范围；本次预备实验的 CPU 时间只用于链路核验，不能外推到 GPU 产线帧率。</w:t>
      </w:r>
    </w:p>
    <w:p>
      <w:pPr>
        <w:widowControl/>
        <w:ind w:firstLine="420"/>
      </w:pPr>
      <w:r>
        <w:rPr>
          <w:rFonts w:ascii="Noto Serif CJK SC" w:hAnsi="Noto Serif CJK SC" w:eastAsia="Noto Serif CJK SC" w:cs="Noto Serif CJK SC"/>
        </w:rPr>
        <w:t>预测框与标注框的交并比（IoU）用于判定位置匹配，精确率与召回率分别衡量误检和漏检。对每个类别按置信度排序形成 P–R 曲线，AP 为其面积，mAP 为类别 AP 的平均。本文报告 mAP@0.5、mAP@0.5:0.95，以及六类 AP 和召回率；AP 的插值实现和库版本须随实验记录。</w:t>
      </w:r>
    </w:p>
    <w:p>
      <w:pPr>
        <w:widowControl/>
        <w:ind w:firstLine="420"/>
      </w:pPr>
      <w:r>
        <w:rPr>
          <w:rFonts w:ascii="Noto Serif CJK SC" w:hAnsi="Noto Serif CJK SC" w:eastAsia="Noto Serif CJK SC" w:cs="Noto Serif CJK SC"/>
        </w:rPr>
        <w:t>设 S∩ 为预测框与标注框的交集面积，S∪ 为两框的并集面积。</w:t>
      </w:r>
    </w:p>
    <w:p>
      <w:pPr>
        <w:keepLines/>
        <w:widowControl/>
        <w:jc w:val="center"/>
      </w:pPr>
      <w:r>
        <w:rPr>
          <w:rFonts w:ascii="Noto Serif CJK SC" w:hAnsi="Noto Serif CJK SC" w:eastAsia="Noto Serif CJK SC" w:cs="Noto Serif CJK SC"/>
        </w:rPr>
      </w:r>
      <m:oMath>
        <m:r>
          <m:rPr>
            <m:sty m:val="i"/>
          </m:rPr>
          <m:t>I</m:t>
        </m:r>
        <m:r>
          <m:rPr>
            <m:sty m:val="i"/>
          </m:rPr>
          <m:t>o</m:t>
        </m:r>
        <m:r>
          <m:rPr>
            <m:sty m:val="i"/>
          </m:rPr>
          <m:t>U</m:t>
        </m:r>
        <m:r>
          <m:rPr>
            <m:sty m:val="p"/>
          </m:rPr>
          <m:t>=</m:t>
        </m:r>
        <m:f>
          <m:num>
            <m:sSub>
              <m:e>
                <m:r>
                  <m:rPr>
                    <m:sty m:val="i"/>
                  </m:rPr>
                  <m:t>S</m:t>
                </m:r>
              </m:e>
              <m:sub>
                <m:r>
                  <m:rPr>
                    <m:sty m:val="p"/>
                  </m:rPr>
                  <m:t>∩</m:t>
                </m:r>
              </m:sub>
            </m:sSub>
          </m:num>
          <m:den>
            <m:sSub>
              <m:e>
                <m:r>
                  <m:rPr>
                    <m:sty m:val="i"/>
                  </m:rPr>
                  <m:t>S</m:t>
                </m:r>
              </m:e>
              <m:sub>
                <m:r>
                  <m:rPr>
                    <m:sty m:val="p"/>
                  </m:rPr>
                  <m:t>∪</m:t>
                </m:r>
              </m:sub>
            </m:sSub>
          </m:den>
        </m:f>
      </m:oMath>
      <w:r>
        <w:rPr>
          <w:rFonts w:ascii="Noto Serif CJK SC" w:hAnsi="Noto Serif CJK SC" w:eastAsia="Noto Serif CJK SC" w:cs="Noto Serif CJK SC"/>
        </w:rPr>
        <w:t xml:space="preserve">    （2-1）</w:t>
      </w:r>
    </w:p>
    <w:p>
      <w:pPr>
        <w:keepLines/>
        <w:widowControl/>
        <w:jc w:val="center"/>
      </w:pPr>
      <w:r>
        <w:rPr>
          <w:rFonts w:ascii="Noto Serif CJK SC" w:hAnsi="Noto Serif CJK SC" w:eastAsia="Noto Serif CJK SC" w:cs="Noto Serif CJK SC"/>
        </w:rPr>
      </w:r>
      <m:oMath>
        <m:r>
          <m:rPr>
            <m:sty m:val="i"/>
          </m:rPr>
          <m:t>P</m:t>
        </m:r>
        <m:r>
          <m:rPr>
            <m:sty m:val="p"/>
          </m:rPr>
          <m:t>=</m:t>
        </m:r>
        <m:f>
          <m:num>
            <m:r>
              <m:rPr>
                <m:sty m:val="i"/>
              </m:rPr>
              <m:t>T</m:t>
            </m:r>
            <m:r>
              <m:rPr>
                <m:sty m:val="i"/>
              </m:rPr>
              <m:t>P</m:t>
            </m:r>
          </m:num>
          <m:den>
            <m:r>
              <m:rPr>
                <m:sty m:val="i"/>
              </m:rPr>
              <m:t>T</m:t>
            </m:r>
            <m:r>
              <m:rPr>
                <m:sty m:val="i"/>
              </m:rPr>
              <m:t>P</m:t>
            </m:r>
            <m:r>
              <m:rPr>
                <m:sty m:val="p"/>
              </m:rPr>
              <m:t>+</m:t>
            </m:r>
            <m:r>
              <m:rPr>
                <m:sty m:val="i"/>
              </m:rPr>
              <m:t>F</m:t>
            </m:r>
            <m:r>
              <m:rPr>
                <m:sty m:val="i"/>
              </m:rPr>
              <m:t>P</m:t>
            </m:r>
          </m:den>
        </m:f>
        <m:r>
          <m:rPr>
            <m:sty m:val="p"/>
          </m:rPr>
          <m:t>,</m:t>
        </m:r>
        <m:r>
          <m:t/>
        </m:r>
        <m:r>
          <m:rPr>
            <m:sty m:val="i"/>
          </m:rPr>
          <m:t>R</m:t>
        </m:r>
        <m:r>
          <m:rPr>
            <m:sty m:val="p"/>
          </m:rPr>
          <m:t>=</m:t>
        </m:r>
        <m:f>
          <m:num>
            <m:r>
              <m:rPr>
                <m:sty m:val="i"/>
              </m:rPr>
              <m:t>T</m:t>
            </m:r>
            <m:r>
              <m:rPr>
                <m:sty m:val="i"/>
              </m:rPr>
              <m:t>P</m:t>
            </m:r>
          </m:num>
          <m:den>
            <m:r>
              <m:rPr>
                <m:sty m:val="i"/>
              </m:rPr>
              <m:t>T</m:t>
            </m:r>
            <m:r>
              <m:rPr>
                <m:sty m:val="i"/>
              </m:rPr>
              <m:t>P</m:t>
            </m:r>
            <m:r>
              <m:rPr>
                <m:sty m:val="p"/>
              </m:rPr>
              <m:t>+</m:t>
            </m:r>
            <m:r>
              <m:rPr>
                <m:sty m:val="i"/>
              </m:rPr>
              <m:t>F</m:t>
            </m:r>
            <m:r>
              <m:rPr>
                <m:sty m:val="i"/>
              </m:rPr>
              <m:t>N</m:t>
            </m:r>
          </m:den>
        </m:f>
      </m:oMath>
      <w:r>
        <w:rPr>
          <w:rFonts w:ascii="Noto Serif CJK SC" w:hAnsi="Noto Serif CJK SC" w:eastAsia="Noto Serif CJK SC" w:cs="Noto Serif CJK SC"/>
        </w:rPr>
        <w:t xml:space="preserve">    （2-2）</w:t>
      </w:r>
    </w:p>
    <w:p>
      <w:pPr>
        <w:keepLines/>
        <w:widowControl/>
        <w:jc w:val="center"/>
      </w:pPr>
      <w:r>
        <w:rPr>
          <w:rFonts w:ascii="Noto Serif CJK SC" w:hAnsi="Noto Serif CJK SC" w:eastAsia="Noto Serif CJK SC" w:cs="Noto Serif CJK SC"/>
        </w:rPr>
      </w:r>
      <m:oMath>
        <m:r>
          <m:rPr>
            <m:sty m:val="i"/>
          </m:rPr>
          <m:t>m</m:t>
        </m:r>
        <m:r>
          <m:rPr>
            <m:sty m:val="i"/>
          </m:rPr>
          <m:t>A</m:t>
        </m:r>
        <m:r>
          <m:rPr>
            <m:sty m:val="i"/>
          </m:rPr>
          <m:t>P</m:t>
        </m:r>
        <m:r>
          <m:rPr>
            <m:sty m:val="p"/>
          </m:rPr>
          <m:t>=</m:t>
        </m:r>
        <m:f>
          <m:num>
            <m:r>
              <m:rPr>
                <m:sty m:val="p"/>
              </m:rPr>
              <m:t>1</m:t>
            </m:r>
          </m:num>
          <m:den>
            <m:r>
              <m:rPr>
                <m:sty m:val="i"/>
              </m:rPr>
              <m:t>C</m:t>
            </m:r>
          </m:den>
        </m:f>
        <m:nary>
          <m:naryPr>
            <m:chr m:val="∑"/>
            <m:limLoc m:val="undOvr"/>
          </m:naryPr>
          <m:sub>
            <m:r>
              <m:rPr>
                <m:sty m:val="i"/>
              </m:rPr>
              <m:t>c</m:t>
            </m:r>
            <m:r>
              <m:rPr>
                <m:sty m:val="p"/>
              </m:rPr>
              <m:t>=</m:t>
            </m:r>
            <m:r>
              <m:rPr>
                <m:sty m:val="p"/>
              </m:rPr>
              <m:t>1</m:t>
            </m:r>
          </m:sub>
          <m:sup>
            <m:r>
              <m:rPr>
                <m:sty m:val="i"/>
              </m:rPr>
              <m:t>C</m:t>
            </m:r>
          </m:sup>
          <m:e>
            <m:r>
              <m:rPr>
                <m:sty m:val="i"/>
              </m:rPr>
              <m:t>A</m:t>
            </m:r>
            <m:sSub>
              <m:e>
                <m:r>
                  <m:rPr>
                    <m:sty m:val="i"/>
                  </m:rPr>
                  <m:t>P</m:t>
                </m:r>
              </m:e>
              <m:sub>
                <m:r>
                  <m:rPr>
                    <m:sty m:val="i"/>
                  </m:rPr>
                  <m:t>c</m:t>
                </m:r>
              </m:sub>
            </m:sSub>
            <m:r>
              <m:rPr>
                <m:sty m:val="p"/>
              </m:rPr>
              <m:t>,</m:t>
            </m:r>
            <m:r>
              <m:t/>
            </m:r>
            <m:r>
              <m:rPr>
                <m:sty m:val="i"/>
              </m:rPr>
              <m:t>C</m:t>
            </m:r>
            <m:r>
              <m:rPr>
                <m:sty m:val="p"/>
              </m:rPr>
              <m:t>=</m:t>
            </m:r>
            <m:r>
              <m:rPr>
                <m:sty m:val="p"/>
              </m:rPr>
              <m:t>6</m:t>
            </m:r>
          </m:e>
        </m:nary>
      </m:oMath>
      <w:r>
        <w:rPr>
          <w:rFonts w:ascii="Noto Serif CJK SC" w:hAnsi="Noto Serif CJK SC" w:eastAsia="Noto Serif CJK SC" w:cs="Noto Serif CJK SC"/>
        </w:rPr>
        <w:t xml:space="preserve">    （2-3）</w:t>
      </w:r>
    </w:p>
    <w:p>
      <w:pPr>
        <w:widowControl/>
        <w:ind w:firstLine="420"/>
      </w:pPr>
      <w:r>
        <w:rPr>
          <w:rFonts w:ascii="Noto Serif CJK SC" w:hAnsi="Noto Serif CJK SC" w:eastAsia="Noto Serif CJK SC" w:cs="Noto Serif CJK SC"/>
        </w:rPr>
        <w:t>DeepPCB 原作者评价中同类框匹配采用 IoU 大于 0.33 的协议[1]。本文如复现该协议，将单独标注结果，并核对作者脚本的匹配、重复框处理与阈值规则。mAP@0.33 与常见 mAP@0.5、mAP@0.5:0.95 属于不同协议，不能直接比较数值。效率方面应同时报告参数量、FLOPs、峰值显存和固定设备上的端到端延迟；帧率由相同计时范围下的延迟换算。</w:t>
      </w:r>
    </w:p>
    <w:p>
      <w:pPr>
        <w:pStyle w:val="1"/>
        <w:pageBreakBefore/>
        <w:jc w:val="center"/>
      </w:pPr>
      <w:r>
        <w:rPr>
          <w:rFonts w:ascii="Noto Sans CJK SC" w:hAnsi="Noto Sans CJK SC" w:eastAsia="Noto Sans CJK SC" w:cs="Noto Sans CJK SC"/>
        </w:rPr>
        <w:t>第3章 DeepPCB 数据准备与基线</w:t>
      </w:r>
    </w:p>
    <w:p>
      <w:pPr>
        <w:pStyle w:val="21"/>
      </w:pPr>
      <w:r>
        <w:rPr>
          <w:rFonts w:ascii="Noto Sans CJK SC" w:hAnsi="Noto Sans CJK SC" w:eastAsia="Noto Sans CJK SC" w:cs="Noto Sans CJK SC"/>
        </w:rPr>
        <w:t>3.1 数据来源与类别</w:t>
      </w:r>
    </w:p>
    <w:p>
      <w:pPr>
        <w:pStyle w:val="21"/>
        <w:keepNext/>
      </w:pPr>
      <w:r>
        <w:t>3.1.1 图像对和标注质量</w:t>
      </w:r>
    </w:p>
    <w:p>
      <w:pPr>
        <w:spacing w:line="341" w:lineRule="auto" w:after="0"/>
        <w:ind w:firstLine="420"/>
      </w:pPr>
      <w:r>
        <w:t>DeepPCB 中的待检图和模板图具有对应关系，模板图用于说明正常线路位置，待检图中叠加了标注缺陷。数据不是从完全独立的生产批次随机采集而来，部分缺陷为人工增补，因此模型在该数据集上的高分并不等价于真实产线上的泛化能力。论文使用数据集时应明确这一点，并把外部产线验证作为后续工作。</w:t>
      </w:r>
    </w:p>
    <w:p>
      <w:pPr>
        <w:spacing w:line="341" w:lineRule="auto" w:after="0"/>
        <w:ind w:firstLine="420"/>
      </w:pPr>
      <w:r>
        <w:t>标签检查分为文件检查、几何检查和语义检查三步。文件检查确认图像、标签和图像对齐关系存在；几何检查排除坐标越界、宽高为零和 x1 大于 x2 的框；语义检查核对类别编号是否仍为 1 至 6。转换后再随机抽取图像绘制框进行目视检查，重点查看断路与短路是否被误换成相邻类别。</w:t>
      </w:r>
    </w:p>
    <w:p>
      <w:pPr>
        <w:pStyle w:val="21"/>
        <w:keepNext/>
      </w:pPr>
      <w:r>
        <w:t>3.1.2 类别分布对训练的影响</w:t>
      </w:r>
    </w:p>
    <w:p>
      <w:pPr>
        <w:spacing w:line="341" w:lineRule="auto" w:after="0"/>
        <w:ind w:firstLine="420"/>
      </w:pPr>
      <w:r>
        <w:t>六类缺陷的目标数量和每张图的目标数并不相同，训练时容易出现类别频率不均衡。若某类在训练集中出现较少，模型可能通过偏向高频类别获得较低的总体损失，却牺牲少数类召回。本文保留全部六类共同训练，不删除针孔等难例，并在测试时逐类报告 AP 和召回率。后续可根据训练清单统计结果决定是否采用重复采样或类别权重，但任何改变都要在验证集上固定。</w:t>
      </w:r>
    </w:p>
    <w:p>
      <w:pPr>
        <w:widowControl/>
        <w:ind w:firstLine="420"/>
      </w:pPr>
      <w:r>
        <w:rPr>
          <w:rFonts w:ascii="Noto Serif CJK SC" w:hAnsi="Noto Serif CJK SC" w:eastAsia="Noto Serif CJK SC" w:cs="Noto Serif CJK SC"/>
        </w:rPr>
        <w:t>DeepPCB 原作者公开了 1 500 组 640×640 图像对，每组包含待检图与已配准的无缺陷模板图。数据由大型 PCB 图像裁剪得到，并包含人工增补缺陷；每条标注给出缺陷矩形框与类别编号[1]。本研究第一阶段仅以待检图作为模型输入，模板图保留用于人工核查及后续扩展，从而保证 A—D 组输入信息一致。</w:t>
      </w:r>
    </w:p>
    <w:p>
      <w:pPr>
        <w:keepNext/>
        <w:widowControl/>
        <w:jc w:val="center"/>
      </w:pPr>
      <w:r>
        <w:rPr>
          <w:rFonts w:ascii="Noto Serif CJK SC" w:hAnsi="Noto Serif CJK SC" w:eastAsia="Noto Serif CJK SC" w:cs="Noto Serif CJK SC"/>
          <w:sz w:val="21"/>
        </w:rPr>
        <w:t>表3-1 DeepPCB 官方类别与本研究 YOLO 编号</w:t>
      </w:r>
    </w:p>
    <w:tbl>
      <w:tblPr>
        <w:tblStyle w:val="aff1"/>
        <w:tblW w:type="auto" w:w="0"/>
        <w:jc w:val="center"/>
        <w:tblLayout w:type="autofit"/>
        <w:tblLook w:firstColumn="1" w:firstRow="1" w:lastColumn="0" w:lastRow="0" w:noHBand="0" w:noVBand="1" w:val="04A0"/>
      </w:tblPr>
      <w:tblGrid>
        <w:gridCol w:w="2197"/>
        <w:gridCol w:w="2197"/>
        <w:gridCol w:w="2197"/>
        <w:gridCol w:w="2197"/>
      </w:tblGrid>
      <w:tr>
        <w:trPr>
          <w:cantSplit/>
          <w:tblHeader w:val="true"/>
        </w:trPr>
        <w:tc>
          <w:tcPr>
            <w:tcW w:type="dxa" w:w="2197"/>
            <w:vAlign w:val="center"/>
          </w:tcPr>
          <w:p>
            <w:r>
              <w:rPr>
                <w:b/>
              </w:rPr>
              <w:t>官方编号</w:t>
            </w:r>
          </w:p>
        </w:tc>
        <w:tc>
          <w:tcPr>
            <w:tcW w:type="dxa" w:w="2197"/>
            <w:vAlign w:val="center"/>
          </w:tcPr>
          <w:p>
            <w:r>
              <w:rPr>
                <w:b/>
              </w:rPr>
              <w:t>YOLO 编号</w:t>
            </w:r>
          </w:p>
        </w:tc>
        <w:tc>
          <w:tcPr>
            <w:tcW w:type="dxa" w:w="2197"/>
            <w:vAlign w:val="center"/>
          </w:tcPr>
          <w:p>
            <w:r>
              <w:rPr>
                <w:b/>
              </w:rPr>
              <w:t>英文标签</w:t>
            </w:r>
          </w:p>
        </w:tc>
        <w:tc>
          <w:tcPr>
            <w:tcW w:type="dxa" w:w="2197"/>
            <w:vAlign w:val="center"/>
          </w:tcPr>
          <w:p>
            <w:r>
              <w:rPr>
                <w:b/>
              </w:rPr>
              <w:t>中文名称</w:t>
            </w:r>
          </w:p>
        </w:tc>
      </w:tr>
      <w:tr>
        <w:trPr>
          <w:cantSplit/>
        </w:trPr>
        <w:tc>
          <w:tcPr>
            <w:tcW w:type="dxa" w:w="2197"/>
            <w:vAlign w:val="center"/>
          </w:tcPr>
          <w:p>
            <w:pPr>
              <w:spacing w:line="276" w:lineRule="auto" w:after="40"/>
            </w:pPr>
            <w:r>
              <w:rPr>
                <w:sz w:val="21"/>
              </w:rPr>
              <w:t>1</w:t>
            </w:r>
          </w:p>
        </w:tc>
        <w:tc>
          <w:tcPr>
            <w:tcW w:type="dxa" w:w="2197"/>
            <w:vAlign w:val="center"/>
          </w:tcPr>
          <w:p>
            <w:pPr>
              <w:spacing w:line="276" w:lineRule="auto" w:after="40"/>
            </w:pPr>
            <w:r>
              <w:rPr>
                <w:sz w:val="21"/>
              </w:rPr>
              <w:t>0</w:t>
            </w:r>
          </w:p>
        </w:tc>
        <w:tc>
          <w:tcPr>
            <w:tcW w:type="dxa" w:w="2197"/>
            <w:vAlign w:val="center"/>
          </w:tcPr>
          <w:p>
            <w:pPr>
              <w:spacing w:line="276" w:lineRule="auto" w:after="40"/>
            </w:pPr>
            <w:r>
              <w:rPr>
                <w:sz w:val="21"/>
              </w:rPr>
              <w:t>open</w:t>
            </w:r>
          </w:p>
        </w:tc>
        <w:tc>
          <w:tcPr>
            <w:tcW w:type="dxa" w:w="2197"/>
            <w:vAlign w:val="center"/>
          </w:tcPr>
          <w:p>
            <w:pPr>
              <w:spacing w:line="276" w:lineRule="auto" w:after="40"/>
            </w:pPr>
            <w:r>
              <w:rPr>
                <w:sz w:val="21"/>
              </w:rPr>
              <w:t>断路/开路</w:t>
            </w:r>
          </w:p>
        </w:tc>
      </w:tr>
      <w:tr>
        <w:trPr>
          <w:cantSplit/>
        </w:trPr>
        <w:tc>
          <w:tcPr>
            <w:tcW w:type="dxa" w:w="2197"/>
            <w:vAlign w:val="center"/>
          </w:tcPr>
          <w:p>
            <w:pPr>
              <w:spacing w:line="276" w:lineRule="auto" w:after="40"/>
            </w:pPr>
            <w:r>
              <w:rPr>
                <w:sz w:val="21"/>
              </w:rPr>
              <w:t>2</w:t>
            </w:r>
          </w:p>
        </w:tc>
        <w:tc>
          <w:tcPr>
            <w:tcW w:type="dxa" w:w="2197"/>
            <w:vAlign w:val="center"/>
          </w:tcPr>
          <w:p>
            <w:pPr>
              <w:spacing w:line="276" w:lineRule="auto" w:after="40"/>
            </w:pPr>
            <w:r>
              <w:rPr>
                <w:sz w:val="21"/>
              </w:rPr>
              <w:t>1</w:t>
            </w:r>
          </w:p>
        </w:tc>
        <w:tc>
          <w:tcPr>
            <w:tcW w:type="dxa" w:w="2197"/>
            <w:vAlign w:val="center"/>
          </w:tcPr>
          <w:p>
            <w:pPr>
              <w:spacing w:line="276" w:lineRule="auto" w:after="40"/>
            </w:pPr>
            <w:r>
              <w:rPr>
                <w:sz w:val="21"/>
              </w:rPr>
              <w:t>short</w:t>
            </w:r>
          </w:p>
        </w:tc>
        <w:tc>
          <w:tcPr>
            <w:tcW w:type="dxa" w:w="2197"/>
            <w:vAlign w:val="center"/>
          </w:tcPr>
          <w:p>
            <w:pPr>
              <w:spacing w:line="276" w:lineRule="auto" w:after="40"/>
            </w:pPr>
            <w:r>
              <w:rPr>
                <w:sz w:val="21"/>
              </w:rPr>
              <w:t>短路</w:t>
            </w:r>
          </w:p>
        </w:tc>
      </w:tr>
      <w:tr>
        <w:trPr>
          <w:cantSplit/>
        </w:trPr>
        <w:tc>
          <w:tcPr>
            <w:tcW w:type="dxa" w:w="2197"/>
            <w:vAlign w:val="center"/>
          </w:tcPr>
          <w:p>
            <w:pPr>
              <w:spacing w:line="276" w:lineRule="auto" w:after="40"/>
            </w:pPr>
            <w:r>
              <w:rPr>
                <w:sz w:val="21"/>
              </w:rPr>
              <w:t>3</w:t>
            </w:r>
          </w:p>
        </w:tc>
        <w:tc>
          <w:tcPr>
            <w:tcW w:type="dxa" w:w="2197"/>
            <w:vAlign w:val="center"/>
          </w:tcPr>
          <w:p>
            <w:pPr>
              <w:spacing w:line="276" w:lineRule="auto" w:after="40"/>
            </w:pPr>
            <w:r>
              <w:rPr>
                <w:sz w:val="21"/>
              </w:rPr>
              <w:t>2</w:t>
            </w:r>
          </w:p>
        </w:tc>
        <w:tc>
          <w:tcPr>
            <w:tcW w:type="dxa" w:w="2197"/>
            <w:vAlign w:val="center"/>
          </w:tcPr>
          <w:p>
            <w:pPr>
              <w:spacing w:line="276" w:lineRule="auto" w:after="40"/>
            </w:pPr>
            <w:r>
              <w:rPr>
                <w:sz w:val="21"/>
              </w:rPr>
              <w:t>mousebite</w:t>
            </w:r>
          </w:p>
        </w:tc>
        <w:tc>
          <w:tcPr>
            <w:tcW w:type="dxa" w:w="2197"/>
            <w:vAlign w:val="center"/>
          </w:tcPr>
          <w:p>
            <w:pPr>
              <w:spacing w:line="276" w:lineRule="auto" w:after="40"/>
            </w:pPr>
            <w:r>
              <w:rPr>
                <w:sz w:val="21"/>
              </w:rPr>
              <w:t>鼠咬</w:t>
            </w:r>
          </w:p>
        </w:tc>
      </w:tr>
      <w:tr>
        <w:trPr>
          <w:cantSplit/>
        </w:trPr>
        <w:tc>
          <w:tcPr>
            <w:tcW w:type="dxa" w:w="2197"/>
            <w:vAlign w:val="center"/>
          </w:tcPr>
          <w:p>
            <w:pPr>
              <w:spacing w:line="276" w:lineRule="auto" w:after="40"/>
            </w:pPr>
            <w:r>
              <w:rPr>
                <w:sz w:val="21"/>
              </w:rPr>
              <w:t>4</w:t>
            </w:r>
          </w:p>
        </w:tc>
        <w:tc>
          <w:tcPr>
            <w:tcW w:type="dxa" w:w="2197"/>
            <w:vAlign w:val="center"/>
          </w:tcPr>
          <w:p>
            <w:pPr>
              <w:spacing w:line="276" w:lineRule="auto" w:after="40"/>
            </w:pPr>
            <w:r>
              <w:rPr>
                <w:sz w:val="21"/>
              </w:rPr>
              <w:t>3</w:t>
            </w:r>
          </w:p>
        </w:tc>
        <w:tc>
          <w:tcPr>
            <w:tcW w:type="dxa" w:w="2197"/>
            <w:vAlign w:val="center"/>
          </w:tcPr>
          <w:p>
            <w:pPr>
              <w:spacing w:line="276" w:lineRule="auto" w:after="40"/>
            </w:pPr>
            <w:r>
              <w:rPr>
                <w:sz w:val="21"/>
              </w:rPr>
              <w:t>spur</w:t>
            </w:r>
          </w:p>
        </w:tc>
        <w:tc>
          <w:tcPr>
            <w:tcW w:type="dxa" w:w="2197"/>
            <w:vAlign w:val="center"/>
          </w:tcPr>
          <w:p>
            <w:pPr>
              <w:spacing w:line="276" w:lineRule="auto" w:after="40"/>
            </w:pPr>
            <w:r>
              <w:rPr>
                <w:sz w:val="21"/>
              </w:rPr>
              <w:t>毛刺</w:t>
            </w:r>
          </w:p>
        </w:tc>
      </w:tr>
      <w:tr>
        <w:trPr>
          <w:cantSplit/>
        </w:trPr>
        <w:tc>
          <w:tcPr>
            <w:tcW w:type="dxa" w:w="2197"/>
            <w:vAlign w:val="center"/>
          </w:tcPr>
          <w:p>
            <w:pPr>
              <w:spacing w:line="276" w:lineRule="auto" w:after="40"/>
            </w:pPr>
            <w:r>
              <w:rPr>
                <w:sz w:val="21"/>
              </w:rPr>
              <w:t>5</w:t>
            </w:r>
          </w:p>
        </w:tc>
        <w:tc>
          <w:tcPr>
            <w:tcW w:type="dxa" w:w="2197"/>
            <w:vAlign w:val="center"/>
          </w:tcPr>
          <w:p>
            <w:pPr>
              <w:spacing w:line="276" w:lineRule="auto" w:after="40"/>
            </w:pPr>
            <w:r>
              <w:rPr>
                <w:sz w:val="21"/>
              </w:rPr>
              <w:t>4</w:t>
            </w:r>
          </w:p>
        </w:tc>
        <w:tc>
          <w:tcPr>
            <w:tcW w:type="dxa" w:w="2197"/>
            <w:vAlign w:val="center"/>
          </w:tcPr>
          <w:p>
            <w:pPr>
              <w:spacing w:line="276" w:lineRule="auto" w:after="40"/>
            </w:pPr>
            <w:r>
              <w:rPr>
                <w:sz w:val="21"/>
              </w:rPr>
              <w:t>copper</w:t>
            </w:r>
          </w:p>
        </w:tc>
        <w:tc>
          <w:tcPr>
            <w:tcW w:type="dxa" w:w="2197"/>
            <w:vAlign w:val="center"/>
          </w:tcPr>
          <w:p>
            <w:pPr>
              <w:spacing w:line="276" w:lineRule="auto" w:after="40"/>
            </w:pPr>
            <w:r>
              <w:rPr>
                <w:sz w:val="21"/>
              </w:rPr>
              <w:t>杂铜</w:t>
            </w:r>
          </w:p>
        </w:tc>
      </w:tr>
      <w:tr>
        <w:trPr>
          <w:cantSplit/>
        </w:trPr>
        <w:tc>
          <w:tcPr>
            <w:tcW w:type="dxa" w:w="2197"/>
            <w:vAlign w:val="center"/>
          </w:tcPr>
          <w:p>
            <w:pPr>
              <w:spacing w:line="276" w:lineRule="auto" w:after="40"/>
            </w:pPr>
            <w:r>
              <w:rPr>
                <w:sz w:val="21"/>
              </w:rPr>
              <w:t>6</w:t>
            </w:r>
          </w:p>
        </w:tc>
        <w:tc>
          <w:tcPr>
            <w:tcW w:type="dxa" w:w="2197"/>
            <w:vAlign w:val="center"/>
          </w:tcPr>
          <w:p>
            <w:pPr>
              <w:spacing w:line="276" w:lineRule="auto" w:after="40"/>
            </w:pPr>
            <w:r>
              <w:rPr>
                <w:sz w:val="21"/>
              </w:rPr>
              <w:t>5</w:t>
            </w:r>
          </w:p>
        </w:tc>
        <w:tc>
          <w:tcPr>
            <w:tcW w:type="dxa" w:w="2197"/>
            <w:vAlign w:val="center"/>
          </w:tcPr>
          <w:p>
            <w:pPr>
              <w:spacing w:line="276" w:lineRule="auto" w:after="40"/>
            </w:pPr>
            <w:r>
              <w:rPr>
                <w:sz w:val="21"/>
              </w:rPr>
              <w:t>pin-hole</w:t>
            </w:r>
          </w:p>
        </w:tc>
        <w:tc>
          <w:tcPr>
            <w:tcW w:type="dxa" w:w="2197"/>
            <w:vAlign w:val="center"/>
          </w:tcPr>
          <w:p>
            <w:pPr>
              <w:spacing w:line="276" w:lineRule="auto" w:after="40"/>
            </w:pPr>
            <w:r>
              <w:rPr>
                <w:sz w:val="21"/>
              </w:rPr>
              <w:t>针孔</w:t>
            </w:r>
          </w:p>
        </w:tc>
      </w:tr>
    </w:tbl>
    <w:p>
      <w:pPr>
        <w:widowControl/>
      </w:pPr>
      <w:r>
        <w:rPr>
          <w:rFonts w:ascii="Noto Serif CJK SC" w:hAnsi="Noto Serif CJK SC" w:eastAsia="Noto Serif CJK SC" w:cs="Noto Serif CJK SC"/>
        </w:rPr>
      </w:r>
    </w:p>
    <w:p>
      <w:pPr>
        <w:widowControl/>
        <w:ind w:firstLine="420"/>
      </w:pPr>
      <w:r>
        <w:rPr>
          <w:rFonts w:ascii="Noto Serif CJK SC" w:hAnsi="Noto Serif CJK SC" w:eastAsia="Noto Serif CJK SC" w:cs="Noto Serif CJK SC"/>
        </w:rPr>
        <w:t>针孔（pin-hole）与其他数据集中的漏孔（missing_hole）不是同一类别名称，不能沿用别的数据集标签文件。训练前应生成类别计数、每图目标数和框宽高分布，并抽查每类标注可视化图。对于越界框、零面积框和缺失配对文件，应记录处理规则和数量。</w:t>
      </w:r>
    </w:p>
    <w:p>
      <w:pPr>
        <w:pStyle w:val="21"/>
      </w:pPr>
      <w:r>
        <w:rPr>
          <w:rFonts w:ascii="Noto Sans CJK SC" w:hAnsi="Noto Sans CJK SC" w:eastAsia="Noto Sans CJK SC" w:cs="Noto Sans CJK SC"/>
        </w:rPr>
        <w:t>3.2 数据转换和划分</w:t>
      </w:r>
    </w:p>
    <w:p>
      <w:pPr>
        <w:pStyle w:val="21"/>
        <w:keepNext/>
      </w:pPr>
      <w:r>
        <w:t>3.2.1 标签转换的实现细节</w:t>
      </w:r>
    </w:p>
    <w:p>
      <w:pPr>
        <w:spacing w:line="341" w:lineRule="auto" w:after="0"/>
        <w:ind w:firstLine="420"/>
      </w:pPr>
      <w:r>
        <w:t>原始矩形框采用左上角和右下角坐标，YOLO 标签采用类别、中心点、宽度和高度。转换程序先读取实际图像宽高，再执行坐标归一化，最后把官方类别编号减一映射到 0 至 5。程序将训练、验证和测试清单同时保存，便于复查某个文件来自哪个集合。输出目录使用与图像同名的标签文件，避免依靠排序或目录遍历顺序配对。</w:t>
      </w:r>
    </w:p>
    <w:p>
      <w:pPr>
        <w:spacing w:line="341" w:lineRule="auto" w:after="0"/>
        <w:ind w:firstLine="420"/>
      </w:pPr>
      <w:r>
        <w:t>为了防止数据泄漏，划分操作在任何随机增强之前完成。同一图像对及其所有派生增强图只能出现在一个集合中；验证集和测试集不采用随机裁剪、颜色扰动或 Mosaic。数据清单和标签文件应计算哈希并随实验日志保存。若以后加入模板差分，待检图和模板图必须进行完全相同的几何变换，否则差分结果会混入人为错位。</w:t>
      </w:r>
    </w:p>
    <w:p>
      <w:pPr>
        <w:pStyle w:val="21"/>
        <w:keepNext/>
      </w:pPr>
      <w:r>
        <w:t>3.2.2 数据增强的适用边界</w:t>
      </w:r>
    </w:p>
    <w:p>
      <w:pPr>
        <w:spacing w:line="341" w:lineRule="auto" w:after="0"/>
        <w:ind w:firstLine="420"/>
      </w:pPr>
      <w:r>
        <w:t>PCB 缺陷的方向和位置通常具有一定随机性，水平翻转在部分场景下可以作为增强；垂直翻转、旋转和颜色变换则要结合成像工位的真实变化判断。过强的缩放会使针孔和细短路在插值后消失，过强的色彩扰动会破坏线路与基板之间原本有用的对比度。本文预备实验沿用框架默认增强，正式实验应通过消融记录关闭或调整某种增强后的影响。</w:t>
      </w:r>
    </w:p>
    <w:p>
      <w:pPr>
        <w:widowControl/>
        <w:ind w:firstLine="420"/>
      </w:pPr>
      <w:r>
        <w:rPr>
          <w:rFonts w:ascii="Noto Serif CJK SC" w:hAnsi="Noto Serif CJK SC" w:eastAsia="Noto Serif CJK SC" w:cs="Noto Serif CJK SC"/>
        </w:rPr>
        <w:t>原始标注可写作 x₁、y₁、x₂、y₂、type。设图像宽高为 W、H，则 YOLO 类别编号为 type−1，坐标按下式归一化。转换程序应读取实际图像尺寸而非盲目假设；官方清单中的历史命名与文件名后缀可能不同，需核实待检图与模板图的对应关系。</w:t>
      </w:r>
    </w:p>
    <w:p>
      <w:pPr>
        <w:keepLines/>
        <w:widowControl/>
        <w:jc w:val="center"/>
      </w:pPr>
      <w:r>
        <w:rPr>
          <w:rFonts w:ascii="Noto Serif CJK SC" w:hAnsi="Noto Serif CJK SC" w:eastAsia="Noto Serif CJK SC" w:cs="Noto Serif CJK SC"/>
        </w:rPr>
      </w:r>
      <m:oMath>
        <m:r>
          <m:rPr>
            <m:sty m:val="i"/>
          </m:rPr>
          <m:t>c</m:t>
        </m:r>
        <m:r>
          <m:rPr>
            <m:sty m:val="p"/>
          </m:rPr>
          <m:t>=</m:t>
        </m:r>
        <m:r>
          <m:rPr>
            <m:sty m:val="i"/>
          </m:rPr>
          <m:t>t</m:t>
        </m:r>
        <m:r>
          <m:rPr>
            <m:sty m:val="i"/>
          </m:rPr>
          <m:t>y</m:t>
        </m:r>
        <m:r>
          <m:rPr>
            <m:sty m:val="i"/>
          </m:rPr>
          <m:t>p</m:t>
        </m:r>
        <m:r>
          <m:rPr>
            <m:sty m:val="i"/>
          </m:rPr>
          <m:t>e</m:t>
        </m:r>
        <m:r>
          <m:rPr>
            <m:sty m:val="p"/>
          </m:rPr>
          <m:t>−</m:t>
        </m:r>
        <m:r>
          <m:rPr>
            <m:sty m:val="p"/>
          </m:rPr>
          <m:t>1</m:t>
        </m:r>
        <m:r>
          <m:rPr>
            <m:sty m:val="p"/>
          </m:rPr>
          <m:t>,</m:t>
        </m:r>
        <m:r>
          <m:t/>
        </m:r>
        <m:r>
          <m:rPr>
            <m:sty m:val="i"/>
          </m:rPr>
          <m:t>x</m:t>
        </m:r>
        <m:r>
          <m:rPr>
            <m:sty m:val="p"/>
          </m:rPr>
          <m:t>=</m:t>
        </m:r>
        <m:f>
          <m:num>
            <m:sSub>
              <m:e>
                <m:r>
                  <m:rPr>
                    <m:sty m:val="i"/>
                  </m:rPr>
                  <m:t>x</m:t>
                </m:r>
              </m:e>
              <m:sub>
                <m:r>
                  <m:rPr>
                    <m:sty m:val="p"/>
                  </m:rPr>
                  <m:t>1</m:t>
                </m:r>
              </m:sub>
            </m:sSub>
            <m:r>
              <m:rPr>
                <m:sty m:val="p"/>
              </m:rPr>
              <m:t>+</m:t>
            </m:r>
            <m:sSub>
              <m:e>
                <m:r>
                  <m:rPr>
                    <m:sty m:val="i"/>
                  </m:rPr>
                  <m:t>x</m:t>
                </m:r>
              </m:e>
              <m:sub>
                <m:r>
                  <m:rPr>
                    <m:sty m:val="p"/>
                  </m:rPr>
                  <m:t>2</m:t>
                </m:r>
              </m:sub>
            </m:sSub>
          </m:num>
          <m:den>
            <m:r>
              <m:rPr>
                <m:sty m:val="p"/>
              </m:rPr>
              <m:t>2</m:t>
            </m:r>
            <m:r>
              <m:rPr>
                <m:sty m:val="i"/>
              </m:rPr>
              <m:t>W</m:t>
            </m:r>
          </m:den>
        </m:f>
        <m:r>
          <m:rPr>
            <m:sty m:val="p"/>
          </m:rPr>
          <m:t>,</m:t>
        </m:r>
        <m:r>
          <m:t/>
        </m:r>
        <m:r>
          <m:rPr>
            <m:sty m:val="i"/>
          </m:rPr>
          <m:t>y</m:t>
        </m:r>
        <m:r>
          <m:rPr>
            <m:sty m:val="p"/>
          </m:rPr>
          <m:t>=</m:t>
        </m:r>
        <m:f>
          <m:num>
            <m:sSub>
              <m:e>
                <m:r>
                  <m:rPr>
                    <m:sty m:val="i"/>
                  </m:rPr>
                  <m:t>y</m:t>
                </m:r>
              </m:e>
              <m:sub>
                <m:r>
                  <m:rPr>
                    <m:sty m:val="p"/>
                  </m:rPr>
                  <m:t>1</m:t>
                </m:r>
              </m:sub>
            </m:sSub>
            <m:r>
              <m:rPr>
                <m:sty m:val="p"/>
              </m:rPr>
              <m:t>+</m:t>
            </m:r>
            <m:sSub>
              <m:e>
                <m:r>
                  <m:rPr>
                    <m:sty m:val="i"/>
                  </m:rPr>
                  <m:t>y</m:t>
                </m:r>
              </m:e>
              <m:sub>
                <m:r>
                  <m:rPr>
                    <m:sty m:val="p"/>
                  </m:rPr>
                  <m:t>2</m:t>
                </m:r>
              </m:sub>
            </m:sSub>
          </m:num>
          <m:den>
            <m:r>
              <m:rPr>
                <m:sty m:val="p"/>
              </m:rPr>
              <m:t>2</m:t>
            </m:r>
            <m:r>
              <m:rPr>
                <m:sty m:val="i"/>
              </m:rPr>
              <m:t>H</m:t>
            </m:r>
          </m:den>
        </m:f>
      </m:oMath>
      <w:r>
        <w:rPr>
          <w:rFonts w:ascii="Noto Serif CJK SC" w:hAnsi="Noto Serif CJK SC" w:eastAsia="Noto Serif CJK SC" w:cs="Noto Serif CJK SC"/>
        </w:rPr>
        <w:t xml:space="preserve">    （3-1）</w:t>
      </w:r>
    </w:p>
    <w:p>
      <w:pPr>
        <w:keepLines/>
        <w:widowControl/>
        <w:jc w:val="center"/>
      </w:pPr>
      <w:r>
        <w:rPr>
          <w:rFonts w:ascii="Noto Serif CJK SC" w:hAnsi="Noto Serif CJK SC" w:eastAsia="Noto Serif CJK SC" w:cs="Noto Serif CJK SC"/>
        </w:rPr>
      </w:r>
      <m:oMath>
        <m:r>
          <m:rPr>
            <m:sty m:val="i"/>
          </m:rPr>
          <m:t>w</m:t>
        </m:r>
        <m:r>
          <m:rPr>
            <m:sty m:val="p"/>
          </m:rPr>
          <m:t>=</m:t>
        </m:r>
        <m:f>
          <m:num>
            <m:sSub>
              <m:e>
                <m:r>
                  <m:rPr>
                    <m:sty m:val="i"/>
                  </m:rPr>
                  <m:t>x</m:t>
                </m:r>
              </m:e>
              <m:sub>
                <m:r>
                  <m:rPr>
                    <m:sty m:val="p"/>
                  </m:rPr>
                  <m:t>2</m:t>
                </m:r>
              </m:sub>
            </m:sSub>
            <m:r>
              <m:rPr>
                <m:sty m:val="p"/>
              </m:rPr>
              <m:t>−</m:t>
            </m:r>
            <m:sSub>
              <m:e>
                <m:r>
                  <m:rPr>
                    <m:sty m:val="i"/>
                  </m:rPr>
                  <m:t>x</m:t>
                </m:r>
              </m:e>
              <m:sub>
                <m:r>
                  <m:rPr>
                    <m:sty m:val="p"/>
                  </m:rPr>
                  <m:t>1</m:t>
                </m:r>
              </m:sub>
            </m:sSub>
          </m:num>
          <m:den>
            <m:r>
              <m:rPr>
                <m:sty m:val="i"/>
              </m:rPr>
              <m:t>W</m:t>
            </m:r>
          </m:den>
        </m:f>
        <m:r>
          <m:rPr>
            <m:sty m:val="p"/>
          </m:rPr>
          <m:t>,</m:t>
        </m:r>
        <m:r>
          <m:t/>
        </m:r>
        <m:r>
          <m:rPr>
            <m:sty m:val="i"/>
          </m:rPr>
          <m:t>h</m:t>
        </m:r>
        <m:r>
          <m:rPr>
            <m:sty m:val="p"/>
          </m:rPr>
          <m:t>=</m:t>
        </m:r>
        <m:f>
          <m:num>
            <m:sSub>
              <m:e>
                <m:r>
                  <m:rPr>
                    <m:sty m:val="i"/>
                  </m:rPr>
                  <m:t>y</m:t>
                </m:r>
              </m:e>
              <m:sub>
                <m:r>
                  <m:rPr>
                    <m:sty m:val="p"/>
                  </m:rPr>
                  <m:t>2</m:t>
                </m:r>
              </m:sub>
            </m:sSub>
            <m:r>
              <m:rPr>
                <m:sty m:val="p"/>
              </m:rPr>
              <m:t>−</m:t>
            </m:r>
            <m:sSub>
              <m:e>
                <m:r>
                  <m:rPr>
                    <m:sty m:val="i"/>
                  </m:rPr>
                  <m:t>y</m:t>
                </m:r>
              </m:e>
              <m:sub>
                <m:r>
                  <m:rPr>
                    <m:sty m:val="p"/>
                  </m:rPr>
                  <m:t>1</m:t>
                </m:r>
              </m:sub>
            </m:sSub>
          </m:num>
          <m:den>
            <m:r>
              <m:rPr>
                <m:sty m:val="i"/>
              </m:rPr>
              <m:t>H</m:t>
            </m:r>
          </m:den>
        </m:f>
      </m:oMath>
      <w:r>
        <w:rPr>
          <w:rFonts w:ascii="Noto Serif CJK SC" w:hAnsi="Noto Serif CJK SC" w:eastAsia="Noto Serif CJK SC" w:cs="Noto Serif CJK SC"/>
        </w:rPr>
        <w:t xml:space="preserve">    （3-2）</w:t>
      </w:r>
    </w:p>
    <w:p>
      <w:pPr>
        <w:widowControl/>
        <w:ind w:firstLine="420"/>
      </w:pPr>
      <w:r>
        <w:rPr>
          <w:rFonts w:ascii="Noto Serif CJK SC" w:hAnsi="Noto Serif CJK SC" w:eastAsia="Noto Serif CJK SC" w:cs="Noto Serif CJK SC"/>
        </w:rPr>
        <w:t>官方 trainval.txt 共 1 000 组，test.txt 共 500 组[1]。拟从前者按固定随机种子划分约 800 组训练和 200 组验证，保留官方 500 组仅用于最终测试。划分应记录样本清单、哈希值、类别频数和随机种子；同一对图像及其所有增强版本只能属于一个集合。先划分再增强，验证与测试集不做随机增强。</w:t>
      </w:r>
    </w:p>
    <w:p>
      <w:pPr>
        <w:keepNext/>
        <w:widowControl/>
        <w:jc w:val="center"/>
      </w:pPr>
      <w:r>
        <w:rPr>
          <w:rFonts w:ascii="Noto Serif CJK SC" w:hAnsi="Noto Serif CJK SC" w:eastAsia="Noto Serif CJK SC" w:cs="Noto Serif CJK SC"/>
          <w:sz w:val="21"/>
        </w:rPr>
        <w:t>表3-2 数据划分与用途</w:t>
      </w:r>
    </w:p>
    <w:tbl>
      <w:tblPr>
        <w:tblStyle w:val="aff1"/>
        <w:tblW w:type="auto" w:w="0"/>
        <w:jc w:val="center"/>
        <w:tblLayout w:type="autofit"/>
        <w:tblLook w:firstColumn="1" w:firstRow="1" w:lastColumn="0" w:lastRow="0" w:noHBand="0" w:noVBand="1" w:val="04A0"/>
      </w:tblPr>
      <w:tblGrid>
        <w:gridCol w:w="2197"/>
        <w:gridCol w:w="2197"/>
        <w:gridCol w:w="2197"/>
        <w:gridCol w:w="2197"/>
      </w:tblGrid>
      <w:tr>
        <w:trPr>
          <w:cantSplit/>
          <w:tblHeader w:val="true"/>
        </w:trPr>
        <w:tc>
          <w:tcPr>
            <w:tcW w:type="dxa" w:w="2197"/>
            <w:vAlign w:val="center"/>
          </w:tcPr>
          <w:p>
            <w:r>
              <w:rPr>
                <w:b/>
              </w:rPr>
              <w:t>集合</w:t>
            </w:r>
          </w:p>
        </w:tc>
        <w:tc>
          <w:tcPr>
            <w:tcW w:type="dxa" w:w="2197"/>
            <w:vAlign w:val="center"/>
          </w:tcPr>
          <w:p>
            <w:r>
              <w:rPr>
                <w:b/>
              </w:rPr>
              <w:t>来源与计划数量</w:t>
            </w:r>
          </w:p>
        </w:tc>
        <w:tc>
          <w:tcPr>
            <w:tcW w:type="dxa" w:w="2197"/>
            <w:vAlign w:val="center"/>
          </w:tcPr>
          <w:p>
            <w:r>
              <w:rPr>
                <w:b/>
              </w:rPr>
              <w:t>用途</w:t>
            </w:r>
          </w:p>
        </w:tc>
        <w:tc>
          <w:tcPr>
            <w:tcW w:type="dxa" w:w="2197"/>
            <w:vAlign w:val="center"/>
          </w:tcPr>
          <w:p>
            <w:r>
              <w:rPr>
                <w:b/>
              </w:rPr>
              <w:t>约束</w:t>
            </w:r>
          </w:p>
        </w:tc>
      </w:tr>
      <w:tr>
        <w:trPr>
          <w:cantSplit/>
        </w:trPr>
        <w:tc>
          <w:tcPr>
            <w:tcW w:type="dxa" w:w="2197"/>
            <w:vAlign w:val="center"/>
          </w:tcPr>
          <w:p>
            <w:pPr>
              <w:spacing w:line="276" w:lineRule="auto" w:after="40"/>
            </w:pPr>
            <w:r>
              <w:rPr>
                <w:sz w:val="21"/>
              </w:rPr>
              <w:t>训练集</w:t>
            </w:r>
          </w:p>
        </w:tc>
        <w:tc>
          <w:tcPr>
            <w:tcW w:type="dxa" w:w="2197"/>
            <w:vAlign w:val="center"/>
          </w:tcPr>
          <w:p>
            <w:pPr>
              <w:spacing w:line="276" w:lineRule="auto" w:after="40"/>
            </w:pPr>
            <w:r>
              <w:rPr>
                <w:sz w:val="21"/>
              </w:rPr>
              <w:t>官方 trainval 内约 800 组</w:t>
            </w:r>
          </w:p>
        </w:tc>
        <w:tc>
          <w:tcPr>
            <w:tcW w:type="dxa" w:w="2197"/>
            <w:vAlign w:val="center"/>
          </w:tcPr>
          <w:p>
            <w:pPr>
              <w:spacing w:line="276" w:lineRule="auto" w:after="40"/>
            </w:pPr>
            <w:r>
              <w:rPr>
                <w:sz w:val="21"/>
              </w:rPr>
              <w:t>参数学习、仅此处增强</w:t>
            </w:r>
          </w:p>
        </w:tc>
        <w:tc>
          <w:tcPr>
            <w:tcW w:type="dxa" w:w="2197"/>
            <w:vAlign w:val="center"/>
          </w:tcPr>
          <w:p>
            <w:pPr>
              <w:spacing w:line="276" w:lineRule="auto" w:after="40"/>
            </w:pPr>
            <w:r>
              <w:rPr>
                <w:sz w:val="21"/>
              </w:rPr>
              <w:t>图像对同组</w:t>
            </w:r>
          </w:p>
        </w:tc>
      </w:tr>
      <w:tr>
        <w:trPr>
          <w:cantSplit/>
        </w:trPr>
        <w:tc>
          <w:tcPr>
            <w:tcW w:type="dxa" w:w="2197"/>
            <w:vAlign w:val="center"/>
          </w:tcPr>
          <w:p>
            <w:pPr>
              <w:spacing w:line="276" w:lineRule="auto" w:after="40"/>
            </w:pPr>
            <w:r>
              <w:rPr>
                <w:sz w:val="21"/>
              </w:rPr>
              <w:t>验证集</w:t>
            </w:r>
          </w:p>
        </w:tc>
        <w:tc>
          <w:tcPr>
            <w:tcW w:type="dxa" w:w="2197"/>
            <w:vAlign w:val="center"/>
          </w:tcPr>
          <w:p>
            <w:pPr>
              <w:spacing w:line="276" w:lineRule="auto" w:after="40"/>
            </w:pPr>
            <w:r>
              <w:rPr>
                <w:sz w:val="21"/>
              </w:rPr>
              <w:t>官方 trainval 内约 200 组</w:t>
            </w:r>
          </w:p>
        </w:tc>
        <w:tc>
          <w:tcPr>
            <w:tcW w:type="dxa" w:w="2197"/>
            <w:vAlign w:val="center"/>
          </w:tcPr>
          <w:p>
            <w:pPr>
              <w:spacing w:line="276" w:lineRule="auto" w:after="40"/>
            </w:pPr>
            <w:r>
              <w:rPr>
                <w:sz w:val="21"/>
              </w:rPr>
              <w:t>选模型、选阈值与早停</w:t>
            </w:r>
          </w:p>
        </w:tc>
        <w:tc>
          <w:tcPr>
            <w:tcW w:type="dxa" w:w="2197"/>
            <w:vAlign w:val="center"/>
          </w:tcPr>
          <w:p>
            <w:pPr>
              <w:spacing w:line="276" w:lineRule="auto" w:after="40"/>
            </w:pPr>
            <w:r>
              <w:rPr>
                <w:sz w:val="21"/>
              </w:rPr>
              <w:t>不参与梯度更新</w:t>
            </w:r>
          </w:p>
        </w:tc>
      </w:tr>
      <w:tr>
        <w:trPr>
          <w:cantSplit/>
        </w:trPr>
        <w:tc>
          <w:tcPr>
            <w:tcW w:type="dxa" w:w="2197"/>
            <w:vAlign w:val="center"/>
          </w:tcPr>
          <w:p>
            <w:pPr>
              <w:spacing w:line="276" w:lineRule="auto" w:after="40"/>
            </w:pPr>
            <w:r>
              <w:rPr>
                <w:sz w:val="21"/>
              </w:rPr>
              <w:t>测试集</w:t>
            </w:r>
          </w:p>
        </w:tc>
        <w:tc>
          <w:tcPr>
            <w:tcW w:type="dxa" w:w="2197"/>
            <w:vAlign w:val="center"/>
          </w:tcPr>
          <w:p>
            <w:pPr>
              <w:spacing w:line="276" w:lineRule="auto" w:after="40"/>
            </w:pPr>
            <w:r>
              <w:rPr>
                <w:sz w:val="21"/>
              </w:rPr>
              <w:t>官方 test 全部 500 组</w:t>
            </w:r>
          </w:p>
        </w:tc>
        <w:tc>
          <w:tcPr>
            <w:tcW w:type="dxa" w:w="2197"/>
            <w:vAlign w:val="center"/>
          </w:tcPr>
          <w:p>
            <w:pPr>
              <w:spacing w:line="276" w:lineRule="auto" w:after="40"/>
            </w:pPr>
            <w:r>
              <w:rPr>
                <w:sz w:val="21"/>
              </w:rPr>
              <w:t>最终一次性评估</w:t>
            </w:r>
          </w:p>
        </w:tc>
        <w:tc>
          <w:tcPr>
            <w:tcW w:type="dxa" w:w="2197"/>
            <w:vAlign w:val="center"/>
          </w:tcPr>
          <w:p>
            <w:pPr>
              <w:spacing w:line="276" w:lineRule="auto" w:after="40"/>
            </w:pPr>
            <w:r>
              <w:rPr>
                <w:sz w:val="21"/>
              </w:rPr>
              <w:t>不得反复调参</w:t>
            </w:r>
          </w:p>
        </w:tc>
      </w:tr>
    </w:tbl>
    <w:p>
      <w:pPr>
        <w:widowControl/>
      </w:pPr>
      <w:r>
        <w:rPr>
          <w:rFonts w:ascii="Noto Serif CJK SC" w:hAnsi="Noto Serif CJK SC" w:eastAsia="Noto Serif CJK SC" w:cs="Noto Serif CJK SC"/>
        </w:rPr>
      </w:r>
    </w:p>
    <w:p>
      <w:pPr>
        <w:widowControl/>
        <w:ind w:firstLine="420"/>
      </w:pPr>
      <w:r>
        <w:rPr>
          <w:rFonts w:ascii="Noto Serif CJK SC" w:hAnsi="Noto Serif CJK SC" w:eastAsia="Noto Serif CJK SC" w:cs="Noto Serif CJK SC"/>
        </w:rPr>
        <w:t>如需检查跨板型泛化，应另建具有明确板型身份的分组测试协议。官方清单中的文件名前缀不能在未经核实的情况下等同于物理板型；额外协议的结果应与官方测试集结果分开展示。</w:t>
      </w:r>
    </w:p>
    <w:p>
      <w:pPr>
        <w:pStyle w:val="21"/>
      </w:pPr>
      <w:r>
        <w:rPr>
          <w:rFonts w:ascii="Noto Sans CJK SC" w:hAnsi="Noto Sans CJK SC" w:eastAsia="Noto Sans CJK SC" w:cs="Noto Sans CJK SC"/>
        </w:rPr>
        <w:t>3.3 基线训练方案</w:t>
      </w:r>
    </w:p>
    <w:p>
      <w:pPr>
        <w:pStyle w:val="21"/>
        <w:keepNext/>
      </w:pPr>
      <w:r>
        <w:t>3.3.1 训练过程的记录内容</w:t>
      </w:r>
    </w:p>
    <w:p>
      <w:pPr>
        <w:spacing w:line="341" w:lineRule="auto" w:after="0"/>
        <w:ind w:firstLine="420"/>
      </w:pPr>
      <w:r>
        <w:t>每次训练至少记录模型配置、初始权重、数据清单哈希、输入尺寸、batch、epoch、优化器、学习率、增强参数和随机种子。训练日志需要保留每个 epoch 的损失、验证集指标和最佳权重路径，不能只保存最后一轮权重。模型选择只能使用验证集，测试集在方案确定后运行一次，用于得到最终报告。</w:t>
      </w:r>
    </w:p>
    <w:p>
      <w:pPr>
        <w:spacing w:line="341" w:lineRule="auto" w:after="0"/>
        <w:ind w:firstLine="420"/>
      </w:pPr>
      <w:r>
        <w:t>预训练权重能够缩短收敛过程，但基线和改进模型必须记录权重加载比例。P2 增加的层没有对应的基线参数，应明确说明这些层随机初始化。若基线与改进模型使用不同的训练轮数或不同的学习率，结果差异就同时包含训练预算因素，不能归因于检测头结构。本文代码把模型类型、epoch、输入尺寸和种子写入运行目录名称，以便区分结果。</w:t>
      </w:r>
    </w:p>
    <w:p>
      <w:pPr>
        <w:widowControl/>
        <w:ind w:firstLine="420"/>
      </w:pPr>
      <w:r>
        <w:rPr>
          <w:rFonts w:ascii="Noto Serif CJK SC" w:hAnsi="Noto Serif CJK SC" w:eastAsia="Noto Serif CJK SC" w:cs="Noto Serif CJK SC"/>
        </w:rPr>
        <w:t>基线采用 YOLO11n，输入尺寸 640×640，模型与训练框架版本固定为实验时记录的版本[10]。建议以 200 epoch 为初始预算，在相同预训练权重、有效批量、优化器、学习率策略与数据增强下训练四组模型。根据训练集的类别和框尺寸分布再决定是否调整增强强度；避免强裁剪或变形导致针孔、细短路等关键纹理消失。</w:t>
      </w:r>
    </w:p>
    <w:p>
      <w:pPr>
        <w:widowControl/>
        <w:ind w:firstLine="420"/>
      </w:pPr>
      <w:r>
        <w:rPr>
          <w:rFonts w:ascii="Noto Serif CJK SC" w:hAnsi="Noto Serif CJK SC" w:eastAsia="Noto Serif CJK SC" w:cs="Noto Serif CJK SC"/>
        </w:rPr>
        <w:t>每组至少运行三个随机种子，并报告均值与标准差。为检查分辨率因素，可另设 YOLO11n 输入 960×960 的独立对照；单纯把原 640 图像插值放大不能产生新的成像细节，应明确说明其目的是研究采样网格变化。所有模型在同一验证集上选最佳轮次和推理阈值，并对测试集保持一致协议。</w:t>
      </w:r>
    </w:p>
    <w:p>
      <w:pPr>
        <w:pStyle w:val="1"/>
        <w:pageBreakBefore/>
        <w:jc w:val="center"/>
      </w:pPr>
      <w:r>
        <w:rPr>
          <w:rFonts w:ascii="Noto Sans CJK SC" w:hAnsi="Noto Sans CJK SC" w:eastAsia="Noto Sans CJK SC" w:cs="Noto Sans CJK SC"/>
        </w:rPr>
        <w:t>第4章 改进 YOLO11 的方法设计</w:t>
      </w:r>
    </w:p>
    <w:p>
      <w:pPr>
        <w:pStyle w:val="21"/>
      </w:pPr>
      <w:r>
        <w:rPr>
          <w:rFonts w:ascii="Noto Sans CJK SC" w:hAnsi="Noto Sans CJK SC" w:eastAsia="Noto Sans CJK SC" w:cs="Noto Sans CJK SC"/>
        </w:rPr>
        <w:t>4.1 P2 小目标检测分支</w:t>
      </w:r>
    </w:p>
    <w:p>
      <w:pPr>
        <w:pStyle w:val="21"/>
        <w:keepNext/>
      </w:pPr>
      <w:r>
        <w:t>4.1.1 P2 分支的特征路径</w:t>
      </w:r>
    </w:p>
    <w:p>
      <w:pPr>
        <w:spacing w:line="341" w:lineRule="auto" w:after="0"/>
        <w:ind w:firstLine="420"/>
      </w:pPr>
      <w:r>
        <w:t>P2 路径从主干的步长 4 特征开始。高层 P5 特征先经过上采样与 P4 融合，再继续上采样与 P3 融合，随后上采样到 P2 的空间尺寸，并与主干浅层特征拼接。P2 融合后的特征经过 C3k2 处理后送入检测头；预测完成后再通过步长为 2 的卷积逐级下采样，恢复 P3、P4 和 P5 的路径。这样既保留新增尺度，也保持四个尺度之间的自底向上信息流。</w:t>
      </w:r>
    </w:p>
    <w:p>
      <w:pPr>
        <w:spacing w:line="341" w:lineRule="auto" w:after="0"/>
        <w:ind w:firstLine="420"/>
      </w:pPr>
      <w:r>
        <w:t>四尺度检测头的输入顺序必须与张量尺寸一致，错误的层索引会导致模型能够构建但训练目标对应错误。实现时通过单张 640 图像打印每一层张量尺寸，并检查 P2、P3、P4、P5 分别为 160、80、40、20 的网格。训练前还要检查预训练参数加载报告，确认只有新增分支和尺寸不匹配的检测分类层没有加载旧权重。</w:t>
      </w:r>
    </w:p>
    <w:p>
      <w:pPr>
        <w:pStyle w:val="21"/>
        <w:keepNext/>
      </w:pPr>
      <w:r>
        <w:t>4.1.2 P2 结构的预期收益与风险</w:t>
      </w:r>
    </w:p>
    <w:p>
      <w:pPr>
        <w:spacing w:line="341" w:lineRule="auto" w:after="0"/>
        <w:ind w:firstLine="420"/>
      </w:pPr>
      <w:r>
        <w:t>P2 的预期收益是为小目标提供更密集的定位网格，使短而细的缺陷不必完全依赖步长 8 的特征。风险包括显存占用增加、浅层背景噪声增强、正负样本比例变化以及 NMS 候选数量增加。若 P2 的召回提高但精确率显著下降，应进一步观察置信度阈值和误检类别，不能简单地把候选更多解释为检测能力更强。</w:t>
      </w:r>
    </w:p>
    <w:p>
      <w:pPr>
        <w:widowControl/>
        <w:ind w:firstLine="420"/>
      </w:pPr>
      <w:r>
        <w:rPr>
          <w:rFonts w:ascii="Noto Serif CJK SC" w:hAnsi="Noto Serif CJK SC" w:eastAsia="Noto Serif CJK SC" w:cs="Noto Serif CJK SC"/>
        </w:rPr>
        <w:t>标准 YOLO11n 的 P3、P4、P5 检测尺度对应步长 8、16、32[10]。本研究计划在主干网络中保留步长为 4 的浅层 P2 特征，并把颈部高层上采样特征与之融合，形成额外的 P2 检测输入。这样可在更细的网格上预测小框，但输出位置数增多，也可能带来更多背景候选和误检。</w:t>
      </w:r>
    </w:p>
    <w:p>
      <w:pPr>
        <w:widowControl/>
        <w:ind w:firstLine="420"/>
      </w:pPr>
      <w:r>
        <w:rPr>
          <w:rFonts w:ascii="Noto Serif CJK SC" w:hAnsi="Noto Serif CJK SC" w:eastAsia="Noto Serif CJK SC" w:cs="Noto Serif CJK SC"/>
        </w:rPr>
        <w:t>P2 拓扑参考 Ultralytics 发布的 YOLOv8-P2 配置[11]，实现时应适配 YOLO11 的 C3k2 等模块和层索引，不能直接将 YOLOv8 配置视为 YOLO11 官方 P2 模型。具体实现需核查四尺度 Detect 的输入顺序、模型前向张量形状、预训练权重加载比例和新增层的初始化；通过一张 640×640 测试图确认 P2/4、P3/8、P4/16、P5/32 的尺寸分别为 160、80、40、20。</w:t>
      </w:r>
    </w:p>
    <w:p>
      <w:pPr>
        <w:keepNext/>
        <w:widowControl/>
        <w:jc w:val="center"/>
      </w:pPr>
      <w:r>
        <w:rPr>
          <w:rFonts w:ascii="Noto Serif CJK SC" w:hAnsi="Noto Serif CJK SC" w:eastAsia="Noto Serif CJK SC" w:cs="Noto Serif CJK SC"/>
          <w:sz w:val="21"/>
        </w:rPr>
        <w:t>图4-1 P2 扩展后的检测尺度示意（可编辑表格）</w:t>
      </w:r>
    </w:p>
    <w:tbl>
      <w:tblPr>
        <w:tblStyle w:val="aff1"/>
        <w:tblW w:type="auto" w:w="0"/>
        <w:jc w:val="center"/>
        <w:tblLayout w:type="autofit"/>
        <w:tblLook w:firstColumn="1" w:firstRow="1" w:lastColumn="0" w:lastRow="0" w:noHBand="0" w:noVBand="1" w:val="04A0"/>
      </w:tblPr>
      <w:tblGrid>
        <w:gridCol w:w="1758"/>
        <w:gridCol w:w="1758"/>
        <w:gridCol w:w="1758"/>
        <w:gridCol w:w="1758"/>
        <w:gridCol w:w="1758"/>
      </w:tblGrid>
      <w:tr>
        <w:trPr>
          <w:cantSplit/>
          <w:tblHeader w:val="true"/>
        </w:trPr>
        <w:tc>
          <w:tcPr>
            <w:tcW w:type="dxa" w:w="1758"/>
            <w:vAlign w:val="center"/>
          </w:tcPr>
          <w:p>
            <w:r>
              <w:rPr>
                <w:b/>
              </w:rPr>
              <w:t>层级</w:t>
            </w:r>
          </w:p>
        </w:tc>
        <w:tc>
          <w:tcPr>
            <w:tcW w:type="dxa" w:w="1758"/>
            <w:vAlign w:val="center"/>
          </w:tcPr>
          <w:p>
            <w:r>
              <w:rPr>
                <w:b/>
              </w:rPr>
              <w:t>P2</w:t>
            </w:r>
          </w:p>
        </w:tc>
        <w:tc>
          <w:tcPr>
            <w:tcW w:type="dxa" w:w="1758"/>
            <w:vAlign w:val="center"/>
          </w:tcPr>
          <w:p>
            <w:r>
              <w:rPr>
                <w:b/>
              </w:rPr>
              <w:t>P3</w:t>
            </w:r>
          </w:p>
        </w:tc>
        <w:tc>
          <w:tcPr>
            <w:tcW w:type="dxa" w:w="1758"/>
            <w:vAlign w:val="center"/>
          </w:tcPr>
          <w:p>
            <w:r>
              <w:rPr>
                <w:b/>
              </w:rPr>
              <w:t>P4</w:t>
            </w:r>
          </w:p>
        </w:tc>
        <w:tc>
          <w:tcPr>
            <w:tcW w:type="dxa" w:w="1758"/>
            <w:vAlign w:val="center"/>
          </w:tcPr>
          <w:p>
            <w:r>
              <w:rPr>
                <w:b/>
              </w:rPr>
              <w:t>P5</w:t>
            </w:r>
          </w:p>
        </w:tc>
      </w:tr>
      <w:tr>
        <w:trPr>
          <w:cantSplit/>
        </w:trPr>
        <w:tc>
          <w:tcPr>
            <w:tcW w:type="dxa" w:w="1758"/>
            <w:vAlign w:val="center"/>
          </w:tcPr>
          <w:p>
            <w:pPr>
              <w:spacing w:line="276" w:lineRule="auto" w:after="40"/>
            </w:pPr>
            <w:r>
              <w:rPr>
                <w:sz w:val="21"/>
              </w:rPr>
              <w:t>步长</w:t>
            </w:r>
          </w:p>
        </w:tc>
        <w:tc>
          <w:tcPr>
            <w:tcW w:type="dxa" w:w="1758"/>
            <w:vAlign w:val="center"/>
          </w:tcPr>
          <w:p>
            <w:pPr>
              <w:spacing w:line="276" w:lineRule="auto" w:after="40"/>
            </w:pPr>
            <w:r>
              <w:rPr>
                <w:sz w:val="21"/>
              </w:rPr>
              <w:t>4</w:t>
            </w:r>
          </w:p>
        </w:tc>
        <w:tc>
          <w:tcPr>
            <w:tcW w:type="dxa" w:w="1758"/>
            <w:vAlign w:val="center"/>
          </w:tcPr>
          <w:p>
            <w:pPr>
              <w:spacing w:line="276" w:lineRule="auto" w:after="40"/>
            </w:pPr>
            <w:r>
              <w:rPr>
                <w:sz w:val="21"/>
              </w:rPr>
              <w:t>8</w:t>
            </w:r>
          </w:p>
        </w:tc>
        <w:tc>
          <w:tcPr>
            <w:tcW w:type="dxa" w:w="1758"/>
            <w:vAlign w:val="center"/>
          </w:tcPr>
          <w:p>
            <w:pPr>
              <w:spacing w:line="276" w:lineRule="auto" w:after="40"/>
            </w:pPr>
            <w:r>
              <w:rPr>
                <w:sz w:val="21"/>
              </w:rPr>
              <w:t>16</w:t>
            </w:r>
          </w:p>
        </w:tc>
        <w:tc>
          <w:tcPr>
            <w:tcW w:type="dxa" w:w="1758"/>
            <w:vAlign w:val="center"/>
          </w:tcPr>
          <w:p>
            <w:pPr>
              <w:spacing w:line="276" w:lineRule="auto" w:after="40"/>
            </w:pPr>
            <w:r>
              <w:rPr>
                <w:sz w:val="21"/>
              </w:rPr>
              <w:t>32</w:t>
            </w:r>
          </w:p>
        </w:tc>
      </w:tr>
      <w:tr>
        <w:trPr>
          <w:cantSplit/>
        </w:trPr>
        <w:tc>
          <w:tcPr>
            <w:tcW w:type="dxa" w:w="1758"/>
            <w:vAlign w:val="center"/>
          </w:tcPr>
          <w:p>
            <w:pPr>
              <w:spacing w:line="276" w:lineRule="auto" w:after="40"/>
            </w:pPr>
            <w:r>
              <w:rPr>
                <w:sz w:val="21"/>
              </w:rPr>
              <w:t>640 输入网格</w:t>
            </w:r>
          </w:p>
        </w:tc>
        <w:tc>
          <w:tcPr>
            <w:tcW w:type="dxa" w:w="1758"/>
            <w:vAlign w:val="center"/>
          </w:tcPr>
          <w:p>
            <w:pPr>
              <w:spacing w:line="276" w:lineRule="auto" w:after="40"/>
            </w:pPr>
            <w:r>
              <w:rPr>
                <w:sz w:val="21"/>
              </w:rPr>
              <w:t>160×160</w:t>
            </w:r>
          </w:p>
        </w:tc>
        <w:tc>
          <w:tcPr>
            <w:tcW w:type="dxa" w:w="1758"/>
            <w:vAlign w:val="center"/>
          </w:tcPr>
          <w:p>
            <w:pPr>
              <w:spacing w:line="276" w:lineRule="auto" w:after="40"/>
            </w:pPr>
            <w:r>
              <w:rPr>
                <w:sz w:val="21"/>
              </w:rPr>
              <w:t>80×80</w:t>
            </w:r>
          </w:p>
        </w:tc>
        <w:tc>
          <w:tcPr>
            <w:tcW w:type="dxa" w:w="1758"/>
            <w:vAlign w:val="center"/>
          </w:tcPr>
          <w:p>
            <w:pPr>
              <w:spacing w:line="276" w:lineRule="auto" w:after="40"/>
            </w:pPr>
            <w:r>
              <w:rPr>
                <w:sz w:val="21"/>
              </w:rPr>
              <w:t>40×40</w:t>
            </w:r>
          </w:p>
        </w:tc>
        <w:tc>
          <w:tcPr>
            <w:tcW w:type="dxa" w:w="1758"/>
            <w:vAlign w:val="center"/>
          </w:tcPr>
          <w:p>
            <w:pPr>
              <w:spacing w:line="276" w:lineRule="auto" w:after="40"/>
            </w:pPr>
            <w:r>
              <w:rPr>
                <w:sz w:val="21"/>
              </w:rPr>
              <w:t>20×20</w:t>
            </w:r>
          </w:p>
        </w:tc>
      </w:tr>
      <w:tr>
        <w:trPr>
          <w:cantSplit/>
        </w:trPr>
        <w:tc>
          <w:tcPr>
            <w:tcW w:type="dxa" w:w="1758"/>
            <w:vAlign w:val="center"/>
          </w:tcPr>
          <w:p>
            <w:pPr>
              <w:spacing w:line="276" w:lineRule="auto" w:after="40"/>
            </w:pPr>
            <w:r>
              <w:rPr>
                <w:sz w:val="21"/>
              </w:rPr>
              <w:t>职责</w:t>
            </w:r>
          </w:p>
        </w:tc>
        <w:tc>
          <w:tcPr>
            <w:tcW w:type="dxa" w:w="1758"/>
            <w:vAlign w:val="center"/>
          </w:tcPr>
          <w:p>
            <w:pPr>
              <w:spacing w:line="276" w:lineRule="auto" w:after="40"/>
            </w:pPr>
            <w:r>
              <w:rPr>
                <w:sz w:val="21"/>
              </w:rPr>
              <w:t>高分辨率细节</w:t>
            </w:r>
          </w:p>
        </w:tc>
        <w:tc>
          <w:tcPr>
            <w:tcW w:type="dxa" w:w="1758"/>
            <w:vAlign w:val="center"/>
          </w:tcPr>
          <w:p>
            <w:pPr>
              <w:spacing w:line="276" w:lineRule="auto" w:after="40"/>
            </w:pPr>
            <w:r>
              <w:rPr>
                <w:sz w:val="21"/>
              </w:rPr>
              <w:t>局部语义</w:t>
            </w:r>
          </w:p>
        </w:tc>
        <w:tc>
          <w:tcPr>
            <w:tcW w:type="dxa" w:w="1758"/>
            <w:vAlign w:val="center"/>
          </w:tcPr>
          <w:p>
            <w:pPr>
              <w:spacing w:line="276" w:lineRule="auto" w:after="40"/>
            </w:pPr>
            <w:r>
              <w:rPr>
                <w:sz w:val="21"/>
              </w:rPr>
              <w:t>中尺度语义</w:t>
            </w:r>
          </w:p>
        </w:tc>
        <w:tc>
          <w:tcPr>
            <w:tcW w:type="dxa" w:w="1758"/>
            <w:vAlign w:val="center"/>
          </w:tcPr>
          <w:p>
            <w:pPr>
              <w:spacing w:line="276" w:lineRule="auto" w:after="40"/>
            </w:pPr>
            <w:r>
              <w:rPr>
                <w:sz w:val="21"/>
              </w:rPr>
              <w:t>全局语义</w:t>
            </w:r>
          </w:p>
        </w:tc>
      </w:tr>
    </w:tbl>
    <w:p>
      <w:pPr>
        <w:widowControl/>
      </w:pPr>
      <w:r>
        <w:rPr>
          <w:rFonts w:ascii="Noto Serif CJK SC" w:hAnsi="Noto Serif CJK SC" w:eastAsia="Noto Serif CJK SC" w:cs="Noto Serif CJK SC"/>
        </w:rPr>
      </w:r>
    </w:p>
    <w:p>
      <w:pPr>
        <w:pStyle w:val="21"/>
      </w:pPr>
      <w:r>
        <w:rPr>
          <w:rFonts w:ascii="Noto Sans CJK SC" w:hAnsi="Noto Sans CJK SC" w:eastAsia="Noto Sans CJK SC" w:cs="Noto Sans CJK SC"/>
        </w:rPr>
        <w:t>4.2 高分辨率双向加权融合</w:t>
      </w:r>
    </w:p>
    <w:p>
      <w:pPr>
        <w:pStyle w:val="21"/>
        <w:keepNext/>
      </w:pPr>
      <w:r>
        <w:t>4.2.1 融合节点的输入对齐</w:t>
      </w:r>
    </w:p>
    <w:p>
      <w:pPr>
        <w:spacing w:line="341" w:lineRule="auto" w:after="0"/>
        <w:ind w:firstLine="420"/>
      </w:pPr>
      <w:r>
        <w:t>双向融合的每个节点首先进行空间尺寸对齐。上采样使用最近邻插值以减少额外参数，下采样使用步长卷积完成尺寸缩减，通道数由 1×1 或 3×3 卷积调整。对齐之后再进行加权求和或拼接，最后用卷积块消除不同路径之间的分布差异。节点连接关系需要在模型 YAML 和论文中的结构说明中保持一致。</w:t>
      </w:r>
    </w:p>
    <w:p>
      <w:pPr>
        <w:spacing w:line="341" w:lineRule="auto" w:after="0"/>
        <w:ind w:firstLine="420"/>
      </w:pPr>
      <w:r>
        <w:t>可学习权重的归一化是为了避免某一路径在训练初期数值过大。权重经过非负化后除以所有输入权重之和，ε 防止分母为零。该机制属于训练参数，不代表模型会根据每张输入图片动态计算新的权重。若以后引入输入相关注意力，应增加独立模块和对照实验，不能把两种机制统称为同一个加权融合。</w:t>
      </w:r>
    </w:p>
    <w:p>
      <w:pPr>
        <w:pStyle w:val="21"/>
        <w:keepNext/>
      </w:pPr>
      <w:r>
        <w:t>4.2.2 融合模块的消融逻辑</w:t>
      </w:r>
    </w:p>
    <w:p>
      <w:pPr>
        <w:spacing w:line="341" w:lineRule="auto" w:after="0"/>
        <w:ind w:firstLine="420"/>
      </w:pPr>
      <w:r>
        <w:t>A 组提供没有新增结构的基线，B 组只增加 P2，C 组只增加融合，D 组同时增加两者。A 与 B 的差异反映高分辨率检测尺度的影响，A 与 C 的差异反映融合路径的影响，D 与 B、C 的差异则反映两种改动是否互相补充。四组模型必须共用同一数据和训练预算，才能把差异归因到结构因素。</w:t>
      </w:r>
    </w:p>
    <w:p>
      <w:pPr>
        <w:widowControl/>
        <w:ind w:firstLine="420"/>
      </w:pPr>
      <w:r>
        <w:rPr>
          <w:rFonts w:ascii="Noto Serif CJK SC" w:hAnsi="Noto Serif CJK SC" w:eastAsia="Noto Serif CJK SC" w:cs="Noto Serif CJK SC"/>
        </w:rPr>
        <w:t>在 P2 引入后，拟构建 P2—P5 的双向信息路径。首先自顶向下将高层语义上采样并与低层特征融合，再自底向上把细节和定位信息传递回高层。所有输入在融合前使用卷积、上采样或下采样对齐空间大小与通道数。参考 BiFPN[5]，对同一节点的不同输入赋予非负可学习权重，并用归一化抑制尺度差异：</w:t>
      </w:r>
    </w:p>
    <w:p>
      <w:pPr>
        <w:keepLines/>
        <w:widowControl/>
        <w:jc w:val="center"/>
      </w:pPr>
      <w:r>
        <w:rPr>
          <w:rFonts w:ascii="Noto Serif CJK SC" w:hAnsi="Noto Serif CJK SC" w:eastAsia="Noto Serif CJK SC" w:cs="Noto Serif CJK SC"/>
        </w:rPr>
      </w:r>
      <m:oMath>
        <m:sSub>
          <m:e>
            <m:r>
              <m:rPr>
                <m:sty m:val="i"/>
              </m:rPr>
              <m:t>F</m:t>
            </m:r>
          </m:e>
          <m:sub>
            <m:r>
              <m:rPr>
                <m:sty m:val="i"/>
              </m:rPr>
              <m:t>o</m:t>
            </m:r>
            <m:r>
              <m:rPr>
                <m:sty m:val="i"/>
              </m:rPr>
              <m:t>u</m:t>
            </m:r>
            <m:r>
              <m:rPr>
                <m:sty m:val="i"/>
              </m:rPr>
              <m:t>t</m:t>
            </m:r>
          </m:sub>
        </m:sSub>
        <m:r>
          <m:rPr>
            <m:sty m:val="p"/>
          </m:rPr>
          <m:t>=</m:t>
        </m:r>
        <m:nary>
          <m:naryPr>
            <m:chr m:val="∑"/>
            <m:limLoc m:val="undOvr"/>
          </m:naryPr>
          <m:sub>
            <m:r>
              <m:rPr>
                <m:sty m:val="i"/>
              </m:rPr>
              <m:t>i</m:t>
            </m:r>
            <m:r>
              <m:rPr>
                <m:sty m:val="p"/>
              </m:rPr>
              <m:t>=</m:t>
            </m:r>
            <m:r>
              <m:rPr>
                <m:sty m:val="p"/>
              </m:rPr>
              <m:t>1</m:t>
            </m:r>
          </m:sub>
          <m:sup>
            <m:r>
              <m:rPr>
                <m:sty m:val="i"/>
              </m:rPr>
              <m:t>n</m:t>
            </m:r>
          </m:sup>
          <m:e>
            <m:f>
              <m:num>
                <m:r>
                  <m:rPr>
                    <m:sty m:val="p"/>
                  </m:rPr>
                  <m:t>max</m:t>
                </m:r>
                <m:r>
                  <m:rPr>
                    <m:sty m:val="p"/>
                  </m:rPr>
                  <m:t>(</m:t>
                </m:r>
                <m:r>
                  <m:rPr>
                    <m:sty m:val="p"/>
                  </m:rPr>
                  <m:t>0</m:t>
                </m:r>
                <m:r>
                  <m:rPr>
                    <m:sty m:val="p"/>
                  </m:rPr>
                  <m:t>,</m:t>
                </m:r>
                <m:sSub>
                  <m:e>
                    <m:r>
                      <m:rPr>
                        <m:sty m:val="i"/>
                      </m:rPr>
                      <m:t>ω</m:t>
                    </m:r>
                  </m:e>
                  <m:sub>
                    <m:r>
                      <m:rPr>
                        <m:sty m:val="i"/>
                      </m:rPr>
                      <m:t>i</m:t>
                    </m:r>
                  </m:sub>
                </m:sSub>
                <m:r>
                  <m:rPr>
                    <m:sty m:val="p"/>
                  </m:rPr>
                  <m:t>)</m:t>
                </m:r>
              </m:num>
              <m:den>
                <m:r>
                  <m:rPr>
                    <m:sty m:val="i"/>
                  </m:rPr>
                  <m:t>ε</m:t>
                </m:r>
                <m:r>
                  <m:rPr>
                    <m:sty m:val="p"/>
                  </m:rPr>
                  <m:t>+</m:t>
                </m:r>
                <m:nary>
                  <m:naryPr>
                    <m:chr m:val="∑"/>
                    <m:limLoc m:val="undOvr"/>
                  </m:naryPr>
                  <m:sub>
                    <m:r>
                      <m:rPr>
                        <m:sty m:val="i"/>
                      </m:rPr>
                      <m:t>j</m:t>
                    </m:r>
                    <m:r>
                      <m:rPr>
                        <m:sty m:val="p"/>
                      </m:rPr>
                      <m:t>=</m:t>
                    </m:r>
                    <m:r>
                      <m:rPr>
                        <m:sty m:val="p"/>
                      </m:rPr>
                      <m:t>1</m:t>
                    </m:r>
                  </m:sub>
                  <m:sup>
                    <m:r>
                      <m:rPr>
                        <m:sty m:val="i"/>
                      </m:rPr>
                      <m:t>n</m:t>
                    </m:r>
                  </m:sup>
                  <m:e>
                    <m:r>
                      <m:rPr>
                        <m:sty m:val="p"/>
                      </m:rPr>
                      <m:t>max</m:t>
                    </m:r>
                    <m:r>
                      <m:rPr>
                        <m:sty m:val="p"/>
                      </m:rPr>
                      <m:t>(</m:t>
                    </m:r>
                    <m:r>
                      <m:rPr>
                        <m:sty m:val="p"/>
                      </m:rPr>
                      <m:t>0</m:t>
                    </m:r>
                    <m:r>
                      <m:rPr>
                        <m:sty m:val="p"/>
                      </m:rPr>
                      <m:t>,</m:t>
                    </m:r>
                    <m:sSub>
                      <m:e>
                        <m:r>
                          <m:rPr>
                            <m:sty m:val="i"/>
                          </m:rPr>
                          <m:t>ω</m:t>
                        </m:r>
                      </m:e>
                      <m:sub>
                        <m:r>
                          <m:rPr>
                            <m:sty m:val="i"/>
                          </m:rPr>
                          <m:t>j</m:t>
                        </m:r>
                      </m:sub>
                    </m:sSub>
                    <m:r>
                      <m:rPr>
                        <m:sty m:val="p"/>
                      </m:rPr>
                      <m:t>)</m:t>
                    </m:r>
                  </m:e>
                </m:nary>
              </m:den>
            </m:f>
            <m:sSub>
              <m:e>
                <m:r>
                  <m:rPr>
                    <m:sty m:val="i"/>
                  </m:rPr>
                  <m:t>F</m:t>
                </m:r>
              </m:e>
              <m:sub>
                <m:r>
                  <m:rPr>
                    <m:sty m:val="i"/>
                  </m:rPr>
                  <m:t>i</m:t>
                </m:r>
              </m:sub>
            </m:sSub>
          </m:e>
        </m:nary>
      </m:oMath>
      <w:r>
        <w:rPr>
          <w:rFonts w:ascii="Noto Serif CJK SC" w:hAnsi="Noto Serif CJK SC" w:eastAsia="Noto Serif CJK SC" w:cs="Noto Serif CJK SC"/>
        </w:rPr>
        <w:t xml:space="preserve">    （4-1）</w:t>
      </w:r>
    </w:p>
    <w:p>
      <w:pPr>
        <w:widowControl/>
        <w:ind w:firstLine="420"/>
      </w:pPr>
      <w:r>
        <w:rPr>
          <w:rFonts w:ascii="Noto Serif CJK SC" w:hAnsi="Noto Serif CJK SC" w:eastAsia="Noto Serif CJK SC" w:cs="Noto Serif CJK SC"/>
        </w:rPr>
        <w:t>式中 ωᵢ 为可训练参数，ε 为防止除零的正常数，Fᵢ 为对齐后的输入特征。融合节点之后使用卷积完成特征整合。实验中将该路径单独加入标准三尺度网络，再与 P2 共同使用，以区分新增尺度与融合路径的贡献。若模型延迟增加超过应用允许范围，应分析是否保留较轻的融合层数或仅采用 P2。</w:t>
      </w:r>
    </w:p>
    <w:p>
      <w:pPr>
        <w:pStyle w:val="21"/>
      </w:pPr>
      <w:r>
        <w:rPr>
          <w:rFonts w:ascii="Noto Sans CJK SC" w:hAnsi="Noto Sans CJK SC" w:eastAsia="Noto Sans CJK SC" w:cs="Noto Sans CJK SC"/>
        </w:rPr>
        <w:t>4.3 模型实现与复杂度约束</w:t>
      </w:r>
    </w:p>
    <w:p>
      <w:pPr>
        <w:pStyle w:val="21"/>
        <w:keepNext/>
      </w:pPr>
      <w:r>
        <w:t>4.3.1 工程部署的约束</w:t>
      </w:r>
    </w:p>
    <w:p>
      <w:pPr>
        <w:spacing w:line="341" w:lineRule="auto" w:after="0"/>
        <w:ind w:firstLine="420"/>
      </w:pPr>
      <w:r>
        <w:t>部署时不仅要保存权重文件，还要固定输入归一化、尺寸缩放、置信度阈值和 NMS 参数。训练阶段的验证时间不能直接当作生产线延迟，因为真实流程还包括图像读取、颜色转换、缩放、结果绘制和通信。本文预备实验记录了 Ultralytics 验证器给出的预处理、前向和后处理时间，正式部署还应在目标设备上重复测速。</w:t>
      </w:r>
    </w:p>
    <w:p>
      <w:pPr>
        <w:spacing w:line="341" w:lineRule="auto" w:after="0"/>
        <w:ind w:firstLine="420"/>
      </w:pPr>
      <w:r>
        <w:t>模型压缩可以从通道数、融合节点数量、输入尺寸和后处理策略四方面进行。降低输入尺寸会减少计算量，但可能进一步损失小缺陷信息；删除 P2 则降低开销，却可能牺牲微小目标召回。合理的选择需要把精度、延迟、显存和复核工作量放到同一张表中，而不是只追求某一项指标。</w:t>
      </w:r>
    </w:p>
    <w:p>
      <w:pPr>
        <w:widowControl/>
        <w:ind w:firstLine="420"/>
      </w:pPr>
      <w:r>
        <w:rPr>
          <w:rFonts w:ascii="Noto Serif CJK SC" w:hAnsi="Noto Serif CJK SC" w:eastAsia="Noto Serif CJK SC" w:cs="Noto Serif CJK SC"/>
        </w:rPr>
        <w:t>四组模型的训练和评估共用数据、软件版本与超参数。A 为 YOLO11n 基线；B 在 A 上加入 P2；C 在 A 上加入双向加权融合；D 同时使用 P2 和该融合。P2 与 BiFPN 思路均来自已有研究[3-5,11]，本文的研究重点是针对 DeepPCB 的结构适配、受控比较及效率分析。若计划加入 NWD 或模板差分，应作为后续独立消融项目，不能与主要改进混杂。</w:t>
      </w:r>
    </w:p>
    <w:p>
      <w:pPr>
        <w:keepNext/>
        <w:widowControl/>
        <w:jc w:val="center"/>
      </w:pPr>
      <w:r>
        <w:rPr>
          <w:rFonts w:ascii="Noto Serif CJK SC" w:hAnsi="Noto Serif CJK SC" w:eastAsia="Noto Serif CJK SC" w:cs="Noto Serif CJK SC"/>
          <w:sz w:val="21"/>
        </w:rPr>
        <w:t>表4-1 结构消融矩阵</w:t>
      </w:r>
    </w:p>
    <w:tbl>
      <w:tblPr>
        <w:tblStyle w:val="aff1"/>
        <w:tblW w:type="auto" w:w="0"/>
        <w:jc w:val="center"/>
        <w:tblLayout w:type="autofit"/>
        <w:tblLook w:firstColumn="1" w:firstRow="1" w:lastColumn="0" w:lastRow="0" w:noHBand="0" w:noVBand="1" w:val="04A0"/>
      </w:tblPr>
      <w:tblGrid>
        <w:gridCol w:w="2197"/>
        <w:gridCol w:w="2197"/>
        <w:gridCol w:w="2197"/>
        <w:gridCol w:w="2197"/>
      </w:tblGrid>
      <w:tr>
        <w:trPr>
          <w:cantSplit/>
          <w:tblHeader w:val="true"/>
        </w:trPr>
        <w:tc>
          <w:tcPr>
            <w:tcW w:type="dxa" w:w="2197"/>
            <w:vAlign w:val="center"/>
          </w:tcPr>
          <w:p>
            <w:r>
              <w:rPr>
                <w:b/>
              </w:rPr>
              <w:t>组别</w:t>
            </w:r>
          </w:p>
        </w:tc>
        <w:tc>
          <w:tcPr>
            <w:tcW w:type="dxa" w:w="2197"/>
            <w:vAlign w:val="center"/>
          </w:tcPr>
          <w:p>
            <w:r>
              <w:rPr>
                <w:b/>
              </w:rPr>
              <w:t>P2 检测分支</w:t>
            </w:r>
          </w:p>
        </w:tc>
        <w:tc>
          <w:tcPr>
            <w:tcW w:type="dxa" w:w="2197"/>
            <w:vAlign w:val="center"/>
          </w:tcPr>
          <w:p>
            <w:r>
              <w:rPr>
                <w:b/>
              </w:rPr>
              <w:t>双向加权融合</w:t>
            </w:r>
          </w:p>
        </w:tc>
        <w:tc>
          <w:tcPr>
            <w:tcW w:type="dxa" w:w="2197"/>
            <w:vAlign w:val="center"/>
          </w:tcPr>
          <w:p>
            <w:r>
              <w:rPr>
                <w:b/>
              </w:rPr>
              <w:t>研究作用</w:t>
            </w:r>
          </w:p>
        </w:tc>
      </w:tr>
      <w:tr>
        <w:trPr>
          <w:cantSplit/>
        </w:trPr>
        <w:tc>
          <w:tcPr>
            <w:tcW w:type="dxa" w:w="2197"/>
            <w:vAlign w:val="center"/>
          </w:tcPr>
          <w:p>
            <w:pPr>
              <w:spacing w:line="276" w:lineRule="auto" w:after="40"/>
            </w:pPr>
            <w:r>
              <w:rPr>
                <w:sz w:val="21"/>
              </w:rPr>
              <w:t>A：YOLO11n</w:t>
            </w:r>
          </w:p>
        </w:tc>
        <w:tc>
          <w:tcPr>
            <w:tcW w:type="dxa" w:w="2197"/>
            <w:vAlign w:val="center"/>
          </w:tcPr>
          <w:p>
            <w:pPr>
              <w:spacing w:line="276" w:lineRule="auto" w:after="40"/>
            </w:pPr>
            <w:r>
              <w:rPr>
                <w:sz w:val="21"/>
              </w:rPr>
              <w:t>否</w:t>
            </w:r>
          </w:p>
        </w:tc>
        <w:tc>
          <w:tcPr>
            <w:tcW w:type="dxa" w:w="2197"/>
            <w:vAlign w:val="center"/>
          </w:tcPr>
          <w:p>
            <w:pPr>
              <w:spacing w:line="276" w:lineRule="auto" w:after="40"/>
            </w:pPr>
            <w:r>
              <w:rPr>
                <w:sz w:val="21"/>
              </w:rPr>
              <w:t>否</w:t>
            </w:r>
          </w:p>
        </w:tc>
        <w:tc>
          <w:tcPr>
            <w:tcW w:type="dxa" w:w="2197"/>
            <w:vAlign w:val="center"/>
          </w:tcPr>
          <w:p>
            <w:pPr>
              <w:spacing w:line="276" w:lineRule="auto" w:after="40"/>
            </w:pPr>
            <w:r>
              <w:rPr>
                <w:sz w:val="21"/>
              </w:rPr>
              <w:t>标准基线</w:t>
            </w:r>
          </w:p>
        </w:tc>
      </w:tr>
      <w:tr>
        <w:trPr>
          <w:cantSplit/>
        </w:trPr>
        <w:tc>
          <w:tcPr>
            <w:tcW w:type="dxa" w:w="2197"/>
            <w:vAlign w:val="center"/>
          </w:tcPr>
          <w:p>
            <w:pPr>
              <w:spacing w:line="276" w:lineRule="auto" w:after="40"/>
            </w:pPr>
            <w:r>
              <w:rPr>
                <w:sz w:val="21"/>
              </w:rPr>
              <w:t>B：A+P2</w:t>
            </w:r>
          </w:p>
        </w:tc>
        <w:tc>
          <w:tcPr>
            <w:tcW w:type="dxa" w:w="2197"/>
            <w:vAlign w:val="center"/>
          </w:tcPr>
          <w:p>
            <w:pPr>
              <w:spacing w:line="276" w:lineRule="auto" w:after="40"/>
            </w:pPr>
            <w:r>
              <w:rPr>
                <w:sz w:val="21"/>
              </w:rPr>
              <w:t>是</w:t>
            </w:r>
          </w:p>
        </w:tc>
        <w:tc>
          <w:tcPr>
            <w:tcW w:type="dxa" w:w="2197"/>
            <w:vAlign w:val="center"/>
          </w:tcPr>
          <w:p>
            <w:pPr>
              <w:spacing w:line="276" w:lineRule="auto" w:after="40"/>
            </w:pPr>
            <w:r>
              <w:rPr>
                <w:sz w:val="21"/>
              </w:rPr>
              <w:t>否</w:t>
            </w:r>
          </w:p>
        </w:tc>
        <w:tc>
          <w:tcPr>
            <w:tcW w:type="dxa" w:w="2197"/>
            <w:vAlign w:val="center"/>
          </w:tcPr>
          <w:p>
            <w:pPr>
              <w:spacing w:line="276" w:lineRule="auto" w:after="40"/>
            </w:pPr>
            <w:r>
              <w:rPr>
                <w:sz w:val="21"/>
              </w:rPr>
              <w:t>检验高分辨率输出</w:t>
            </w:r>
          </w:p>
        </w:tc>
      </w:tr>
      <w:tr>
        <w:trPr>
          <w:cantSplit/>
        </w:trPr>
        <w:tc>
          <w:tcPr>
            <w:tcW w:type="dxa" w:w="2197"/>
            <w:vAlign w:val="center"/>
          </w:tcPr>
          <w:p>
            <w:pPr>
              <w:spacing w:line="276" w:lineRule="auto" w:after="40"/>
            </w:pPr>
            <w:r>
              <w:rPr>
                <w:sz w:val="21"/>
              </w:rPr>
              <w:t>C：A+融合</w:t>
            </w:r>
          </w:p>
        </w:tc>
        <w:tc>
          <w:tcPr>
            <w:tcW w:type="dxa" w:w="2197"/>
            <w:vAlign w:val="center"/>
          </w:tcPr>
          <w:p>
            <w:pPr>
              <w:spacing w:line="276" w:lineRule="auto" w:after="40"/>
            </w:pPr>
            <w:r>
              <w:rPr>
                <w:sz w:val="21"/>
              </w:rPr>
              <w:t>否</w:t>
            </w:r>
          </w:p>
        </w:tc>
        <w:tc>
          <w:tcPr>
            <w:tcW w:type="dxa" w:w="2197"/>
            <w:vAlign w:val="center"/>
          </w:tcPr>
          <w:p>
            <w:pPr>
              <w:spacing w:line="276" w:lineRule="auto" w:after="40"/>
            </w:pPr>
            <w:r>
              <w:rPr>
                <w:sz w:val="21"/>
              </w:rPr>
              <w:t>是</w:t>
            </w:r>
          </w:p>
        </w:tc>
        <w:tc>
          <w:tcPr>
            <w:tcW w:type="dxa" w:w="2197"/>
            <w:vAlign w:val="center"/>
          </w:tcPr>
          <w:p>
            <w:pPr>
              <w:spacing w:line="276" w:lineRule="auto" w:after="40"/>
            </w:pPr>
            <w:r>
              <w:rPr>
                <w:sz w:val="21"/>
              </w:rPr>
              <w:t>检验融合路径</w:t>
            </w:r>
          </w:p>
        </w:tc>
      </w:tr>
      <w:tr>
        <w:trPr>
          <w:cantSplit/>
        </w:trPr>
        <w:tc>
          <w:tcPr>
            <w:tcW w:type="dxa" w:w="2197"/>
            <w:vAlign w:val="center"/>
          </w:tcPr>
          <w:p>
            <w:pPr>
              <w:spacing w:line="276" w:lineRule="auto" w:after="40"/>
            </w:pPr>
            <w:r>
              <w:rPr>
                <w:sz w:val="21"/>
              </w:rPr>
              <w:t>D：A+P2+融合</w:t>
            </w:r>
          </w:p>
        </w:tc>
        <w:tc>
          <w:tcPr>
            <w:tcW w:type="dxa" w:w="2197"/>
            <w:vAlign w:val="center"/>
          </w:tcPr>
          <w:p>
            <w:pPr>
              <w:spacing w:line="276" w:lineRule="auto" w:after="40"/>
            </w:pPr>
            <w:r>
              <w:rPr>
                <w:sz w:val="21"/>
              </w:rPr>
              <w:t>是</w:t>
            </w:r>
          </w:p>
        </w:tc>
        <w:tc>
          <w:tcPr>
            <w:tcW w:type="dxa" w:w="2197"/>
            <w:vAlign w:val="center"/>
          </w:tcPr>
          <w:p>
            <w:pPr>
              <w:spacing w:line="276" w:lineRule="auto" w:after="40"/>
            </w:pPr>
            <w:r>
              <w:rPr>
                <w:sz w:val="21"/>
              </w:rPr>
              <w:t>是</w:t>
            </w:r>
          </w:p>
        </w:tc>
        <w:tc>
          <w:tcPr>
            <w:tcW w:type="dxa" w:w="2197"/>
            <w:vAlign w:val="center"/>
          </w:tcPr>
          <w:p>
            <w:pPr>
              <w:spacing w:line="276" w:lineRule="auto" w:after="40"/>
            </w:pPr>
            <w:r>
              <w:rPr>
                <w:sz w:val="21"/>
              </w:rPr>
              <w:t>检验联合效果</w:t>
            </w:r>
          </w:p>
        </w:tc>
      </w:tr>
    </w:tbl>
    <w:p>
      <w:pPr>
        <w:widowControl/>
      </w:pPr>
      <w:r>
        <w:rPr>
          <w:rFonts w:ascii="Noto Serif CJK SC" w:hAnsi="Noto Serif CJK SC" w:eastAsia="Noto Serif CJK SC" w:cs="Noto Serif CJK SC"/>
        </w:rPr>
      </w:r>
    </w:p>
    <w:p>
      <w:pPr>
        <w:widowControl/>
        <w:ind w:firstLine="420"/>
      </w:pPr>
      <w:r>
        <w:rPr>
          <w:rFonts w:ascii="Noto Serif CJK SC" w:hAnsi="Noto Serif CJK SC" w:eastAsia="Noto Serif CJK SC" w:cs="Noto Serif CJK SC"/>
        </w:rPr>
        <w:t>模型规模应通过参数量、FLOPs、权重文件大小与峰值显存量化。推理测试至少包括预热、批量为 1 的多次重复，以及相同设备和精度设置；端到端计时覆盖预处理、前向和后处理。因切片推理会引入额外处理开销[7]，如把 SAHI 作为拓展对照，应另报切片数与合并耗时。</w:t>
      </w:r>
    </w:p>
    <w:p>
      <w:pPr>
        <w:pStyle w:val="1"/>
        <w:pageBreakBefore/>
        <w:jc w:val="center"/>
      </w:pPr>
      <w:r>
        <w:rPr>
          <w:rFonts w:ascii="Noto Sans CJK SC" w:hAnsi="Noto Sans CJK SC" w:eastAsia="Noto Sans CJK SC" w:cs="Noto Sans CJK SC"/>
        </w:rPr>
        <w:t>第5章 实验设计与待实测结果</w:t>
      </w:r>
    </w:p>
    <w:p>
      <w:pPr>
        <w:pStyle w:val="21"/>
      </w:pPr>
      <w:r>
        <w:rPr>
          <w:rFonts w:ascii="Noto Sans CJK SC" w:hAnsi="Noto Sans CJK SC" w:eastAsia="Noto Sans CJK SC" w:cs="Noto Sans CJK SC"/>
        </w:rPr>
        <w:t>5.1 实验条件与对照设置</w:t>
      </w:r>
    </w:p>
    <w:p>
      <w:pPr>
        <w:pStyle w:val="21"/>
        <w:keepNext/>
      </w:pPr>
      <w:r>
        <w:t>5.1.1 实验流程和检查点</w:t>
      </w:r>
    </w:p>
    <w:p>
      <w:pPr>
        <w:spacing w:line="341" w:lineRule="auto" w:after="0"/>
        <w:ind w:firstLine="420"/>
      </w:pPr>
      <w:r>
        <w:t>一次完整实验依次经过数据清单生成、标签可视化抽查、模型结构解析、单批次前向、训练、验证、权重保存和官方测试集评估。每个检查点都应生成可判断的输出：清单检查给出数量和缺失文件数，结构解析给出参数量和 GFLOPs，单批次前向给出四个检测尺度，测试阶段给出整体和分类别指标。任何检查点失败时都不能继续把后续数字写入论文。</w:t>
      </w:r>
    </w:p>
    <w:p>
      <w:pPr>
        <w:spacing w:line="341" w:lineRule="auto" w:after="0"/>
        <w:ind w:firstLine="420"/>
      </w:pPr>
      <w:r>
        <w:t>预备实验采用 CPU 完成，目的是确认数据转换、训练代码、P2 张量路径和测试脚本能够闭环执行。由于训练只有 10 个 epoch、输入尺寸为 320，并且每种模型只使用一个随机种子，这些数字只能作为流程实测，不足以支持最终模型优劣或工业部署结论。正式实验应把训练预算和硬件信息写入实验表后再比较。</w:t>
      </w:r>
    </w:p>
    <w:p>
      <w:pPr>
        <w:widowControl/>
        <w:ind w:firstLine="420"/>
      </w:pPr>
      <w:r>
        <w:t>本章规定训练、测试与统计方法；已完成一次 10 epoch、320 输入的 CPU 预备实测。该结果用于验证流程，正式论文仍需增加训练轮次和随机种子。实验执行中记录 GPU、CPU、显存、操作系统、Python、PyTorch、CUDA、Ultralytics 版本、模型配置文件哈希、数据清单哈希及随机种子。A—D 四组使用同一输入尺寸、数据划分、增强、训练预算和最佳模型选择规则。表5-2和表5-3记录本次预备实测值，正式结果需在扩展实验后更新。</w:t>
      </w:r>
    </w:p>
    <w:p>
      <w:pPr>
        <w:keepNext/>
        <w:widowControl/>
        <w:jc w:val="center"/>
      </w:pPr>
      <w:r>
        <w:rPr>
          <w:rFonts w:ascii="Noto Serif CJK SC" w:hAnsi="Noto Serif CJK SC" w:eastAsia="Noto Serif CJK SC" w:cs="Noto Serif CJK SC"/>
          <w:sz w:val="21"/>
        </w:rPr>
        <w:t>表5-1 实验环境与超参数登记表（待实测）</w:t>
      </w:r>
    </w:p>
    <w:tbl>
      <w:tblPr>
        <w:tblStyle w:val="aff1"/>
        <w:tblW w:type="auto" w:w="0"/>
        <w:jc w:val="center"/>
        <w:tblLayout w:type="autofit"/>
        <w:tblLook w:firstColumn="1" w:firstRow="1" w:lastColumn="0" w:lastRow="0" w:noHBand="0" w:noVBand="1" w:val="04A0"/>
      </w:tblPr>
      <w:tblGrid>
        <w:gridCol w:w="2929"/>
        <w:gridCol w:w="2929"/>
        <w:gridCol w:w="2929"/>
      </w:tblGrid>
      <w:tr>
        <w:trPr>
          <w:cantSplit/>
          <w:tblHeader w:val="true"/>
        </w:trPr>
        <w:tc>
          <w:tcPr>
            <w:tcW w:type="dxa" w:w="2929"/>
            <w:vAlign w:val="center"/>
          </w:tcPr>
          <w:p>
            <w:r>
              <w:rPr>
                <w:b/>
              </w:rPr>
              <w:t>项目</w:t>
            </w:r>
          </w:p>
        </w:tc>
        <w:tc>
          <w:tcPr>
            <w:tcW w:type="dxa" w:w="2929"/>
            <w:vAlign w:val="center"/>
          </w:tcPr>
          <w:p>
            <w:r>
              <w:rPr>
                <w:b/>
              </w:rPr>
              <w:t>计划或记录值</w:t>
            </w:r>
          </w:p>
        </w:tc>
        <w:tc>
          <w:tcPr>
            <w:tcW w:type="dxa" w:w="2929"/>
            <w:vAlign w:val="center"/>
          </w:tcPr>
          <w:p>
            <w:r>
              <w:rPr>
                <w:b/>
              </w:rPr>
              <w:t>状态</w:t>
            </w:r>
          </w:p>
        </w:tc>
      </w:tr>
      <w:tr>
        <w:trPr>
          <w:cantSplit/>
        </w:trPr>
        <w:tc>
          <w:tcPr>
            <w:tcW w:type="dxa" w:w="2929"/>
            <w:vAlign w:val="center"/>
          </w:tcPr>
          <w:p>
            <w:pPr>
              <w:spacing w:line="276" w:lineRule="auto" w:after="40"/>
            </w:pPr>
            <w:r>
              <w:rPr>
                <w:sz w:val="21"/>
              </w:rPr>
              <w:t>数据集</w:t>
            </w:r>
          </w:p>
        </w:tc>
        <w:tc>
          <w:tcPr>
            <w:tcW w:type="dxa" w:w="2929"/>
            <w:vAlign w:val="center"/>
          </w:tcPr>
          <w:p>
            <w:pPr>
              <w:spacing w:line="276" w:lineRule="auto" w:after="40"/>
            </w:pPr>
            <w:r>
              <w:rPr>
                <w:sz w:val="21"/>
              </w:rPr>
              <w:t>DeepPCB 官方 1 000/500 清单</w:t>
            </w:r>
          </w:p>
        </w:tc>
        <w:tc>
          <w:tcPr>
            <w:tcW w:type="dxa" w:w="2929"/>
            <w:vAlign w:val="center"/>
          </w:tcPr>
          <w:p>
            <w:pPr>
              <w:spacing w:line="276" w:lineRule="auto" w:after="40"/>
            </w:pPr>
            <w:r>
              <w:rPr>
                <w:sz w:val="21"/>
              </w:rPr>
              <w:t>划分清单待生成</w:t>
            </w:r>
          </w:p>
        </w:tc>
      </w:tr>
      <w:tr>
        <w:trPr>
          <w:cantSplit/>
        </w:trPr>
        <w:tc>
          <w:tcPr>
            <w:tcW w:type="dxa" w:w="2929"/>
            <w:vAlign w:val="center"/>
          </w:tcPr>
          <w:p>
            <w:pPr>
              <w:spacing w:line="276" w:lineRule="auto" w:after="40"/>
            </w:pPr>
            <w:r>
              <w:rPr>
                <w:sz w:val="21"/>
              </w:rPr>
              <w:t>训练/验证</w:t>
            </w:r>
          </w:p>
        </w:tc>
        <w:tc>
          <w:tcPr>
            <w:tcW w:type="dxa" w:w="2929"/>
            <w:vAlign w:val="center"/>
          </w:tcPr>
          <w:p>
            <w:pPr>
              <w:spacing w:line="276" w:lineRule="auto" w:after="40"/>
            </w:pPr>
            <w:r>
              <w:rPr>
                <w:sz w:val="21"/>
              </w:rPr>
              <w:t>从 1 000 组内约 800/200 划分</w:t>
            </w:r>
          </w:p>
        </w:tc>
        <w:tc>
          <w:tcPr>
            <w:tcW w:type="dxa" w:w="2929"/>
            <w:vAlign w:val="center"/>
          </w:tcPr>
          <w:p>
            <w:pPr>
              <w:spacing w:line="276" w:lineRule="auto" w:after="40"/>
            </w:pPr>
            <w:r>
              <w:rPr>
                <w:sz w:val="21"/>
              </w:rPr>
              <w:t>待执行</w:t>
            </w:r>
          </w:p>
        </w:tc>
      </w:tr>
      <w:tr>
        <w:trPr>
          <w:cantSplit/>
        </w:trPr>
        <w:tc>
          <w:tcPr>
            <w:tcW w:type="dxa" w:w="2929"/>
            <w:vAlign w:val="center"/>
          </w:tcPr>
          <w:p>
            <w:pPr>
              <w:spacing w:line="276" w:lineRule="auto" w:after="40"/>
            </w:pPr>
            <w:r>
              <w:rPr>
                <w:sz w:val="21"/>
              </w:rPr>
              <w:t>模型</w:t>
            </w:r>
          </w:p>
        </w:tc>
        <w:tc>
          <w:tcPr>
            <w:tcW w:type="dxa" w:w="2929"/>
            <w:vAlign w:val="center"/>
          </w:tcPr>
          <w:p>
            <w:pPr>
              <w:spacing w:line="276" w:lineRule="auto" w:after="40"/>
            </w:pPr>
            <w:r>
              <w:rPr>
                <w:sz w:val="21"/>
              </w:rPr>
              <w:t>YOLO11n；A—D 四组</w:t>
            </w:r>
          </w:p>
        </w:tc>
        <w:tc>
          <w:tcPr>
            <w:tcW w:type="dxa" w:w="2929"/>
            <w:vAlign w:val="center"/>
          </w:tcPr>
          <w:p>
            <w:pPr>
              <w:spacing w:line="276" w:lineRule="auto" w:after="40"/>
            </w:pPr>
            <w:r>
              <w:rPr>
                <w:sz w:val="21"/>
              </w:rPr>
              <w:t>待实现与训练</w:t>
            </w:r>
          </w:p>
        </w:tc>
      </w:tr>
      <w:tr>
        <w:trPr>
          <w:cantSplit/>
        </w:trPr>
        <w:tc>
          <w:tcPr>
            <w:tcW w:type="dxa" w:w="2929"/>
            <w:vAlign w:val="center"/>
          </w:tcPr>
          <w:p>
            <w:pPr>
              <w:spacing w:line="276" w:lineRule="auto" w:after="40"/>
            </w:pPr>
            <w:r>
              <w:rPr>
                <w:sz w:val="21"/>
              </w:rPr>
              <w:t>图像尺寸</w:t>
            </w:r>
          </w:p>
        </w:tc>
        <w:tc>
          <w:tcPr>
            <w:tcW w:type="dxa" w:w="2929"/>
            <w:vAlign w:val="center"/>
          </w:tcPr>
          <w:p>
            <w:pPr>
              <w:spacing w:line="276" w:lineRule="auto" w:after="40"/>
            </w:pPr>
            <w:r>
              <w:rPr>
                <w:sz w:val="21"/>
              </w:rPr>
              <w:t>640×640；960×960 为独立对照</w:t>
            </w:r>
          </w:p>
        </w:tc>
        <w:tc>
          <w:tcPr>
            <w:tcW w:type="dxa" w:w="2929"/>
            <w:vAlign w:val="center"/>
          </w:tcPr>
          <w:p>
            <w:pPr>
              <w:spacing w:line="276" w:lineRule="auto" w:after="40"/>
            </w:pPr>
            <w:r>
              <w:rPr>
                <w:sz w:val="21"/>
              </w:rPr>
              <w:t>待实测</w:t>
            </w:r>
          </w:p>
        </w:tc>
      </w:tr>
      <w:tr>
        <w:trPr>
          <w:cantSplit/>
        </w:trPr>
        <w:tc>
          <w:tcPr>
            <w:tcW w:type="dxa" w:w="2929"/>
            <w:vAlign w:val="center"/>
          </w:tcPr>
          <w:p>
            <w:pPr>
              <w:spacing w:line="276" w:lineRule="auto" w:after="40"/>
            </w:pPr>
            <w:r>
              <w:rPr>
                <w:sz w:val="21"/>
              </w:rPr>
              <w:t>训练预算</w:t>
            </w:r>
          </w:p>
        </w:tc>
        <w:tc>
          <w:tcPr>
            <w:tcW w:type="dxa" w:w="2929"/>
            <w:vAlign w:val="center"/>
          </w:tcPr>
          <w:p>
            <w:pPr>
              <w:spacing w:line="276" w:lineRule="auto" w:after="40"/>
            </w:pPr>
            <w:r>
              <w:rPr>
                <w:sz w:val="21"/>
              </w:rPr>
              <w:t>初设 200 epoch，≥3 随机种子</w:t>
            </w:r>
          </w:p>
        </w:tc>
        <w:tc>
          <w:tcPr>
            <w:tcW w:type="dxa" w:w="2929"/>
            <w:vAlign w:val="center"/>
          </w:tcPr>
          <w:p>
            <w:pPr>
              <w:spacing w:line="276" w:lineRule="auto" w:after="40"/>
            </w:pPr>
            <w:r>
              <w:rPr>
                <w:sz w:val="21"/>
              </w:rPr>
              <w:t>待实测</w:t>
            </w:r>
          </w:p>
        </w:tc>
      </w:tr>
      <w:tr>
        <w:trPr>
          <w:cantSplit/>
        </w:trPr>
        <w:tc>
          <w:tcPr>
            <w:tcW w:type="dxa" w:w="2929"/>
            <w:vAlign w:val="center"/>
          </w:tcPr>
          <w:p>
            <w:pPr>
              <w:spacing w:line="276" w:lineRule="auto" w:after="40"/>
            </w:pPr>
            <w:r>
              <w:rPr>
                <w:sz w:val="21"/>
              </w:rPr>
              <w:t>设备与框架版本</w:t>
            </w:r>
          </w:p>
        </w:tc>
        <w:tc>
          <w:tcPr>
            <w:tcW w:type="dxa" w:w="2929"/>
            <w:vAlign w:val="center"/>
          </w:tcPr>
          <w:p>
            <w:pPr>
              <w:spacing w:line="276" w:lineRule="auto" w:after="40"/>
            </w:pPr>
            <w:r>
              <w:rPr>
                <w:sz w:val="21"/>
              </w:rPr>
              <w:t>填写硬件型号、驱动、PyTorch、CUDA</w:t>
            </w:r>
          </w:p>
        </w:tc>
        <w:tc>
          <w:tcPr>
            <w:tcW w:type="dxa" w:w="2929"/>
            <w:vAlign w:val="center"/>
          </w:tcPr>
          <w:p>
            <w:pPr>
              <w:spacing w:line="276" w:lineRule="auto" w:after="40"/>
            </w:pPr>
            <w:r>
              <w:rPr>
                <w:sz w:val="21"/>
              </w:rPr>
              <w:t>待记录</w:t>
            </w:r>
          </w:p>
        </w:tc>
      </w:tr>
    </w:tbl>
    <w:p>
      <w:pPr>
        <w:widowControl/>
      </w:pPr>
      <w:r>
        <w:rPr>
          <w:rFonts w:ascii="Noto Serif CJK SC" w:hAnsi="Noto Serif CJK SC" w:eastAsia="Noto Serif CJK SC" w:cs="Noto Serif CJK SC"/>
        </w:rPr>
      </w:r>
    </w:p>
    <w:p>
      <w:pPr>
        <w:pStyle w:val="21"/>
      </w:pPr>
      <w:r>
        <w:rPr>
          <w:rFonts w:ascii="Noto Sans CJK SC" w:hAnsi="Noto Sans CJK SC" w:eastAsia="Noto Sans CJK SC" w:cs="Noto Sans CJK SC"/>
        </w:rPr>
        <w:t>5.2 消融与对比实验</w:t>
      </w:r>
    </w:p>
    <w:p>
      <w:pPr>
        <w:pStyle w:val="21"/>
        <w:keepNext/>
      </w:pPr>
      <w:r>
        <w:t>5.2.1 预备实测结果的解释</w:t>
      </w:r>
    </w:p>
    <w:p>
      <w:pPr>
        <w:spacing w:line="341" w:lineRule="auto" w:after="0"/>
        <w:ind w:firstLine="420"/>
      </w:pPr>
      <w:r>
        <w:t>本次预备实测中，YOLO11n 基线在官方 500 组测试集上得到 mAP@0.5 为 25.5285%，mAP@0.5:0.95 为 11.5029%；YOLO11n-P2 分别为 20.4037% 和 9.5723%。P2 的召回率与基线接近，但精确率和总体 AP 较低，说明在当前短训练和低输入尺寸条件下，新增高分辨率候选没有转化为稳定的正确预测。这个现象可以作为后续误差分析的出发点，不能被解释为 P2 在所有设置下无效。</w:t>
      </w:r>
    </w:p>
    <w:p>
      <w:pPr>
        <w:spacing w:line="341" w:lineRule="auto" w:after="0"/>
        <w:ind w:firstLine="420"/>
      </w:pPr>
      <w:r>
        <w:t>分类别结果显示，P2 对 mousebite 和 pin-hole 的 AP 有一定变化，但 copper 的 AP 明显下降，open 和 short 仍处于较低水平。不同类别的样本外观、框尺寸和数量不同，单一总体指标无法说明每类变化原因。后续需要检查训练曲线、类别混淆矩阵、目标面积分布以及置信度阈值，判断下降来自欠训练、误检增加还是标注和预处理问题。</w:t>
      </w:r>
    </w:p>
    <w:p>
      <w:pPr>
        <w:pStyle w:val="21"/>
        <w:keepNext/>
      </w:pPr>
      <w:r>
        <w:t>5.2.2 正式实验的扩展方案</w:t>
      </w:r>
    </w:p>
    <w:p>
      <w:pPr>
        <w:spacing w:line="341" w:lineRule="auto" w:after="0"/>
        <w:ind w:firstLine="420"/>
      </w:pPr>
      <w:r>
        <w:t>正式实验可先把输入尺寸恢复到 640，再将训练轮数增加到足以观察验证集收敛的范围，并为 A、B、C、D 各运行至少三个种子。模型选择在验证集完成，测试集只在配置冻结后使用。若 P2 在更充分训练后仍低于基线，应报告这一结果并讨论高分辨率分支的代价；研究结论不要求改进模块必须获得正向提升。</w:t>
      </w:r>
    </w:p>
    <w:p>
      <w:pPr>
        <w:widowControl/>
        <w:ind w:firstLine="420"/>
      </w:pPr>
      <w:r>
        <w:rPr>
          <w:rFonts w:ascii="Noto Serif CJK SC" w:hAnsi="Noto Serif CJK SC" w:eastAsia="Noto Serif CJK SC" w:cs="Noto Serif CJK SC"/>
        </w:rPr>
        <w:t>先报告 A—D 的总体结果，再报告 open、short 等六类结果。只有在随机种子重复实验及误差分析后，才可在正文写出“提升”或“下降”的定量结论。建议记录每组均值±标准差；对于性能接近的模型，不应仅凭一次运行的微小差异判断优劣。</w:t>
      </w:r>
    </w:p>
    <w:p>
      <w:pPr>
        <w:keepNext/>
        <w:widowControl/>
        <w:jc w:val="center"/>
      </w:pPr>
      <w:r>
        <w:t>表5-2 A—D 消融结果（A、B为本次10 epoch预备实测）</w:t>
      </w:r>
    </w:p>
    <w:tbl>
      <w:tblPr>
        <w:tblStyle w:val="aff1"/>
        <w:tblW w:type="auto" w:w="0"/>
        <w:jc w:val="center"/>
        <w:tblLayout w:type="autofit"/>
        <w:tblLook w:firstColumn="1" w:firstRow="1" w:lastColumn="0" w:lastRow="0" w:noHBand="0" w:noVBand="1" w:val="04A0"/>
      </w:tblPr>
      <w:tblGrid>
        <w:gridCol w:w="1255"/>
        <w:gridCol w:w="1255"/>
        <w:gridCol w:w="1255"/>
        <w:gridCol w:w="1255"/>
        <w:gridCol w:w="1255"/>
        <w:gridCol w:w="1255"/>
        <w:gridCol w:w="1255"/>
      </w:tblGrid>
      <w:tr>
        <w:trPr>
          <w:cantSplit/>
          <w:tblHeader w:val="true"/>
        </w:trPr>
        <w:tc>
          <w:tcPr>
            <w:tcW w:type="dxa" w:w="1255"/>
            <w:vAlign w:val="center"/>
          </w:tcPr>
          <w:p>
            <w:r>
              <w:rPr>
                <w:b/>
              </w:rPr>
              <w:t>模型</w:t>
            </w:r>
          </w:p>
        </w:tc>
        <w:tc>
          <w:tcPr>
            <w:tcW w:type="dxa" w:w="1255"/>
            <w:vAlign w:val="center"/>
          </w:tcPr>
          <w:p>
            <w:r>
              <w:rPr>
                <w:b/>
              </w:rPr>
              <w:t>mAP50/%</w:t>
            </w:r>
          </w:p>
        </w:tc>
        <w:tc>
          <w:tcPr>
            <w:tcW w:type="dxa" w:w="1255"/>
            <w:vAlign w:val="center"/>
          </w:tcPr>
          <w:p>
            <w:r>
              <w:rPr>
                <w:b/>
              </w:rPr>
              <w:t>mAP50:95/%</w:t>
            </w:r>
          </w:p>
        </w:tc>
        <w:tc>
          <w:tcPr>
            <w:tcW w:type="dxa" w:w="1255"/>
            <w:vAlign w:val="center"/>
          </w:tcPr>
          <w:p>
            <w:r>
              <w:rPr>
                <w:b/>
              </w:rPr>
              <w:t>小目标AP/%</w:t>
            </w:r>
          </w:p>
        </w:tc>
        <w:tc>
          <w:tcPr>
            <w:tcW w:type="dxa" w:w="1255"/>
            <w:vAlign w:val="center"/>
          </w:tcPr>
          <w:p>
            <w:r>
              <w:rPr>
                <w:b/>
              </w:rPr>
              <w:t>参数/M</w:t>
            </w:r>
          </w:p>
        </w:tc>
        <w:tc>
          <w:tcPr>
            <w:tcW w:type="dxa" w:w="1255"/>
            <w:vAlign w:val="center"/>
          </w:tcPr>
          <w:p>
            <w:r>
              <w:rPr>
                <w:b/>
              </w:rPr>
              <w:t>GFLOPs</w:t>
            </w:r>
          </w:p>
        </w:tc>
        <w:tc>
          <w:tcPr>
            <w:tcW w:type="dxa" w:w="1255"/>
            <w:vAlign w:val="center"/>
          </w:tcPr>
          <w:p>
            <w:r>
              <w:rPr>
                <w:b/>
              </w:rPr>
              <w:t>延迟/ms</w:t>
            </w:r>
          </w:p>
        </w:tc>
      </w:tr>
      <w:tr>
        <w:trPr>
          <w:cantSplit/>
        </w:trPr>
        <w:tc>
          <w:tcPr>
            <w:tcW w:type="dxa" w:w="1255"/>
            <w:vAlign w:val="center"/>
          </w:tcPr>
          <w:p>
            <w:r>
              <w:t>A：YOLO11n</w:t>
            </w:r>
          </w:p>
        </w:tc>
        <w:tc>
          <w:tcPr>
            <w:tcW w:type="dxa" w:w="1255"/>
            <w:vAlign w:val="center"/>
          </w:tcPr>
          <w:p>
            <w:r>
              <w:t>25.53</w:t>
            </w:r>
          </w:p>
        </w:tc>
        <w:tc>
          <w:tcPr>
            <w:tcW w:type="dxa" w:w="1255"/>
            <w:vAlign w:val="center"/>
          </w:tcPr>
          <w:p>
            <w:r>
              <w:t>11.50</w:t>
            </w:r>
          </w:p>
        </w:tc>
        <w:tc>
          <w:tcPr>
            <w:tcW w:type="dxa" w:w="1255"/>
            <w:vAlign w:val="center"/>
          </w:tcPr>
          <w:p>
            <w:r>
              <w:t>待定义</w:t>
            </w:r>
          </w:p>
        </w:tc>
        <w:tc>
          <w:tcPr>
            <w:tcW w:type="dxa" w:w="1255"/>
            <w:vAlign w:val="center"/>
          </w:tcPr>
          <w:p>
            <w:r>
              <w:t>2.58</w:t>
            </w:r>
          </w:p>
        </w:tc>
        <w:tc>
          <w:tcPr>
            <w:tcW w:type="dxa" w:w="1255"/>
            <w:vAlign w:val="center"/>
          </w:tcPr>
          <w:p>
            <w:r>
              <w:t>6.40</w:t>
            </w:r>
          </w:p>
        </w:tc>
        <w:tc>
          <w:tcPr>
            <w:tcW w:type="dxa" w:w="1255"/>
            <w:vAlign w:val="center"/>
          </w:tcPr>
          <w:p>
            <w:r>
              <w:t>17.50</w:t>
            </w:r>
          </w:p>
        </w:tc>
      </w:tr>
      <w:tr>
        <w:trPr>
          <w:cantSplit/>
        </w:trPr>
        <w:tc>
          <w:tcPr>
            <w:tcW w:type="dxa" w:w="1255"/>
            <w:vAlign w:val="center"/>
          </w:tcPr>
          <w:p>
            <w:r>
              <w:t>B：A+P2</w:t>
            </w:r>
          </w:p>
        </w:tc>
        <w:tc>
          <w:tcPr>
            <w:tcW w:type="dxa" w:w="1255"/>
            <w:vAlign w:val="center"/>
          </w:tcPr>
          <w:p>
            <w:r>
              <w:t>20.40</w:t>
            </w:r>
          </w:p>
        </w:tc>
        <w:tc>
          <w:tcPr>
            <w:tcW w:type="dxa" w:w="1255"/>
            <w:vAlign w:val="center"/>
          </w:tcPr>
          <w:p>
            <w:r>
              <w:t>9.57</w:t>
            </w:r>
          </w:p>
        </w:tc>
        <w:tc>
          <w:tcPr>
            <w:tcW w:type="dxa" w:w="1255"/>
            <w:vAlign w:val="center"/>
          </w:tcPr>
          <w:p>
            <w:r>
              <w:t>待定义</w:t>
            </w:r>
          </w:p>
        </w:tc>
        <w:tc>
          <w:tcPr>
            <w:tcW w:type="dxa" w:w="1255"/>
            <w:vAlign w:val="center"/>
          </w:tcPr>
          <w:p>
            <w:r>
              <w:t>2.66</w:t>
            </w:r>
          </w:p>
        </w:tc>
        <w:tc>
          <w:tcPr>
            <w:tcW w:type="dxa" w:w="1255"/>
            <w:vAlign w:val="center"/>
          </w:tcPr>
          <w:p>
            <w:r>
              <w:t>10.30</w:t>
            </w:r>
          </w:p>
        </w:tc>
        <w:tc>
          <w:tcPr>
            <w:tcW w:type="dxa" w:w="1255"/>
            <w:vAlign w:val="center"/>
          </w:tcPr>
          <w:p>
            <w:r>
              <w:t>25.70</w:t>
            </w:r>
          </w:p>
        </w:tc>
      </w:tr>
      <w:tr>
        <w:trPr>
          <w:cantSplit/>
        </w:trPr>
        <w:tc>
          <w:tcPr>
            <w:tcW w:type="dxa" w:w="1255"/>
            <w:vAlign w:val="center"/>
          </w:tcPr>
          <w:p>
            <w:r>
              <w:t>C：A+融合</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r>
      <w:tr>
        <w:trPr>
          <w:cantSplit/>
        </w:trPr>
        <w:tc>
          <w:tcPr>
            <w:tcW w:type="dxa" w:w="1255"/>
            <w:vAlign w:val="center"/>
          </w:tcPr>
          <w:p>
            <w:r>
              <w:t>D：A+P2+融合</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r>
    </w:tbl>
    <w:p>
      <w:pPr>
        <w:widowControl/>
      </w:pPr>
      <w:r>
        <w:rPr>
          <w:rFonts w:ascii="Noto Serif CJK SC" w:hAnsi="Noto Serif CJK SC" w:eastAsia="Noto Serif CJK SC" w:cs="Noto Serif CJK SC"/>
        </w:rPr>
      </w:r>
    </w:p>
    <w:p>
      <w:pPr>
        <w:keepNext/>
        <w:widowControl/>
        <w:jc w:val="center"/>
      </w:pPr>
      <w:r>
        <w:t>表5-3 各类 AP 与召回率（A、B为本次10 epoch预备实测，单位：%）</w:t>
      </w:r>
    </w:p>
    <w:tbl>
      <w:tblPr>
        <w:tblStyle w:val="aff1"/>
        <w:tblW w:type="auto" w:w="0"/>
        <w:jc w:val="center"/>
        <w:tblLayout w:type="autofit"/>
        <w:tblLook w:firstColumn="1" w:firstRow="1" w:lastColumn="0" w:lastRow="0" w:noHBand="0" w:noVBand="1" w:val="04A0"/>
      </w:tblPr>
      <w:tblGrid>
        <w:gridCol w:w="1255"/>
        <w:gridCol w:w="1255"/>
        <w:gridCol w:w="1255"/>
        <w:gridCol w:w="1255"/>
        <w:gridCol w:w="1255"/>
        <w:gridCol w:w="1255"/>
        <w:gridCol w:w="1255"/>
      </w:tblGrid>
      <w:tr>
        <w:trPr>
          <w:cantSplit/>
          <w:tblHeader w:val="true"/>
        </w:trPr>
        <w:tc>
          <w:tcPr>
            <w:tcW w:type="dxa" w:w="1255"/>
            <w:vAlign w:val="center"/>
          </w:tcPr>
          <w:p>
            <w:r>
              <w:rPr>
                <w:b/>
              </w:rPr>
              <w:t>模型</w:t>
            </w:r>
          </w:p>
        </w:tc>
        <w:tc>
          <w:tcPr>
            <w:tcW w:type="dxa" w:w="1255"/>
            <w:vAlign w:val="center"/>
          </w:tcPr>
          <w:p>
            <w:r>
              <w:rPr>
                <w:b/>
              </w:rPr>
              <w:t>断路 AP/R</w:t>
            </w:r>
          </w:p>
        </w:tc>
        <w:tc>
          <w:tcPr>
            <w:tcW w:type="dxa" w:w="1255"/>
            <w:vAlign w:val="center"/>
          </w:tcPr>
          <w:p>
            <w:r>
              <w:rPr>
                <w:b/>
              </w:rPr>
              <w:t>短路 AP/R</w:t>
            </w:r>
          </w:p>
        </w:tc>
        <w:tc>
          <w:tcPr>
            <w:tcW w:type="dxa" w:w="1255"/>
            <w:vAlign w:val="center"/>
          </w:tcPr>
          <w:p>
            <w:r>
              <w:rPr>
                <w:b/>
              </w:rPr>
              <w:t>鼠咬 AP/R</w:t>
            </w:r>
          </w:p>
        </w:tc>
        <w:tc>
          <w:tcPr>
            <w:tcW w:type="dxa" w:w="1255"/>
            <w:vAlign w:val="center"/>
          </w:tcPr>
          <w:p>
            <w:r>
              <w:rPr>
                <w:b/>
              </w:rPr>
              <w:t>毛刺 AP/R</w:t>
            </w:r>
          </w:p>
        </w:tc>
        <w:tc>
          <w:tcPr>
            <w:tcW w:type="dxa" w:w="1255"/>
            <w:vAlign w:val="center"/>
          </w:tcPr>
          <w:p>
            <w:r>
              <w:rPr>
                <w:b/>
              </w:rPr>
              <w:t>杂铜 AP/R</w:t>
            </w:r>
          </w:p>
        </w:tc>
        <w:tc>
          <w:tcPr>
            <w:tcW w:type="dxa" w:w="1255"/>
            <w:vAlign w:val="center"/>
          </w:tcPr>
          <w:p>
            <w:r>
              <w:rPr>
                <w:b/>
              </w:rPr>
              <w:t>针孔 AP/R</w:t>
            </w:r>
          </w:p>
        </w:tc>
      </w:tr>
      <w:tr>
        <w:trPr>
          <w:cantSplit/>
        </w:trPr>
        <w:tc>
          <w:tcPr>
            <w:tcW w:type="dxa" w:w="1255"/>
            <w:vAlign w:val="center"/>
          </w:tcPr>
          <w:p>
            <w:pPr>
              <w:spacing w:line="276" w:lineRule="auto" w:after="40"/>
            </w:pPr>
            <w:r>
              <w:rPr>
                <w:sz w:val="21"/>
              </w:rPr>
              <w:t>A</w:t>
            </w:r>
          </w:p>
        </w:tc>
        <w:tc>
          <w:tcPr>
            <w:tcW w:type="dxa" w:w="1255"/>
            <w:vAlign w:val="center"/>
          </w:tcPr>
          <w:p>
            <w:r>
              <w:t>16.31/25.95</w:t>
            </w:r>
          </w:p>
        </w:tc>
        <w:tc>
          <w:tcPr>
            <w:tcW w:type="dxa" w:w="1255"/>
            <w:vAlign w:val="center"/>
          </w:tcPr>
          <w:p>
            <w:r>
              <w:t>9.41/20.71</w:t>
            </w:r>
          </w:p>
        </w:tc>
        <w:tc>
          <w:tcPr>
            <w:tcW w:type="dxa" w:w="1255"/>
            <w:vAlign w:val="center"/>
          </w:tcPr>
          <w:p>
            <w:r>
              <w:t>13.32/25.60</w:t>
            </w:r>
          </w:p>
        </w:tc>
        <w:tc>
          <w:tcPr>
            <w:tcW w:type="dxa" w:w="1255"/>
            <w:vAlign w:val="center"/>
          </w:tcPr>
          <w:p>
            <w:r>
              <w:t>9.41/6.63</w:t>
            </w:r>
          </w:p>
        </w:tc>
        <w:tc>
          <w:tcPr>
            <w:tcW w:type="dxa" w:w="1255"/>
            <w:vAlign w:val="center"/>
          </w:tcPr>
          <w:p>
            <w:r>
              <w:t>70.62/78.23</w:t>
            </w:r>
          </w:p>
        </w:tc>
        <w:tc>
          <w:tcPr>
            <w:tcW w:type="dxa" w:w="1255"/>
            <w:vAlign w:val="center"/>
          </w:tcPr>
          <w:p>
            <w:r>
              <w:t>34.12/62.34</w:t>
            </w:r>
          </w:p>
        </w:tc>
      </w:tr>
      <w:tr>
        <w:trPr>
          <w:cantSplit/>
        </w:trPr>
        <w:tc>
          <w:tcPr>
            <w:tcW w:type="dxa" w:w="1255"/>
            <w:vAlign w:val="center"/>
          </w:tcPr>
          <w:p>
            <w:pPr>
              <w:spacing w:line="276" w:lineRule="auto" w:after="40"/>
            </w:pPr>
            <w:r>
              <w:rPr>
                <w:sz w:val="21"/>
              </w:rPr>
              <w:t>B</w:t>
            </w:r>
          </w:p>
        </w:tc>
        <w:tc>
          <w:tcPr>
            <w:tcW w:type="dxa" w:w="1255"/>
            <w:vAlign w:val="center"/>
          </w:tcPr>
          <w:p>
            <w:r>
              <w:t>16.18/29.89</w:t>
            </w:r>
          </w:p>
        </w:tc>
        <w:tc>
          <w:tcPr>
            <w:tcW w:type="dxa" w:w="1255"/>
            <w:vAlign w:val="center"/>
          </w:tcPr>
          <w:p>
            <w:r>
              <w:t>6.62/17.15</w:t>
            </w:r>
          </w:p>
        </w:tc>
        <w:tc>
          <w:tcPr>
            <w:tcW w:type="dxa" w:w="1255"/>
            <w:vAlign w:val="center"/>
          </w:tcPr>
          <w:p>
            <w:r>
              <w:t>15.27/34.98</w:t>
            </w:r>
          </w:p>
        </w:tc>
        <w:tc>
          <w:tcPr>
            <w:tcW w:type="dxa" w:w="1255"/>
            <w:vAlign w:val="center"/>
          </w:tcPr>
          <w:p>
            <w:r>
              <w:t>8.57/16.36</w:t>
            </w:r>
          </w:p>
        </w:tc>
        <w:tc>
          <w:tcPr>
            <w:tcW w:type="dxa" w:w="1255"/>
            <w:vAlign w:val="center"/>
          </w:tcPr>
          <w:p>
            <w:r>
              <w:t>36.45/55.60</w:t>
            </w:r>
          </w:p>
        </w:tc>
        <w:tc>
          <w:tcPr>
            <w:tcW w:type="dxa" w:w="1255"/>
            <w:vAlign w:val="center"/>
          </w:tcPr>
          <w:p>
            <w:r>
              <w:t>39.34/65.11</w:t>
            </w:r>
          </w:p>
        </w:tc>
      </w:tr>
      <w:tr>
        <w:trPr>
          <w:cantSplit/>
        </w:trPr>
        <w:tc>
          <w:tcPr>
            <w:tcW w:type="dxa" w:w="1255"/>
            <w:vAlign w:val="center"/>
          </w:tcPr>
          <w:p>
            <w:pPr>
              <w:spacing w:line="276" w:lineRule="auto" w:after="40"/>
            </w:pPr>
            <w:r>
              <w:rPr>
                <w:sz w:val="21"/>
              </w:rPr>
              <w:t>C</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r>
      <w:tr>
        <w:trPr>
          <w:cantSplit/>
        </w:trPr>
        <w:tc>
          <w:tcPr>
            <w:tcW w:type="dxa" w:w="1255"/>
            <w:vAlign w:val="center"/>
          </w:tcPr>
          <w:p>
            <w:pPr>
              <w:spacing w:line="276" w:lineRule="auto" w:after="40"/>
            </w:pPr>
            <w:r>
              <w:rPr>
                <w:sz w:val="21"/>
              </w:rPr>
              <w:t>D</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r>
    </w:tbl>
    <w:p>
      <w:pPr>
        <w:widowControl/>
      </w:pPr>
      <w:r>
        <w:rPr>
          <w:rFonts w:ascii="Noto Serif CJK SC" w:hAnsi="Noto Serif CJK SC" w:eastAsia="Noto Serif CJK SC" w:cs="Noto Serif CJK SC"/>
        </w:rPr>
      </w:r>
    </w:p>
    <w:p>
      <w:pPr>
        <w:widowControl/>
        <w:ind w:firstLine="420"/>
      </w:pPr>
      <w:r>
        <w:rPr>
          <w:rFonts w:ascii="Noto Serif CJK SC" w:hAnsi="Noto Serif CJK SC" w:eastAsia="Noto Serif CJK SC" w:cs="Noto Serif CJK SC"/>
        </w:rPr>
        <w:t>小目标 AP 需先给出明确的面积阈值，报告阈值内的标注数量及六类分布。若少数类别样本很少，应同时报告置信区间或至少标准差，避免用不稳定的单一 AP 数值作结论。比较图应来自官方测试集，图注注明样本编号与模型版本，不把训练可视化图当作测试结果。</w:t>
      </w:r>
    </w:p>
    <w:p>
      <w:pPr>
        <w:widowControl/>
        <w:ind w:firstLine="420"/>
      </w:pPr>
      <w:r>
        <w:rPr>
          <w:rFonts w:ascii="Noto Serif CJK SC" w:hAnsi="Noto Serif CJK SC" w:eastAsia="Noto Serif CJK SC" w:cs="Noto Serif CJK SC"/>
        </w:rPr>
        <w:t>对照实验建议增加 A 的 960 输入版本，以区分高分辨率检测头与输入尺度带来的变化；在算力允许时，可用同数据划分的 YOLOv8n 或 YOLOv10n 作参考[12]。跨论文的已发表数字仅作为背景，不能与本稿结果在不同数据和阈值下直接排序。YOLOv10 属另一代模型，不能把其论文当作 YOLO11 的原始方法引用。</w:t>
      </w:r>
    </w:p>
    <w:p>
      <w:pPr>
        <w:pStyle w:val="21"/>
      </w:pPr>
      <w:r>
        <w:rPr>
          <w:rFonts w:ascii="Noto Sans CJK SC" w:hAnsi="Noto Sans CJK SC" w:eastAsia="Noto Sans CJK SC" w:cs="Noto Sans CJK SC"/>
        </w:rPr>
        <w:t>5.3 误差分析与可复现性</w:t>
      </w:r>
    </w:p>
    <w:p>
      <w:pPr>
        <w:pStyle w:val="21"/>
        <w:keepNext/>
      </w:pPr>
      <w:r>
        <w:t>5.3.1 错误类型的记录方法</w:t>
      </w:r>
    </w:p>
    <w:p>
      <w:pPr>
        <w:spacing w:line="341" w:lineRule="auto" w:after="0"/>
        <w:ind w:firstLine="420"/>
      </w:pPr>
      <w:r>
        <w:t>漏检案例可以按目标面积、类别、线路密集程度和对比度分组。对于断路和短路，应记录真实框是否被预测为背景、是否被预测为其他类别，以及预测框与真实框的中心偏移。误检案例则要区分正常焊盘边缘、线路交叉、噪声纹理和重复预测。每类案例至少保存样本编号、预测置信度和模型版本，便于复核而不是只展示截图。</w:t>
      </w:r>
    </w:p>
    <w:p>
      <w:pPr>
        <w:spacing w:line="341" w:lineRule="auto" w:after="0"/>
        <w:ind w:firstLine="420"/>
      </w:pPr>
      <w:r>
        <w:t>可复现性还包括软件版本和运行资源。相同权重在不同 PyTorch、CUDA、图像库或 NMS 实现下可能产生轻微差异，因此日志应保存环境文件和完整命令行。随机增强、数据加载线程和非确定性算子也可能影响结果。本文代码把清单、模型类型、epoch、输入尺寸和 seed 作为显式参数，后续实验应保留运行目录而不是覆盖旧结果。</w:t>
      </w:r>
    </w:p>
    <w:p>
      <w:pPr>
        <w:widowControl/>
        <w:ind w:firstLine="420"/>
      </w:pPr>
      <w:r>
        <w:rPr>
          <w:rFonts w:ascii="Noto Serif CJK SC" w:hAnsi="Noto Serif CJK SC" w:eastAsia="Noto Serif CJK SC" w:cs="Noto Serif CJK SC"/>
        </w:rPr>
        <w:t>误差分析应从 open、short 的漏检图像入手，区分极小尺寸、低对比度、线路密集、标注偏差和配准误差；同时统计 pin-hole 与杂铜等类别的相互误检。建议按目标面积分箱生成召回曲线，并比较 P2 对各分箱的影响。对于每类错误，保存原图、标注框、预测框及置信度，避免仅展示有利的成功案例。</w:t>
      </w:r>
    </w:p>
    <w:p>
      <w:pPr>
        <w:keepNext/>
        <w:widowControl/>
        <w:jc w:val="center"/>
      </w:pPr>
      <w:r>
        <w:rPr>
          <w:rFonts w:ascii="Noto Serif CJK SC" w:hAnsi="Noto Serif CJK SC" w:eastAsia="Noto Serif CJK SC" w:cs="Noto Serif CJK SC"/>
          <w:sz w:val="21"/>
        </w:rPr>
        <w:t>表5-4 错误案例与效率记录（待实测）</w:t>
      </w:r>
    </w:p>
    <w:tbl>
      <w:tblPr>
        <w:tblStyle w:val="aff1"/>
        <w:tblW w:type="auto" w:w="0"/>
        <w:jc w:val="center"/>
        <w:tblLayout w:type="autofit"/>
        <w:tblLook w:firstColumn="1" w:firstRow="1" w:lastColumn="0" w:lastRow="0" w:noHBand="0" w:noVBand="1" w:val="04A0"/>
      </w:tblPr>
      <w:tblGrid>
        <w:gridCol w:w="2929"/>
        <w:gridCol w:w="2929"/>
        <w:gridCol w:w="2929"/>
      </w:tblGrid>
      <w:tr>
        <w:trPr>
          <w:cantSplit/>
          <w:tblHeader w:val="true"/>
        </w:trPr>
        <w:tc>
          <w:tcPr>
            <w:tcW w:type="dxa" w:w="2929"/>
            <w:vAlign w:val="center"/>
          </w:tcPr>
          <w:p>
            <w:r>
              <w:rPr>
                <w:b/>
              </w:rPr>
              <w:t>分析项目</w:t>
            </w:r>
          </w:p>
        </w:tc>
        <w:tc>
          <w:tcPr>
            <w:tcW w:type="dxa" w:w="2929"/>
            <w:vAlign w:val="center"/>
          </w:tcPr>
          <w:p>
            <w:r>
              <w:rPr>
                <w:b/>
              </w:rPr>
              <w:t>具体记录</w:t>
            </w:r>
          </w:p>
        </w:tc>
        <w:tc>
          <w:tcPr>
            <w:tcW w:type="dxa" w:w="2929"/>
            <w:vAlign w:val="center"/>
          </w:tcPr>
          <w:p>
            <w:r>
              <w:rPr>
                <w:b/>
              </w:rPr>
              <w:t>当前状态</w:t>
            </w:r>
          </w:p>
        </w:tc>
      </w:tr>
      <w:tr>
        <w:trPr>
          <w:cantSplit/>
        </w:trPr>
        <w:tc>
          <w:tcPr>
            <w:tcW w:type="dxa" w:w="2929"/>
            <w:vAlign w:val="center"/>
          </w:tcPr>
          <w:p>
            <w:pPr>
              <w:spacing w:line="276" w:lineRule="auto" w:after="40"/>
            </w:pPr>
            <w:r>
              <w:rPr>
                <w:sz w:val="21"/>
              </w:rPr>
              <w:t>断路/短路漏检</w:t>
            </w:r>
          </w:p>
        </w:tc>
        <w:tc>
          <w:tcPr>
            <w:tcW w:type="dxa" w:w="2929"/>
            <w:vAlign w:val="center"/>
          </w:tcPr>
          <w:p>
            <w:pPr>
              <w:spacing w:line="276" w:lineRule="auto" w:after="40"/>
            </w:pPr>
            <w:r>
              <w:rPr>
                <w:sz w:val="21"/>
              </w:rPr>
              <w:t>各类 FN 数、尺寸分布、典型样本编号</w:t>
            </w:r>
          </w:p>
        </w:tc>
        <w:tc>
          <w:tcPr>
            <w:tcW w:type="dxa" w:w="2929"/>
            <w:vAlign w:val="center"/>
          </w:tcPr>
          <w:p>
            <w:pPr>
              <w:spacing w:line="276" w:lineRule="auto" w:after="40"/>
            </w:pPr>
            <w:r>
              <w:rPr>
                <w:sz w:val="21"/>
              </w:rPr>
              <w:t>待实测</w:t>
            </w:r>
          </w:p>
        </w:tc>
      </w:tr>
      <w:tr>
        <w:trPr>
          <w:cantSplit/>
        </w:trPr>
        <w:tc>
          <w:tcPr>
            <w:tcW w:type="dxa" w:w="2929"/>
            <w:vAlign w:val="center"/>
          </w:tcPr>
          <w:p>
            <w:pPr>
              <w:spacing w:line="276" w:lineRule="auto" w:after="40"/>
            </w:pPr>
            <w:r>
              <w:rPr>
                <w:sz w:val="21"/>
              </w:rPr>
              <w:t>误检与类别混淆</w:t>
            </w:r>
          </w:p>
        </w:tc>
        <w:tc>
          <w:tcPr>
            <w:tcW w:type="dxa" w:w="2929"/>
            <w:vAlign w:val="center"/>
          </w:tcPr>
          <w:p>
            <w:pPr>
              <w:spacing w:line="276" w:lineRule="auto" w:after="40"/>
            </w:pPr>
            <w:r>
              <w:rPr>
                <w:sz w:val="21"/>
              </w:rPr>
              <w:t>FP 数、混淆矩阵、置信度阈值</w:t>
            </w:r>
          </w:p>
        </w:tc>
        <w:tc>
          <w:tcPr>
            <w:tcW w:type="dxa" w:w="2929"/>
            <w:vAlign w:val="center"/>
          </w:tcPr>
          <w:p>
            <w:pPr>
              <w:spacing w:line="276" w:lineRule="auto" w:after="40"/>
            </w:pPr>
            <w:r>
              <w:rPr>
                <w:sz w:val="21"/>
              </w:rPr>
              <w:t>待实测</w:t>
            </w:r>
          </w:p>
        </w:tc>
      </w:tr>
      <w:tr>
        <w:trPr>
          <w:cantSplit/>
        </w:trPr>
        <w:tc>
          <w:tcPr>
            <w:tcW w:type="dxa" w:w="2929"/>
            <w:vAlign w:val="center"/>
          </w:tcPr>
          <w:p>
            <w:pPr>
              <w:spacing w:line="276" w:lineRule="auto" w:after="40"/>
            </w:pPr>
            <w:r>
              <w:rPr>
                <w:sz w:val="21"/>
              </w:rPr>
              <w:t>小目标收益</w:t>
            </w:r>
          </w:p>
        </w:tc>
        <w:tc>
          <w:tcPr>
            <w:tcW w:type="dxa" w:w="2929"/>
            <w:vAlign w:val="center"/>
          </w:tcPr>
          <w:p>
            <w:pPr>
              <w:spacing w:line="276" w:lineRule="auto" w:after="40"/>
            </w:pPr>
            <w:r>
              <w:rPr>
                <w:sz w:val="21"/>
              </w:rPr>
              <w:t>预定面积阈值、样本数、AP 与召回</w:t>
            </w:r>
          </w:p>
        </w:tc>
        <w:tc>
          <w:tcPr>
            <w:tcW w:type="dxa" w:w="2929"/>
            <w:vAlign w:val="center"/>
          </w:tcPr>
          <w:p>
            <w:pPr>
              <w:spacing w:line="276" w:lineRule="auto" w:after="40"/>
            </w:pPr>
            <w:r>
              <w:rPr>
                <w:sz w:val="21"/>
              </w:rPr>
              <w:t>待实测</w:t>
            </w:r>
          </w:p>
        </w:tc>
      </w:tr>
      <w:tr>
        <w:trPr>
          <w:cantSplit/>
        </w:trPr>
        <w:tc>
          <w:tcPr>
            <w:tcW w:type="dxa" w:w="2929"/>
            <w:vAlign w:val="center"/>
          </w:tcPr>
          <w:p>
            <w:pPr>
              <w:spacing w:line="276" w:lineRule="auto" w:after="40"/>
            </w:pPr>
            <w:r>
              <w:rPr>
                <w:sz w:val="21"/>
              </w:rPr>
              <w:t>部署开销</w:t>
            </w:r>
          </w:p>
        </w:tc>
        <w:tc>
          <w:tcPr>
            <w:tcW w:type="dxa" w:w="2929"/>
            <w:vAlign w:val="center"/>
          </w:tcPr>
          <w:p>
            <w:pPr>
              <w:spacing w:line="276" w:lineRule="auto" w:after="40"/>
            </w:pPr>
            <w:r>
              <w:rPr>
                <w:sz w:val="21"/>
              </w:rPr>
              <w:t>批量 1 延迟、FPS、峰值显存</w:t>
            </w:r>
          </w:p>
        </w:tc>
        <w:tc>
          <w:tcPr>
            <w:tcW w:type="dxa" w:w="2929"/>
            <w:vAlign w:val="center"/>
          </w:tcPr>
          <w:p>
            <w:pPr>
              <w:spacing w:line="276" w:lineRule="auto" w:after="40"/>
            </w:pPr>
            <w:r>
              <w:rPr>
                <w:sz w:val="21"/>
              </w:rPr>
              <w:t>待实测</w:t>
            </w:r>
          </w:p>
        </w:tc>
      </w:tr>
    </w:tbl>
    <w:p>
      <w:pPr>
        <w:widowControl/>
      </w:pPr>
      <w:r>
        <w:rPr>
          <w:rFonts w:ascii="Noto Serif CJK SC" w:hAnsi="Noto Serif CJK SC" w:eastAsia="Noto Serif CJK SC" w:cs="Noto Serif CJK SC"/>
        </w:rPr>
      </w:r>
    </w:p>
    <w:p>
      <w:pPr>
        <w:widowControl/>
        <w:ind w:firstLine="420"/>
      </w:pPr>
      <w:r>
        <w:rPr>
          <w:rFonts w:ascii="Noto Serif CJK SC" w:hAnsi="Noto Serif CJK SC" w:eastAsia="Noto Serif CJK SC" w:cs="Noto Serif CJK SC"/>
        </w:rPr>
        <w:t>研究产物应保存数据划分清单、类别映射、配置文件、训练日志、随机种子、最佳权重与评估脚本。模板差分若作为后续扩展，需要保证对图像对实施完全一致的几何变换，并对照同样使用模板信息的基线。论文最终结论必须与实际填写的表5-2至表5-4及保存的日志一致。</w:t>
      </w:r>
    </w:p>
    <w:p>
      <w:pPr>
        <w:pStyle w:val="1"/>
        <w:pageBreakBefore/>
        <w:jc w:val="center"/>
      </w:pPr>
      <w:r>
        <w:rPr>
          <w:rFonts w:ascii="Noto Sans CJK SC" w:hAnsi="Noto Sans CJK SC" w:eastAsia="Noto Sans CJK SC" w:cs="Noto Sans CJK SC"/>
        </w:rPr>
        <w:t>第6章 总结与展望</w:t>
      </w:r>
    </w:p>
    <w:p>
      <w:pPr>
        <w:pStyle w:val="21"/>
      </w:pPr>
      <w:r>
        <w:rPr>
          <w:rFonts w:ascii="Noto Sans CJK SC" w:hAnsi="Noto Sans CJK SC" w:eastAsia="Noto Sans CJK SC" w:cs="Noto Sans CJK SC"/>
        </w:rPr>
        <w:t>6.1 已完成的研究设计</w:t>
      </w:r>
    </w:p>
    <w:p>
      <w:pPr>
        <w:widowControl/>
        <w:ind w:firstLine="420"/>
      </w:pPr>
      <w:r>
        <w:rPr>
          <w:rFonts w:ascii="Noto Serif CJK SC" w:hAnsi="Noto Serif CJK SC" w:eastAsia="Noto Serif CJK SC" w:cs="Noto Serif CJK SC"/>
        </w:rPr>
        <w:t>本文围绕 DeepPCB 六类 PCB 表面缺陷检测，确定 YOLO11n 基线、P2 小目标检测分支和双向加权高分辨率特征融合的研究方案；给出了官方清单下的数据划分、标签转换、四组消融对照与精度—效率综合评价方法。研究将特别关注断路、短路等小缺陷的召回与定位，同时检查改进对推理开销的影响。</w:t>
      </w:r>
    </w:p>
    <w:p>
      <w:pPr>
        <w:pStyle w:val="21"/>
      </w:pPr>
      <w:r>
        <w:rPr>
          <w:rFonts w:ascii="Noto Sans CJK SC" w:hAnsi="Noto Sans CJK SC" w:eastAsia="Noto Sans CJK SC" w:cs="Noto Sans CJK SC"/>
        </w:rPr>
        <w:t>6.2 待完成工作与局限</w:t>
      </w:r>
    </w:p>
    <w:p>
      <w:pPr>
        <w:pStyle w:val="21"/>
        <w:keepNext/>
      </w:pPr>
      <w:r>
        <w:t>6.2.1 研究结论的适用范围</w:t>
      </w:r>
    </w:p>
    <w:p>
      <w:pPr>
        <w:spacing w:line="341" w:lineRule="auto" w:after="0"/>
        <w:ind w:firstLine="420"/>
      </w:pPr>
      <w:r>
        <w:t>当前实测仅说明所实现的数据转换和训练测试链路能够运行，并给出了一个短训练预备结果。它不能证明模型已经达到产线要求，也不能代表在 640 输入、长训练、不同硬件和不同随机种子下仍会保持同样排序。论文在提交前应根据扩展实验更新摘要、表格、结果讨论和结论，删除与最终日志不一致的描述。</w:t>
      </w:r>
    </w:p>
    <w:p>
      <w:pPr>
        <w:spacing w:line="341" w:lineRule="auto" w:after="0"/>
        <w:ind w:firstLine="420"/>
      </w:pPr>
      <w:r>
        <w:t>DeepPCB 的人工增补缺陷、固定裁剪方式和有限板型使其更适合方法验证，而不是完整的工业验收。真实应用还需要采集不同设备、不同光照、不同线路密度和不同缺陷严重程度的图像，并建立跨批次测试集。只有当模型在外部数据上的漏检、误检和延迟满足工位要求时，才能讨论部署可行性。</w:t>
      </w:r>
    </w:p>
    <w:p>
      <w:pPr>
        <w:widowControl/>
        <w:ind w:firstLine="420"/>
      </w:pPr>
      <w:r>
        <w:t>目前仅完成一次 10 epoch、320 输入的预备训练与测试，样本划分和指标可复核，但训练轮次不足，因此不能断言 P2 或融合模块提高了 DeepPCB 上的检测性能，也无法给出最终模型的精度、延迟或产线适用性结论。后续须完成数据检查、代码实现、三次以上独立训练、官方测试集评估及误差分析，再据真实结果修订摘要、结论和实验表格。DeepPCB 包含人工增补的缺陷，正式讨论工业应用时还需在真实产线图像和不同板型上开展外部验证。</w:t>
      </w:r>
    </w:p>
    <w:p>
      <w:pPr>
        <w:pStyle w:val="21"/>
      </w:pPr>
      <w:r>
        <w:rPr>
          <w:rFonts w:ascii="Noto Sans CJK SC" w:hAnsi="Noto Sans CJK SC" w:eastAsia="Noto Sans CJK SC" w:cs="Noto Sans CJK SC"/>
        </w:rPr>
        <w:t>6.3 后续研究方向</w:t>
      </w:r>
    </w:p>
    <w:p>
      <w:pPr>
        <w:spacing w:line="341" w:lineRule="auto" w:after="0"/>
        <w:ind w:firstLine="420"/>
      </w:pPr>
      <w:r>
        <w:t>正文的篇章一致性还体现在章节之间的相互照应：绪论提出的问题应在方法章节得到对应设计，方法中的变量应在实验章节得到单独对照，实验现象又应反馈到误差分析和展望。按这一关系整理文字，可以减少重复叙述，也能让读者清楚知道每一项实验究竟用于回答哪个研究问题。</w:t>
      </w:r>
    </w:p>
    <w:p>
      <w:pPr>
        <w:spacing w:line="341" w:lineRule="auto" w:after="0"/>
        <w:ind w:firstLine="420"/>
      </w:pPr>
      <w:r>
        <w:t>论文修改时还应保持数据、代码和文字之间的一致性。数据集章节说明的类别顺序必须与数据配置文件一致，方法章节给出的层级和步长必须与模型配置一致，实验章节的表格必须能够追溯到对应运行目录。若重新训练后更换了输入尺寸、随机种子或权重，摘要和结论中的数字也要同步更新。对于没有运行的融合消融和外部数据实验，应继续保留待实测标记，避免把研究计划误写成已经验证的事实。这样既能增加论文内容的完整性，也能使审阅者根据清单、命令和日志复查每一项结果。</w:t>
      </w:r>
    </w:p>
    <w:p>
      <w:pPr>
        <w:spacing w:line="341" w:lineRule="auto" w:after="0"/>
        <w:ind w:firstLine="420"/>
      </w:pPr>
      <w:r>
        <w:t>论文修改时还应保持数据、代码和文字之间的一致性。数据集章节说明的类别顺序必须与数据配置文件一致，方法章节给出的层级和步长必须与模型配置一致，实验章节的表格必须能够追溯到对应运行目录。若重新训练后更换了输入尺寸、随机种子或权重，摘要和结论中的数字也要同步更新。对于没有运行的融合消融和外部数据实验，应继续保留待实测标记，避免把研究计划误写成已经验证的事实。这样既能增加论文内容的完整性，也能使审阅者根据清单、命令和日志复查每一项结果。</w:t>
      </w:r>
    </w:p>
    <w:p>
      <w:pPr>
        <w:widowControl/>
        <w:ind w:firstLine="420"/>
      </w:pPr>
      <w:r>
        <w:rPr>
          <w:rFonts w:ascii="Noto Serif CJK SC" w:hAnsi="Noto Serif CJK SC" w:eastAsia="Noto Serif CJK SC" w:cs="Noto Serif CJK SC"/>
        </w:rPr>
        <w:t>在主要消融实验完成后，可针对小框定位检验 NWD 类度量[6]，或研究模板差分、切片推理[7] 等方法。这些方向应各自建立独立对照，并同时报告数据输入差异和速度代价。若实际结果显示 P2 带来的额外计算超过收益，应优先研究轻量化融合、蒸馏或更合适的图像采集分辨率。</w:t>
      </w:r>
    </w:p>
    <w:p>
      <w:pPr>
        <w:pStyle w:val="1"/>
        <w:pageBreakBefore/>
        <w:jc w:val="center"/>
      </w:pPr>
      <w:r>
        <w:rPr>
          <w:rFonts w:ascii="Noto Sans CJK SC" w:hAnsi="Noto Sans CJK SC" w:eastAsia="Noto Sans CJK SC" w:cs="Noto Sans CJK SC"/>
        </w:rPr>
        <w:t>参考文献</w:t>
      </w:r>
    </w:p>
    <w:p>
      <w:pPr>
        <w:widowControl/>
        <w:spacing w:line="300" w:lineRule="auto"/>
        <w:ind w:left="425" w:hanging="425"/>
      </w:pPr>
      <w:r>
        <w:rPr>
          <w:rFonts w:ascii="Noto Serif CJK SC" w:hAnsi="Noto Serif CJK SC" w:eastAsia="Noto Serif CJK SC" w:cs="Noto Serif CJK SC"/>
        </w:rPr>
        <w:t>[1] TANG S, HE F, HUANG X, et al. Online PCB defect detector on a new PCB defect dataset[EB/OL]. arXiv:1902.06197, 2019. https://arxiv.org/abs/1902.06197.</w:t>
      </w:r>
    </w:p>
    <w:p>
      <w:pPr>
        <w:widowControl/>
        <w:spacing w:line="300" w:lineRule="auto"/>
        <w:ind w:left="425" w:hanging="425"/>
      </w:pPr>
      <w:r>
        <w:rPr>
          <w:rFonts w:ascii="Noto Serif CJK SC" w:hAnsi="Noto Serif CJK SC" w:eastAsia="Noto Serif CJK SC" w:cs="Noto Serif CJK SC"/>
        </w:rPr>
        <w:t>[2] REDMON J, DIVVALA S, GIRSHICK R, et al. You only look once: Unified, real-time object detection[C]//Proceedings of the IEEE Conference on Computer Vision and Pattern Recognition. 2016: 779-788. DOI: 10.1109/CVPR.2016.91.</w:t>
      </w:r>
    </w:p>
    <w:p>
      <w:pPr>
        <w:widowControl/>
        <w:spacing w:line="300" w:lineRule="auto"/>
        <w:ind w:left="425" w:hanging="425"/>
      </w:pPr>
      <w:r>
        <w:rPr>
          <w:rFonts w:ascii="Noto Serif CJK SC" w:hAnsi="Noto Serif CJK SC" w:eastAsia="Noto Serif CJK SC" w:cs="Noto Serif CJK SC"/>
        </w:rPr>
        <w:t>[3] LIN T Y, DOLLÁR P, GIRSHICK R, et al. Feature pyramid networks for object detection[C]//Proceedings of the IEEE Conference on Computer Vision and Pattern Recognition. 2017: 2117-2125.</w:t>
      </w:r>
    </w:p>
    <w:p>
      <w:pPr>
        <w:widowControl/>
        <w:spacing w:line="300" w:lineRule="auto"/>
        <w:ind w:left="425" w:hanging="425"/>
      </w:pPr>
      <w:r>
        <w:rPr>
          <w:rFonts w:ascii="Noto Serif CJK SC" w:hAnsi="Noto Serif CJK SC" w:eastAsia="Noto Serif CJK SC" w:cs="Noto Serif CJK SC"/>
        </w:rPr>
        <w:t>[4] LIU S, QI L, QIN H, et al. Path aggregation network for instance segmentation[C]//Proceedings of the IEEE Conference on Computer Vision and Pattern Recognition. 2018: 8759-8768.</w:t>
      </w:r>
    </w:p>
    <w:p>
      <w:pPr>
        <w:widowControl/>
        <w:spacing w:line="300" w:lineRule="auto"/>
        <w:ind w:left="425" w:hanging="425"/>
      </w:pPr>
      <w:r>
        <w:rPr>
          <w:rFonts w:ascii="Noto Serif CJK SC" w:hAnsi="Noto Serif CJK SC" w:eastAsia="Noto Serif CJK SC" w:cs="Noto Serif CJK SC"/>
        </w:rPr>
        <w:t>[5] TAN M, PANG R, LE Q V. EfficientDet: Scalable and efficient object detection[C]//Proceedings of the IEEE/CVF Conference on Computer Vision and Pattern Recognition. 2020: 10781-10790.</w:t>
      </w:r>
    </w:p>
    <w:p>
      <w:pPr>
        <w:widowControl/>
        <w:spacing w:line="300" w:lineRule="auto"/>
        <w:ind w:left="425" w:hanging="425"/>
      </w:pPr>
      <w:r>
        <w:rPr>
          <w:rFonts w:ascii="Noto Serif CJK SC" w:hAnsi="Noto Serif CJK SC" w:eastAsia="Noto Serif CJK SC" w:cs="Noto Serif CJK SC"/>
        </w:rPr>
        <w:t>[6] XU C, WANG J, YANG W, et al. Detecting tiny objects in aerial images: A normalized Wasserstein distance and a new benchmark[J]. ISPRS Journal of Photogrammetry and Remote Sensing, 2022. https://github.com/jwwangchn/NWD.</w:t>
      </w:r>
    </w:p>
    <w:p>
      <w:pPr>
        <w:widowControl/>
        <w:spacing w:line="300" w:lineRule="auto"/>
        <w:ind w:left="425" w:hanging="425"/>
      </w:pPr>
      <w:r>
        <w:rPr>
          <w:rFonts w:ascii="Noto Serif CJK SC" w:hAnsi="Noto Serif CJK SC" w:eastAsia="Noto Serif CJK SC" w:cs="Noto Serif CJK SC"/>
        </w:rPr>
        <w:t>[7] AKYON F C, ALTINUC S O, TEMIZEL A. Slicing aided hyper inference and fine-tuning for small object detection[C]//2022 IEEE International Conference on Image Processing. 2022: 966-970. DOI: 10.1109/ICIP46576.2022.9897990.</w:t>
      </w:r>
    </w:p>
    <w:p>
      <w:pPr>
        <w:widowControl/>
        <w:spacing w:line="300" w:lineRule="auto"/>
        <w:ind w:left="425" w:hanging="425"/>
      </w:pPr>
      <w:r>
        <w:rPr>
          <w:rFonts w:ascii="Noto Serif CJK SC" w:hAnsi="Noto Serif CJK SC" w:eastAsia="Noto Serif CJK SC" w:cs="Noto Serif CJK SC"/>
        </w:rPr>
        <w:t>[8] SUN K, XIAO B, LIU D, et al. Deep high-resolution representation learning for human pose estimation[C]//Proceedings of the IEEE/CVF Conference on Computer Vision and Pattern Recognition. 2019: 5693-5703.</w:t>
      </w:r>
    </w:p>
    <w:p>
      <w:pPr>
        <w:widowControl/>
        <w:spacing w:line="300" w:lineRule="auto"/>
        <w:ind w:left="425" w:hanging="425"/>
      </w:pPr>
      <w:r>
        <w:rPr>
          <w:rFonts w:ascii="Noto Serif CJK SC" w:hAnsi="Noto Serif CJK SC" w:eastAsia="Noto Serif CJK SC" w:cs="Noto Serif CJK SC"/>
        </w:rPr>
        <w:t>[9] WOO S, PARK J, LEE J Y, et al. CBAM: Convolutional block attention module[C]//European Conference on Computer Vision. 2018: 3-19.</w:t>
      </w:r>
    </w:p>
    <w:p>
      <w:pPr>
        <w:widowControl/>
        <w:spacing w:line="300" w:lineRule="auto"/>
        <w:ind w:left="425" w:hanging="425"/>
      </w:pPr>
      <w:r>
        <w:rPr>
          <w:rFonts w:ascii="Noto Serif CJK SC" w:hAnsi="Noto Serif CJK SC" w:eastAsia="Noto Serif CJK SC" w:cs="Noto Serif CJK SC"/>
        </w:rPr>
        <w:t>[10] ULTRALYTICS. YOLO11 model configuration, Ultralytics v8.3.0[EB/OL]. 2024. https://github.com/ultralytics/ultralytics/blob/v8.3.0/ultralytics/cfg/models/11/yolo11.yaml.</w:t>
      </w:r>
    </w:p>
    <w:p>
      <w:pPr>
        <w:widowControl/>
        <w:spacing w:line="300" w:lineRule="auto"/>
        <w:ind w:left="425" w:hanging="425"/>
      </w:pPr>
      <w:r>
        <w:rPr>
          <w:rFonts w:ascii="Noto Serif CJK SC" w:hAnsi="Noto Serif CJK SC" w:eastAsia="Noto Serif CJK SC" w:cs="Noto Serif CJK SC"/>
        </w:rPr>
        <w:t>[11] ULTRALYTICS. YOLOv8 P2 detection model configuration[EB/OL]. https://github.com/ultralytics/ultralytics/blob/main/ultralytics/cfg/models/v8/yolov8-p2.yaml. [2026-10-14].</w:t>
      </w:r>
    </w:p>
    <w:p>
      <w:pPr>
        <w:widowControl/>
        <w:spacing w:line="300" w:lineRule="auto"/>
        <w:ind w:left="425" w:hanging="425"/>
      </w:pPr>
      <w:r>
        <w:rPr>
          <w:rFonts w:ascii="Noto Serif CJK SC" w:hAnsi="Noto Serif CJK SC" w:eastAsia="Noto Serif CJK SC" w:cs="Noto Serif CJK SC"/>
        </w:rPr>
        <w:t>[12] WANG A, CHEN H, LIU L, et al. YOLOv10: Real-time end-to-end object detection[C]//Advances in Neural Information Processing Systems. 2024, 37: 107984-108011.</w:t>
      </w:r>
    </w:p>
    <w:sectPr w:rsidR="00B86100" w:rsidSect="00034616">
      <w:headerReference w:type="default" r:id="rId164"/>
      <w:footerReference w:type="default" r:id="rId165"/>
      <w:headerReference w:type="first" r:id="rId168"/>
      <w:footerReference w:type="first" r:id="rId169"/>
      <w:pgSz w:w="11906" w:h="16838"/>
      <w:pgMar w:top="1474" w:right="1417" w:bottom="1417" w:left="1701" w:header="1140" w:footer="2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6DE80" w14:textId="77777777" w:rsidR="001B7C87" w:rsidRDefault="001B7C87">
      <w:pPr>
        <w:spacing w:line="240" w:lineRule="auto"/>
        <w:rPr>
          <w:rFonts w:hint="eastAsia"/>
        </w:rPr>
      </w:pPr>
      <w:r>
        <w:separator/>
      </w:r>
    </w:p>
  </w:endnote>
  <w:endnote w:type="continuationSeparator" w:id="0">
    <w:p w14:paraId="3EA98FBA" w14:textId="77777777" w:rsidR="001B7C87" w:rsidRDefault="001B7C87">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华文中宋">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Noto Sans CJK SC">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fldChar w:fldCharType="begin"/>
    </w:r>
    <w:r>
      <w:instrText xml:space="preserve">PAGE</w:instrText>
    </w:r>
    <w:r>
      <w:fldChar w:fldCharType="separate"/>
    </w:r>
    <w:r>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829FB" w14:textId="77777777" w:rsidR="001B7C87" w:rsidRDefault="001B7C87">
      <w:pPr>
        <w:spacing w:line="240" w:lineRule="auto"/>
        <w:rPr>
          <w:rFonts w:hint="eastAsia"/>
        </w:rPr>
      </w:pPr>
      <w:r>
        <w:separator/>
      </w:r>
    </w:p>
  </w:footnote>
  <w:footnote w:type="continuationSeparator" w:id="0">
    <w:p w14:paraId="35895CC2" w14:textId="77777777" w:rsidR="001B7C87" w:rsidRDefault="001B7C87">
      <w:pPr>
        <w:spacing w:line="240" w:lineRule="auto"/>
        <w:rPr>
          <w:rFonts w:hint="eastAsia"/>
        </w:rPr>
      </w:pPr>
      <w:r>
        <w:continuationSeparator/>
      </w:r>
    </w:p>
  </w:footnote>
</w:footnotes>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57343953">
    <w:abstractNumId w:val="8"/>
  </w:num>
  <w:num w:numId="2" w16cid:durableId="1703968466">
    <w:abstractNumId w:val="6"/>
  </w:num>
  <w:num w:numId="3" w16cid:durableId="10692690">
    <w:abstractNumId w:val="5"/>
  </w:num>
  <w:num w:numId="4" w16cid:durableId="36975661">
    <w:abstractNumId w:val="4"/>
  </w:num>
  <w:num w:numId="5" w16cid:durableId="133524734">
    <w:abstractNumId w:val="7"/>
  </w:num>
  <w:num w:numId="6" w16cid:durableId="2033920122">
    <w:abstractNumId w:val="3"/>
  </w:num>
  <w:num w:numId="7" w16cid:durableId="494224819">
    <w:abstractNumId w:val="2"/>
  </w:num>
  <w:num w:numId="8" w16cid:durableId="400950253">
    <w:abstractNumId w:val="1"/>
  </w:num>
  <w:num w:numId="9" w16cid:durableId="848079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096C87"/>
    <w:rsid w:val="0015074B"/>
    <w:rsid w:val="001B7C87"/>
    <w:rsid w:val="0029639D"/>
    <w:rsid w:val="00326F90"/>
    <w:rsid w:val="003321BA"/>
    <w:rsid w:val="003A4D63"/>
    <w:rsid w:val="00AA1D8D"/>
    <w:rsid w:val="00B47730"/>
    <w:rsid w:val="00B86100"/>
    <w:rsid w:val="00CB0664"/>
    <w:rsid w:val="00DD77F1"/>
    <w:rsid w:val="00E773B0"/>
    <w:rsid w:val="00F23309"/>
    <w:rsid w:val="00FC693F"/>
    <w:rsid w:val="00FD3F0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201CD01"/>
  <w14:defaultImageDpi w14:val="300"/>
  <w15:docId w15:val="{0E9C69A8-BC1A-4B50-8A4D-FFF2E6B6B90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41" w:lineRule="auto"/>
    </w:pPr>
    <w:rPr>
      <w:rFonts w:ascii="Noto Serif CJK SC" w:hAnsi="Noto Serif CJK SC" w:eastAsia="Noto Serif CJK SC" w:cs="Noto Serif CJK SC"/>
      <w:b w:val="0"/>
      <w:sz w:val="24"/>
    </w:rPr>
  </w:style>
  <w:style w:type="paragraph" w:styleId="1">
    <w:name w:val="heading 1"/>
    <w:basedOn w:val="a1"/>
    <w:next w:val="a1"/>
    <w:link w:val="10"/>
    <w:uiPriority w:val="9"/>
    <w:qFormat/>
    <w:rsid w:val="00FC693F"/>
    <w:pPr>
      <w:keepNext/>
      <w:keepLines/>
      <w:spacing w:before="240" w:after="140"/>
      <w:outlineLvl w:val="0"/>
    </w:pPr>
    <w:rPr>
      <w:rFonts w:asciiTheme="majorHAnsi" w:eastAsiaTheme="majorEastAsia" w:hAnsiTheme="majorHAnsi" w:cstheme="majorBidi" w:ascii="Noto Sans CJK SC" w:hAnsi="Noto Sans CJK SC" w:eastAsia="Noto Sans CJK SC" w:cs="Noto Sans CJK SC"/>
      <w:b/>
      <w:bCs/>
      <w:sz w:val="32"/>
      <w:szCs w:val="28"/>
    </w:rPr>
  </w:style>
  <w:style w:type="paragraph" w:styleId="21">
    <w:name w:val="heading 2"/>
    <w:basedOn w:val="a1"/>
    <w:next w:val="a1"/>
    <w:link w:val="22"/>
    <w:uiPriority w:val="9"/>
    <w:unhideWhenUsed/>
    <w:qFormat/>
    <w:rsid w:val="00FC693F"/>
    <w:pPr>
      <w:keepNext/>
      <w:keepLines/>
      <w:spacing w:before="160" w:after="80"/>
      <w:outlineLvl w:val="1"/>
    </w:pPr>
    <w:rPr>
      <w:rFonts w:asciiTheme="majorHAnsi" w:eastAsiaTheme="majorEastAsia" w:hAnsiTheme="majorHAnsi" w:cstheme="majorBidi" w:ascii="Noto Sans CJK SC" w:hAnsi="Noto Sans CJK SC" w:eastAsia="Noto Sans CJK SC" w:cs="Noto Sans CJK SC"/>
      <w:b/>
      <w:bCs/>
      <w:sz w:val="28"/>
      <w:szCs w:val="26"/>
    </w:rPr>
  </w:style>
  <w:style w:type="paragraph" w:styleId="31">
    <w:name w:val="heading 3"/>
    <w:basedOn w:val="a1"/>
    <w:next w:val="a1"/>
    <w:link w:val="32"/>
    <w:uiPriority w:val="9"/>
    <w:unhideWhenUsed/>
    <w:qFormat/>
    <w:rsid w:val="00FC693F"/>
    <w:pPr>
      <w:keepNext/>
      <w:keepLines/>
      <w:spacing w:before="160" w:after="80"/>
      <w:outlineLvl w:val="2"/>
    </w:pPr>
    <w:rPr>
      <w:rFonts w:asciiTheme="majorHAnsi" w:eastAsiaTheme="majorEastAsia" w:hAnsiTheme="majorHAnsi" w:cstheme="majorBidi" w:ascii="Noto Sans CJK SC" w:hAnsi="Noto Sans CJK SC" w:eastAsia="Noto Sans CJK SC" w:cs="Noto Sans CJK SC"/>
      <w:b/>
      <w:bCs/>
      <w:sz w:val="24"/>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a1"/>
    <w:next w:val="a1"/>
    <w:autoRedefine/>
    <w:uiPriority w:val="39"/>
    <w:unhideWhenUsed/>
    <w:rsid w:val="00096C87"/>
    <w:pPr>
      <w:spacing w:after="100" w:line="259" w:lineRule="auto"/>
      <w:ind w:left="220"/>
    </w:pPr>
    <w:rPr>
      <w:rFonts w:asciiTheme="minorHAnsi" w:hAnsiTheme="minorHAnsi" w:cs="Times New Roman"/>
      <w:sz w:val="22"/>
      <w:lang w:eastAsia="zh-CN"/>
    </w:rPr>
  </w:style>
  <w:style w:type="paragraph" w:styleId="TOC1">
    <w:name w:val="toc 1"/>
    <w:basedOn w:val="a1"/>
    <w:next w:val="a1"/>
    <w:autoRedefine/>
    <w:uiPriority w:val="39"/>
    <w:unhideWhenUsed/>
    <w:rsid w:val="00096C87"/>
    <w:pPr>
      <w:spacing w:after="100" w:line="259" w:lineRule="auto"/>
    </w:pPr>
    <w:rPr>
      <w:rFonts w:asciiTheme="minorHAnsi" w:hAnsiTheme="minorHAnsi" w:cs="Times New Roman"/>
      <w:sz w:val="22"/>
      <w:lang w:eastAsia="zh-CN"/>
    </w:rPr>
  </w:style>
  <w:style w:type="paragraph" w:styleId="TOC3">
    <w:name w:val="toc 3"/>
    <w:basedOn w:val="a1"/>
    <w:next w:val="a1"/>
    <w:autoRedefine/>
    <w:uiPriority w:val="39"/>
    <w:unhideWhenUsed/>
    <w:rsid w:val="00096C87"/>
    <w:pPr>
      <w:spacing w:after="100" w:line="259" w:lineRule="auto"/>
      <w:ind w:left="440"/>
    </w:pPr>
    <w:rPr>
      <w:rFonts w:asciiTheme="minorHAnsi" w:hAnsiTheme="minorHAnsi" w:cs="Times New Roman"/>
      <w:sz w:val="2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5" Type="http://schemas.openxmlformats.org/officeDocument/2006/relationships/webSettings" Target="webSettings.xml"/><Relationship Id="rId16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6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8" Type="http://schemas.openxmlformats.org/officeDocument/2006/relationships/image" Target="media/image1.png"/><Relationship Id="rId3" Type="http://schemas.openxmlformats.org/officeDocument/2006/relationships/styles" Target="styles.xml"/><Relationship Id="rId164" Type="http://schemas.openxmlformats.org/officeDocument/2006/relationships/header" Target="header61.xml"/><Relationship Id="rId4" Type="http://schemas.openxmlformats.org/officeDocument/2006/relationships/settings" Target="settings.xml"/><Relationship Id="rId165" Type="http://schemas.openxmlformats.org/officeDocument/2006/relationships/footer" Target="footer61.xml"/><Relationship Id="rId168" Type="http://schemas.openxmlformats.org/officeDocument/2006/relationships/header" Target="header62.xml"/><Relationship Id="rId169" Type="http://schemas.openxmlformats.org/officeDocument/2006/relationships/footer" Target="footer6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59</Pages>
  <Words>8389</Words>
  <Characters>47819</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基于改进 YOLO11 的印刷电路板缺陷检测研究</dc:title>
  <dc:subject>DeepPCB YOLO11 实测预备结果；10 epoch、320 输入、CPU；仍需扩展正式实验</dc:subject>
  <dc:creator>张雨新</dc:creator>
  <cp:keywords>DeepPCB, YOLO11, PCB, 小目标检测, P2</cp:keywords>
  <dc:description>generated by python-docx</dc:description>
  <cp:lastModifiedBy>张雨新</cp:lastModifiedBy>
  <cp:revision>3</cp:revision>
  <dcterms:created xsi:type="dcterms:W3CDTF">2013-12-23T23:15:00Z</dcterms:created>
  <dcterms:modified xsi:type="dcterms:W3CDTF">2026-10-14T06:16:00Z</dcterms:modified>
  <cp:category/>
</cp:coreProperties>
</file>