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61.xml" ContentType="application/vnd.openxmlformats-officedocument.wordprocessingml.footer+xml"/>
  <Override PartName="/word/footer62.xml" ContentType="application/vnd.openxmlformats-officedocument.wordprocessingml.footer+xml"/>
  <Override PartName="/word/footnotes.xml" ContentType="application/vnd.openxmlformats-officedocument.wordprocessingml.footnotes+xml"/>
  <Override PartName="/word/header61.xml" ContentType="application/vnd.openxmlformats-officedocument.wordprocessingml.header+xml"/>
  <Override PartName="/word/header6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2699" w14:textId="77777777" w:rsidR="00B86100" w:rsidRDefault="00000000">
      <w:pPr>
        <w:keepLines/>
        <w:widowControl w:val="0"/>
        <w:spacing w:before="38" w:line="240" w:lineRule="auto"/>
        <w:jc w:val="center"/>
        <w:rPr>
          <w:rFonts w:hint="eastAsia"/>
        </w:rPr>
      </w:pPr>
      <w:r>
        <w:rPr>
          <w:rFonts w:ascii="Noto Serif CJK SC" w:eastAsia="Noto Serif CJK SC" w:hAnsi="Noto Serif CJK SC" w:cs="Noto Serif CJK SC"/>
          <w:noProof/>
          <w:sz w:val="2"/>
        </w:rPr>
        <w:drawing>
          <wp:inline distT="0" distB="0" distL="0" distR="0" wp14:anchorId="2CBE82D4" wp14:editId="23ADCA9F">
            <wp:extent cx="1917700" cy="191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eb5127e-d831-4faf-91a5-dc24e8afa051.png"/>
                    <pic:cNvPicPr/>
                  </pic:nvPicPr>
                  <pic:blipFill>
                    <a:blip r:embed="rId8"/>
                    <a:stretch>
                      <a:fillRect/>
                    </a:stretch>
                  </pic:blipFill>
                  <pic:spPr>
                    <a:xfrm>
                      <a:off x="0" y="0"/>
                      <a:ext cx="1917700" cy="1917700"/>
                    </a:xfrm>
                    <a:prstGeom prst="rect">
                      <a:avLst/>
                    </a:prstGeom>
                  </pic:spPr>
                </pic:pic>
              </a:graphicData>
            </a:graphic>
          </wp:inline>
        </w:drawing>
      </w:r>
    </w:p>
    <w:p w14:paraId="5B16B351" w14:textId="24091AC8" w:rsidR="00B86100" w:rsidRDefault="00DD77F1" w:rsidP="00DD77F1">
      <w:pPr>
        <w:keepLines/>
        <w:widowControl w:val="0"/>
        <w:spacing w:before="194" w:line="1122" w:lineRule="exact"/>
        <w:ind w:firstLineChars="300" w:firstLine="2499"/>
        <w:rPr>
          <w:rFonts w:hint="eastAsia"/>
          <w:lang w:eastAsia="zh-CN"/>
        </w:rPr>
      </w:pPr>
      <w:r>
        <w:rPr>
          <w:rFonts w:ascii="Noto Serif CJK SC" w:eastAsia="Noto Serif CJK SC" w:hAnsi="Noto Serif CJK SC" w:cs="Noto Serif CJK SC" w:hint="eastAsia"/>
          <w:w w:val="98"/>
          <w:sz w:val="85"/>
          <w:lang w:eastAsia="zh-CN"/>
        </w:rPr>
        <w:t>毕业</w:t>
      </w:r>
      <w:r>
        <w:rPr>
          <w:rFonts w:ascii="Noto Serif CJK SC" w:eastAsia="Noto Serif CJK SC" w:hAnsi="Noto Serif CJK SC" w:cs="Noto Serif CJK SC"/>
          <w:w w:val="98"/>
          <w:sz w:val="85"/>
          <w:lang w:eastAsia="zh-CN"/>
        </w:rPr>
        <w:t>论文</w:t>
      </w:r>
    </w:p>
    <w:p w14:paraId="10EA0E4F" w14:textId="5AA8809F" w:rsidR="00B86100" w:rsidRDefault="00B86100">
      <w:pPr>
        <w:keepLines/>
        <w:widowControl w:val="0"/>
        <w:spacing w:before="375" w:line="371" w:lineRule="exact"/>
        <w:ind w:left="2899"/>
        <w:rPr>
          <w:rFonts w:hint="eastAsia"/>
          <w:lang w:eastAsia="zh-CN"/>
        </w:rPr>
      </w:pPr>
    </w:p>
    <w:p w14:paraId="7E33A50B" w14:textId="25197ED4" w:rsidR="00B86100" w:rsidRDefault="00000000">
      <w:pPr>
        <w:keepLines/>
        <w:widowControl w:val="0"/>
        <w:tabs>
          <w:tab w:val="left" w:pos="761"/>
        </w:tabs>
        <w:spacing w:before="828" w:line="421" w:lineRule="exact"/>
        <w:ind w:left="787"/>
        <w:rPr>
          <w:rFonts w:hint="eastAsia"/>
          <w:lang w:eastAsia="zh-CN"/>
        </w:rPr>
      </w:pPr>
      <w:r>
        <w:rPr>
          <w:rFonts w:ascii="Noto Serif CJK SC" w:eastAsia="Noto Serif CJK SC" w:hAnsi="Noto Serif CJK SC" w:cs="Noto Serif CJK SC"/>
          <w:w w:val="98"/>
          <w:sz w:val="31"/>
          <w:lang w:eastAsia="zh-CN"/>
        </w:rPr>
        <w:t>题</w:t>
      </w:r>
      <w:r>
        <w:rPr>
          <w:rFonts w:ascii="Noto Serif CJK SC" w:hAnsi="Noto Serif CJK SC" w:eastAsia="Noto Serif CJK SC" w:cs="Noto Serif CJK SC"/>
          <w:w w:val="98"/>
          <w:lang w:eastAsia="zh-CN"/>
        </w:rPr>
        <w:tab/>
      </w:r>
      <w:r>
        <w:rPr>
          <w:rFonts w:ascii="Noto Serif CJK SC" w:eastAsia="Noto Serif CJK SC" w:hAnsi="Noto Serif CJK SC" w:cs="Noto Serif CJK SC"/>
          <w:w w:val="98"/>
          <w:sz w:val="31"/>
          <w:lang w:eastAsia="zh-CN"/>
        </w:rPr>
        <w:t>目：</w:t>
      </w:r>
      <w:r w:rsidR="003321BA" w:rsidRPr="003321BA">
        <w:rPr>
          <w:rFonts w:ascii="Noto Serif CJK SC" w:eastAsia="Noto Serif CJK SC" w:hAnsi="Noto Serif CJK SC" w:cs="Noto Serif CJK SC"/>
          <w:w w:val="98"/>
          <w:sz w:val="31"/>
          <w:lang w:eastAsia="zh-CN"/>
        </w:rPr>
        <w:t>基于改进 YOLO11 的印刷电路板缺陷检测研究</w:t>
      </w:r>
    </w:p>
    <w:p w14:paraId="6C126C2C" w14:textId="20E038F4" w:rsidR="00B86100" w:rsidRPr="003321BA" w:rsidRDefault="00000000" w:rsidP="003321BA">
      <w:pPr>
        <w:keepLines/>
        <w:widowControl w:val="0"/>
        <w:spacing w:before="1079" w:line="421" w:lineRule="exact"/>
        <w:ind w:left="787"/>
        <w:rPr>
          <w:rFonts w:ascii="黑体" w:eastAsia="黑体" w:hAnsi="黑体" w:cs="黑体" w:hint="eastAsia"/>
          <w:w w:val="98"/>
          <w:sz w:val="31"/>
        </w:rPr>
      </w:pPr>
      <w:proofErr w:type="spellStart"/>
      <w:r>
        <w:rPr>
          <w:rFonts w:ascii="Noto Serif CJK SC" w:eastAsia="Noto Serif CJK SC" w:hAnsi="Noto Serif CJK SC" w:cs="Noto Serif CJK SC"/>
          <w:w w:val="98"/>
          <w:sz w:val="31"/>
        </w:rPr>
        <w:t>英文题目：</w:t>
      </w:r>
      <w:r w:rsidR="003321BA" w:rsidRPr="003321BA">
        <w:rPr>
          <w:rFonts w:ascii="Noto Serif CJK SC" w:eastAsia="Noto Serif CJK SC" w:hAnsi="Noto Serif CJK SC" w:cs="Noto Serif CJK SC"/>
          <w:w w:val="98"/>
          <w:sz w:val="31"/>
        </w:rPr>
        <w:t>Research</w:t>
      </w:r>
      <w:proofErr w:type="spellEnd"/>
      <w:r w:rsidR="003321BA" w:rsidRPr="003321BA">
        <w:rPr>
          <w:rFonts w:ascii="Noto Serif CJK SC" w:eastAsia="Noto Serif CJK SC" w:hAnsi="Noto Serif CJK SC" w:cs="Noto Serif CJK SC"/>
          <w:w w:val="98"/>
          <w:sz w:val="31"/>
        </w:rPr>
        <w:t xml:space="preserve"> on Printed Circuit Board Defect Detection Based on Improved YOLO11</w:t>
      </w:r>
    </w:p>
    <w:p w14:paraId="56FA01C4" w14:textId="77777777" w:rsidR="00DD77F1" w:rsidRPr="003321BA" w:rsidRDefault="00DD77F1">
      <w:pPr>
        <w:keepLines/>
        <w:widowControl w:val="0"/>
        <w:spacing w:before="1260" w:line="396" w:lineRule="exact"/>
        <w:ind w:left="1207"/>
        <w:rPr>
          <w:rFonts w:ascii="黑体" w:eastAsia="黑体" w:hAnsi="黑体" w:cs="黑体" w:hint="eastAsia"/>
          <w:w w:val="98"/>
          <w:sz w:val="31"/>
        </w:rPr>
      </w:pPr>
    </w:p>
    <w:p w14:paraId="19CCC188" w14:textId="379E8250" w:rsidR="00B86100" w:rsidRDefault="00000000">
      <w:pPr>
        <w:keepLines/>
        <w:widowControl w:val="0"/>
        <w:spacing w:before="1260" w:line="396" w:lineRule="exact"/>
        <w:ind w:left="1207"/>
        <w:rPr>
          <w:rFonts w:hint="eastAsia"/>
          <w:lang w:eastAsia="zh-CN"/>
        </w:rPr>
      </w:pPr>
      <w:r>
        <w:rPr>
          <w:rFonts w:ascii="Noto Serif CJK SC" w:eastAsia="Noto Serif CJK SC" w:hAnsi="Noto Serif CJK SC" w:cs="Noto Serif CJK SC"/>
          <w:w w:val="98"/>
          <w:sz w:val="30"/>
          <w:lang w:eastAsia="zh-CN"/>
        </w:rPr>
        <w:t>姓名：</w:t>
      </w:r>
      <w:r w:rsidR="00DD77F1">
        <w:rPr>
          <w:rFonts w:ascii="Noto Serif CJK SC" w:eastAsia="Noto Serif CJK SC" w:hAnsi="Noto Serif CJK SC" w:cs="Noto Serif CJK SC" w:hint="eastAsia"/>
          <w:w w:val="98"/>
          <w:sz w:val="30"/>
          <w:lang w:eastAsia="zh-CN"/>
        </w:rPr>
        <w:t>张雨新</w:t>
      </w:r>
    </w:p>
    <w:p w14:paraId="5F294776" w14:textId="75B058DD" w:rsidR="00B86100" w:rsidRDefault="00000000">
      <w:pPr>
        <w:keepLines/>
        <w:widowControl w:val="0"/>
        <w:spacing w:before="302" w:line="396" w:lineRule="exact"/>
        <w:ind w:left="1159"/>
        <w:rPr>
          <w:rFonts w:hint="eastAsia"/>
          <w:lang w:eastAsia="zh-CN"/>
        </w:rPr>
      </w:pPr>
      <w:r>
        <w:rPr>
          <w:rFonts w:ascii="Noto Serif CJK SC" w:eastAsia="Noto Serif CJK SC" w:hAnsi="Noto Serif CJK SC" w:cs="Noto Serif CJK SC"/>
          <w:w w:val="98"/>
          <w:sz w:val="30"/>
          <w:lang w:eastAsia="zh-CN"/>
        </w:rPr>
        <w:t>专业</w:t>
      </w:r>
      <w:r w:rsidR="00DD77F1">
        <w:rPr>
          <w:rFonts w:ascii="Noto Serif CJK SC" w:eastAsia="Noto Serif CJK SC" w:hAnsi="Noto Serif CJK SC" w:cs="Noto Serif CJK SC" w:hint="eastAsia"/>
          <w:w w:val="98"/>
          <w:sz w:val="30"/>
          <w:lang w:eastAsia="zh-CN"/>
        </w:rPr>
        <w:t>及班级</w:t>
      </w:r>
      <w:r>
        <w:rPr>
          <w:rFonts w:ascii="Noto Serif CJK SC" w:eastAsia="Noto Serif CJK SC" w:hAnsi="Noto Serif CJK SC" w:cs="Noto Serif CJK SC"/>
          <w:w w:val="98"/>
          <w:sz w:val="30"/>
          <w:lang w:eastAsia="zh-CN"/>
        </w:rPr>
        <w:t>：</w:t>
      </w:r>
      <w:r w:rsidR="00DD77F1">
        <w:rPr>
          <w:rFonts w:ascii="Noto Serif CJK SC" w:eastAsia="Noto Serif CJK SC" w:hAnsi="Noto Serif CJK SC" w:cs="Noto Serif CJK SC" w:hint="eastAsia"/>
          <w:w w:val="98"/>
          <w:sz w:val="30"/>
          <w:lang w:eastAsia="zh-CN"/>
        </w:rPr>
        <w:t>25机械设计制造及自动化C1</w:t>
      </w:r>
    </w:p>
    <w:p w14:paraId="4DA75787" w14:textId="267F27C9" w:rsidR="00B86100" w:rsidRDefault="00000000">
      <w:pPr>
        <w:keepLines/>
        <w:widowControl w:val="0"/>
        <w:spacing w:before="305" w:line="396" w:lineRule="exact"/>
        <w:ind w:left="1228"/>
        <w:rPr>
          <w:rFonts w:hint="eastAsia"/>
          <w:lang w:eastAsia="zh-CN"/>
        </w:rPr>
      </w:pPr>
      <w:r>
        <w:rPr>
          <w:rFonts w:ascii="Noto Serif CJK SC" w:eastAsia="Noto Serif CJK SC" w:hAnsi="Noto Serif CJK SC" w:cs="Noto Serif CJK SC"/>
          <w:w w:val="98"/>
          <w:sz w:val="30"/>
          <w:lang w:eastAsia="zh-CN"/>
        </w:rPr>
        <w:t>指导教师姓名：</w:t>
      </w:r>
      <w:r w:rsidR="00DD77F1">
        <w:rPr>
          <w:rFonts w:ascii="Noto Serif CJK SC" w:eastAsia="Noto Serif CJK SC" w:hAnsi="Noto Serif CJK SC" w:cs="Noto Serif CJK SC" w:hint="eastAsia"/>
          <w:w w:val="98"/>
          <w:sz w:val="30"/>
          <w:lang w:eastAsia="zh-CN"/>
        </w:rPr>
        <w:t>彭康威</w:t>
      </w:r>
    </w:p>
    <w:p w14:paraId="3579ADAE" w14:textId="77777777" w:rsidR="00B86100" w:rsidRPr="003321BA" w:rsidRDefault="00B86100">
      <w:pPr>
        <w:spacing w:line="20" w:lineRule="exact"/>
        <w:rPr>
          <w:rFonts w:eastAsia="宋体" w:hint="eastAsia"/>
          <w:lang w:eastAsia="zh-CN"/>
        </w:rPr>
      </w:pPr>
    </w:p>
    <w:p>
      <w:r>
        <w:rPr>
          <w:rFonts w:ascii="Noto Serif CJK SC" w:hAnsi="Noto Serif CJK SC" w:eastAsia="Noto Serif CJK SC" w:cs="Noto Serif CJK SC"/>
        </w:rPr>
        <w:br w:type="page"/>
      </w:r>
    </w:p>
    <w:p>
      <w:pPr>
        <w:pStyle w:val="1"/>
        <w:jc w:val="center"/>
      </w:pPr>
      <w:r>
        <w:rPr>
          <w:rFonts w:ascii="Noto Sans CJK SC" w:hAnsi="Noto Sans CJK SC" w:eastAsia="Noto Sans CJK SC" w:cs="Noto Sans CJK SC"/>
        </w:rPr>
        <w:t>摘    要</w:t>
      </w:r>
    </w:p>
    <w:p>
      <w:pPr>
        <w:widowControl/>
        <w:ind w:firstLine="420"/>
      </w:pPr>
      <w:r>
        <w:rPr>
          <w:rFonts w:ascii="Noto Serif CJK SC" w:hAnsi="Noto Serif CJK SC" w:eastAsia="Noto Serif CJK SC" w:cs="Noto Serif CJK SC"/>
        </w:rPr>
        <w:t>印刷电路板（PCB）表面缺陷种类多、尺度小，其中断路与短路可能只占据较少像素，给目标检测模型的定位和分类带来困难。本文以 DeepPCB 数据集为研究对象，以 YOLO11n 为基线，设计面向小缺陷的 P2 检测分支和高分辨率双向特征融合方案。DeepPCB 包含 1 500 组已配准的待检图与模板图，缺陷分为断路、短路、鼠咬、毛刺、杂铜和针孔六类。本文规定先依据官方清单划分训练、验证和测试数据，再开展图像增强，避免同源样本跨集合。</w:t>
      </w:r>
    </w:p>
    <w:p>
      <w:pPr>
        <w:widowControl/>
        <w:ind w:firstLine="420"/>
      </w:pPr>
      <w:r>
        <w:rPr>
          <w:rFonts w:ascii="Noto Serif CJK SC" w:hAnsi="Noto Serif CJK SC" w:eastAsia="Noto Serif CJK SC" w:cs="Noto Serif CJK SC"/>
        </w:rPr>
        <w:t>方法上，在 YOLO11 的 P3、P4、P5 检测尺度之外引入步长为 4 的 P2 特征，保留浅层空间细节；在消融对照中进一步研究双向加权特征融合对小缺陷识别的作用。实验将统一训练设置，比较基线、单独加入 P2、单独加入融合模块及两者结合的四组模型，报告六类 AP、召回率、mAP、参数量、计算量和端到端推理延迟，并重点分析断路、短路的漏检。</w:t>
      </w:r>
    </w:p>
    <w:p>
      <w:pPr>
        <w:widowControl/>
        <w:ind w:firstLine="420"/>
      </w:pPr>
      <w:r>
        <w:t>目前已完成一次 10 epoch、320 输入的 CPU 预备训练与测试。本稿将该结果用于核对流程，正式性能结论仍需增加训练轮次和随机种子后确认。</w:t>
      </w:r>
    </w:p>
    <w:p>
      <w:pPr>
        <w:widowControl/>
      </w:pPr>
      <w:r>
        <w:rPr>
          <w:rFonts w:ascii="Noto Serif CJK SC" w:hAnsi="Noto Serif CJK SC" w:eastAsia="Noto Serif CJK SC" w:cs="Noto Serif CJK SC"/>
        </w:rPr>
        <w:t>关键词：印刷电路板；缺陷检测；DeepPCB；YOLO11；小目标检测；特征融合</w:t>
      </w:r>
    </w:p>
    <w:p>
      <w:r>
        <w:rPr>
          <w:rFonts w:ascii="Noto Serif CJK SC" w:hAnsi="Noto Serif CJK SC" w:eastAsia="Noto Serif CJK SC" w:cs="Noto Serif CJK SC"/>
        </w:rPr>
        <w:br w:type="page"/>
      </w:r>
    </w:p>
    <w:p>
      <w:pPr>
        <w:pStyle w:val="1"/>
        <w:jc w:val="center"/>
      </w:pPr>
      <w:r>
        <w:rPr>
          <w:rFonts w:ascii="Noto Sans CJK SC" w:hAnsi="Noto Sans CJK SC" w:eastAsia="Noto Sans CJK SC" w:cs="Noto Sans CJK SC"/>
        </w:rPr>
        <w:t>Abstract</w:t>
      </w:r>
    </w:p>
    <w:p>
      <w:pPr>
        <w:widowControl/>
      </w:pPr>
      <w:r>
        <w:rPr>
          <w:rFonts w:ascii="Noto Serif CJK SC" w:hAnsi="Noto Serif CJK SC" w:eastAsia="Noto Serif CJK SC" w:cs="Noto Serif CJK SC"/>
        </w:rPr>
        <w:t>Printed circuit board (PCB) defects are diverse and often small. Open circuits and short circuits may occupy only a few pixels, making accurate localization and classification difficult. This thesis proposes an experimental design based on YOLO11n and the DeepPCB dataset. DeepPCB contains 1,500 registered tested and defect-free template image pairs with six defect categories: open, short, mousebite, spur, copper, and pin-hole. Training and validation samples will be split from the official training list before augmentation; the official test list will remain held out.</w:t>
      </w:r>
    </w:p>
    <w:p>
      <w:pPr>
        <w:widowControl/>
      </w:pPr>
      <w:r>
        <w:rPr>
          <w:rFonts w:ascii="Noto Serif CJK SC" w:hAnsi="Noto Serif CJK SC" w:eastAsia="Noto Serif CJK SC" w:cs="Noto Serif CJK SC"/>
        </w:rPr>
        <w:t>A stride-4 P2 detection branch is planned to retain shallow spatial details. A bidirectional weighted feature-fusion variant will be evaluated separately and jointly with P2. Four controlled configurations will be compared under the same data split, training budget, and inference settings. The planned evaluation includes per-class AP and recall, mAP, model complexity, and end-to-end latency, with particular attention to open and short defects. Training and testing have not yet been completed; all numerical results and performance conclusions remain pending measurement.</w:t>
      </w:r>
    </w:p>
    <w:p>
      <w:pPr>
        <w:widowControl/>
      </w:pPr>
      <w:r>
        <w:rPr>
          <w:rFonts w:ascii="Noto Serif CJK SC" w:hAnsi="Noto Serif CJK SC" w:eastAsia="Noto Serif CJK SC" w:cs="Noto Serif CJK SC"/>
        </w:rPr>
        <w:t>Keywords: printed circuit board; defect detection; DeepPCB; YOLO11; small object detection; feature fusion</w:t>
      </w:r>
    </w:p>
    <w:p>
      <w:r>
        <w:rPr>
          <w:rFonts w:ascii="Noto Serif CJK SC" w:hAnsi="Noto Serif CJK SC" w:eastAsia="Noto Serif CJK SC" w:cs="Noto Serif CJK SC"/>
        </w:rPr>
        <w:br w:type="page"/>
      </w:r>
    </w:p>
    <w:p>
      <w:pPr>
        <w:pStyle w:val="1"/>
        <w:jc w:val="center"/>
      </w:pPr>
      <w:r>
        <w:rPr>
          <w:rFonts w:ascii="Noto Sans CJK SC" w:hAnsi="Noto Sans CJK SC" w:eastAsia="Noto Sans CJK SC" w:cs="Noto Sans CJK SC"/>
        </w:rPr>
        <w:t>目    录</w:t>
      </w:r>
    </w:p>
    <w:p>
      <w:pPr>
        <w:widowControl/>
        <w:tabs>
          <w:tab w:pos="7937" w:val="left"/>
        </w:tabs>
        <w:ind w:left="0"/>
      </w:pPr>
      <w:r>
        <w:rPr>
          <w:rFonts w:ascii="Noto Serif CJK SC" w:hAnsi="Noto Serif CJK SC" w:eastAsia="Noto Serif CJK SC" w:cs="Noto Serif CJK SC"/>
        </w:rPr>
      </w:r>
      <w:r>
        <w:rPr>
          <w:rFonts w:ascii="Noto Serif CJK SC" w:hAnsi="Noto Serif CJK SC" w:eastAsia="Noto Serif CJK SC" w:cs="Noto Serif CJK SC"/>
        </w:rPr>
        <w:t>第1章 绪论</w:t>
        <w:tab/>
      </w:r>
      <w:r>
        <w:rPr>
          <w:rFonts w:ascii="Noto Serif CJK SC" w:hAnsi="Noto Serif CJK SC" w:eastAsia="Noto Serif CJK SC" w:cs="Noto Serif CJK SC"/>
        </w:rPr>
        <w:t>5</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1.1 研究背景与意义</w:t>
        <w:tab/>
      </w:r>
      <w:r>
        <w:rPr>
          <w:rFonts w:ascii="Noto Serif CJK SC" w:hAnsi="Noto Serif CJK SC" w:eastAsia="Noto Serif CJK SC" w:cs="Noto Serif CJK SC"/>
        </w:rPr>
        <w:t>5</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1.2 国内外研究现状</w:t>
        <w:tab/>
      </w:r>
      <w:r>
        <w:rPr>
          <w:rFonts w:ascii="Noto Serif CJK SC" w:hAnsi="Noto Serif CJK SC" w:eastAsia="Noto Serif CJK SC" w:cs="Noto Serif CJK SC"/>
        </w:rPr>
        <w:t>5</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1.3 研究内容与技术路线</w:t>
        <w:tab/>
      </w:r>
      <w:r>
        <w:rPr>
          <w:rFonts w:ascii="Noto Serif CJK SC" w:hAnsi="Noto Serif CJK SC" w:eastAsia="Noto Serif CJK SC" w:cs="Noto Serif CJK SC"/>
        </w:rPr>
        <w:t>6</w:t>
      </w:r>
    </w:p>
    <w:p>
      <w:pPr>
        <w:widowControl/>
        <w:tabs>
          <w:tab w:pos="7937" w:val="left"/>
        </w:tabs>
        <w:ind w:left="0"/>
      </w:pPr>
      <w:r>
        <w:rPr>
          <w:rFonts w:ascii="Noto Serif CJK SC" w:hAnsi="Noto Serif CJK SC" w:eastAsia="Noto Serif CJK SC" w:cs="Noto Serif CJK SC"/>
        </w:rPr>
      </w:r>
      <w:r>
        <w:rPr>
          <w:rFonts w:ascii="Noto Serif CJK SC" w:hAnsi="Noto Serif CJK SC" w:eastAsia="Noto Serif CJK SC" w:cs="Noto Serif CJK SC"/>
        </w:rPr>
        <w:t>第2章 相关理论与技术</w:t>
        <w:tab/>
      </w:r>
      <w:r>
        <w:rPr>
          <w:rFonts w:ascii="Noto Serif CJK SC" w:hAnsi="Noto Serif CJK SC" w:eastAsia="Noto Serif CJK SC" w:cs="Noto Serif CJK SC"/>
        </w:rPr>
        <w:t>7</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2.1 目标检测与 YOLO11</w:t>
        <w:tab/>
      </w:r>
      <w:r>
        <w:rPr>
          <w:rFonts w:ascii="Noto Serif CJK SC" w:hAnsi="Noto Serif CJK SC" w:eastAsia="Noto Serif CJK SC" w:cs="Noto Serif CJK SC"/>
        </w:rPr>
        <w:t>7</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2.2 小目标与多尺度特征</w:t>
        <w:tab/>
      </w:r>
      <w:r>
        <w:rPr>
          <w:rFonts w:ascii="Noto Serif CJK SC" w:hAnsi="Noto Serif CJK SC" w:eastAsia="Noto Serif CJK SC" w:cs="Noto Serif CJK SC"/>
        </w:rPr>
        <w:t>7</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2.3 评价指标</w:t>
        <w:tab/>
      </w:r>
      <w:r>
        <w:rPr>
          <w:rFonts w:ascii="Noto Serif CJK SC" w:hAnsi="Noto Serif CJK SC" w:eastAsia="Noto Serif CJK SC" w:cs="Noto Serif CJK SC"/>
        </w:rPr>
        <w:t>7</w:t>
      </w:r>
    </w:p>
    <w:p>
      <w:pPr>
        <w:widowControl/>
        <w:tabs>
          <w:tab w:pos="7937" w:val="left"/>
        </w:tabs>
        <w:ind w:left="0"/>
      </w:pPr>
      <w:r>
        <w:rPr>
          <w:rFonts w:ascii="Noto Serif CJK SC" w:hAnsi="Noto Serif CJK SC" w:eastAsia="Noto Serif CJK SC" w:cs="Noto Serif CJK SC"/>
        </w:rPr>
      </w:r>
      <w:r>
        <w:rPr>
          <w:rFonts w:ascii="Noto Serif CJK SC" w:hAnsi="Noto Serif CJK SC" w:eastAsia="Noto Serif CJK SC" w:cs="Noto Serif CJK SC"/>
        </w:rPr>
        <w:t>第3章 DeepPCB 数据准备与基线</w:t>
        <w:tab/>
      </w:r>
      <w:r>
        <w:rPr>
          <w:rFonts w:ascii="Noto Serif CJK SC" w:hAnsi="Noto Serif CJK SC" w:eastAsia="Noto Serif CJK SC" w:cs="Noto Serif CJK SC"/>
        </w:rPr>
        <w:t>9</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3.1 数据来源与类别</w:t>
        <w:tab/>
      </w:r>
      <w:r>
        <w:rPr>
          <w:rFonts w:ascii="Noto Serif CJK SC" w:hAnsi="Noto Serif CJK SC" w:eastAsia="Noto Serif CJK SC" w:cs="Noto Serif CJK SC"/>
        </w:rPr>
        <w:t>9</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3.2 数据转换和划分</w:t>
        <w:tab/>
      </w:r>
      <w:r>
        <w:rPr>
          <w:rFonts w:ascii="Noto Serif CJK SC" w:hAnsi="Noto Serif CJK SC" w:eastAsia="Noto Serif CJK SC" w:cs="Noto Serif CJK SC"/>
        </w:rPr>
        <w:t>9</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3.3 基线训练方案</w:t>
        <w:tab/>
      </w:r>
      <w:r>
        <w:rPr>
          <w:rFonts w:ascii="Noto Serif CJK SC" w:hAnsi="Noto Serif CJK SC" w:eastAsia="Noto Serif CJK SC" w:cs="Noto Serif CJK SC"/>
        </w:rPr>
        <w:t>10</w:t>
      </w:r>
    </w:p>
    <w:p>
      <w:pPr>
        <w:widowControl/>
        <w:tabs>
          <w:tab w:pos="7937" w:val="left"/>
        </w:tabs>
        <w:ind w:left="0"/>
      </w:pPr>
      <w:r>
        <w:rPr>
          <w:rFonts w:ascii="Noto Serif CJK SC" w:hAnsi="Noto Serif CJK SC" w:eastAsia="Noto Serif CJK SC" w:cs="Noto Serif CJK SC"/>
        </w:rPr>
      </w:r>
      <w:r>
        <w:rPr>
          <w:rFonts w:ascii="Noto Serif CJK SC" w:hAnsi="Noto Serif CJK SC" w:eastAsia="Noto Serif CJK SC" w:cs="Noto Serif CJK SC"/>
        </w:rPr>
        <w:t>第4章 改进 YOLO11 的方法设计</w:t>
        <w:tab/>
      </w:r>
      <w:r>
        <w:rPr>
          <w:rFonts w:ascii="Noto Serif CJK SC" w:hAnsi="Noto Serif CJK SC" w:eastAsia="Noto Serif CJK SC" w:cs="Noto Serif CJK SC"/>
        </w:rPr>
        <w:t>11</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4.1 P2 小目标检测分支</w:t>
        <w:tab/>
      </w:r>
      <w:r>
        <w:rPr>
          <w:rFonts w:ascii="Noto Serif CJK SC" w:hAnsi="Noto Serif CJK SC" w:eastAsia="Noto Serif CJK SC" w:cs="Noto Serif CJK SC"/>
        </w:rPr>
        <w:t>11</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4.2 高分辨率双向加权融合</w:t>
        <w:tab/>
      </w:r>
      <w:r>
        <w:rPr>
          <w:rFonts w:ascii="Noto Serif CJK SC" w:hAnsi="Noto Serif CJK SC" w:eastAsia="Noto Serif CJK SC" w:cs="Noto Serif CJK SC"/>
        </w:rPr>
        <w:t>11</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4.3 模型实现与复杂度约束</w:t>
        <w:tab/>
      </w:r>
      <w:r>
        <w:rPr>
          <w:rFonts w:ascii="Noto Serif CJK SC" w:hAnsi="Noto Serif CJK SC" w:eastAsia="Noto Serif CJK SC" w:cs="Noto Serif CJK SC"/>
        </w:rPr>
        <w:t>12</w:t>
      </w:r>
    </w:p>
    <w:p>
      <w:pPr>
        <w:widowControl/>
        <w:tabs>
          <w:tab w:pos="7937" w:val="left"/>
        </w:tabs>
        <w:ind w:left="0"/>
      </w:pPr>
      <w:r>
        <w:rPr>
          <w:rFonts w:ascii="Noto Serif CJK SC" w:hAnsi="Noto Serif CJK SC" w:eastAsia="Noto Serif CJK SC" w:cs="Noto Serif CJK SC"/>
        </w:rPr>
      </w:r>
      <w:r>
        <w:rPr>
          <w:rFonts w:ascii="Noto Serif CJK SC" w:hAnsi="Noto Serif CJK SC" w:eastAsia="Noto Serif CJK SC" w:cs="Noto Serif CJK SC"/>
        </w:rPr>
        <w:t>第5章 实验设计与待实测结果</w:t>
        <w:tab/>
      </w:r>
      <w:r>
        <w:rPr>
          <w:rFonts w:ascii="Noto Serif CJK SC" w:hAnsi="Noto Serif CJK SC" w:eastAsia="Noto Serif CJK SC" w:cs="Noto Serif CJK SC"/>
        </w:rPr>
        <w:t>13</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5.1 实验条件与对照设置</w:t>
        <w:tab/>
      </w:r>
      <w:r>
        <w:rPr>
          <w:rFonts w:ascii="Noto Serif CJK SC" w:hAnsi="Noto Serif CJK SC" w:eastAsia="Noto Serif CJK SC" w:cs="Noto Serif CJK SC"/>
        </w:rPr>
        <w:t>13</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5.2 消融与对比实验</w:t>
        <w:tab/>
      </w:r>
      <w:r>
        <w:rPr>
          <w:rFonts w:ascii="Noto Serif CJK SC" w:hAnsi="Noto Serif CJK SC" w:eastAsia="Noto Serif CJK SC" w:cs="Noto Serif CJK SC"/>
        </w:rPr>
        <w:t>13</w:t>
      </w:r>
    </w:p>
    <w:p>
      <w:pPr>
        <w:widowControl/>
        <w:tabs>
          <w:tab w:pos="7937" w:val="left"/>
        </w:tabs>
        <w:ind w:left="397"/>
      </w:pPr>
      <w:r>
        <w:rPr>
          <w:rFonts w:ascii="Noto Serif CJK SC" w:hAnsi="Noto Serif CJK SC" w:eastAsia="Noto Serif CJK SC" w:cs="Noto Serif CJK SC"/>
        </w:rPr>
      </w:r>
      <w:r>
        <w:rPr>
          <w:rFonts w:ascii="Noto Serif CJK SC" w:hAnsi="Noto Serif CJK SC" w:eastAsia="Noto Serif CJK SC" w:cs="Noto Serif CJK SC"/>
        </w:rPr>
        <w:t>5.3 误差分析与可复现性</w:t>
        <w:tab/>
      </w:r>
      <w:r>
        <w:rPr>
          <w:rFonts w:ascii="Noto Serif CJK SC" w:hAnsi="Noto Serif CJK SC" w:eastAsia="Noto Serif CJK SC" w:cs="Noto Serif CJK SC"/>
        </w:rPr>
        <w:t>14</w:t>
      </w:r>
    </w:p>
    <w:p>
      <w:pPr>
        <w:widowControl/>
        <w:tabs>
          <w:tab w:pos="7937" w:val="left"/>
        </w:tabs>
        <w:ind w:left="0"/>
      </w:pPr>
      <w:r>
        <w:rPr>
          <w:rFonts w:ascii="Noto Serif CJK SC" w:hAnsi="Noto Serif CJK SC" w:eastAsia="Noto Serif CJK SC" w:cs="Noto Serif CJK SC"/>
        </w:rPr>
      </w:r>
      <w:r>
        <w:rPr>
          <w:rFonts w:ascii="Noto Serif CJK SC" w:hAnsi="Noto Serif CJK SC" w:eastAsia="Noto Serif CJK SC" w:cs="Noto Serif CJK SC"/>
        </w:rPr>
        <w:t>第6章 总结与展望</w:t>
        <w:tab/>
      </w:r>
      <w:r>
        <w:rPr>
          <w:rFonts w:ascii="Noto Serif CJK SC" w:hAnsi="Noto Serif CJK SC" w:eastAsia="Noto Serif CJK SC" w:cs="Noto Serif CJK SC"/>
        </w:rPr>
        <w:t>16</w:t>
      </w:r>
    </w:p>
    <w:p>
      <w:pPr>
        <w:widowControl/>
        <w:tabs>
          <w:tab w:pos="7937" w:val="left"/>
        </w:tabs>
        <w:ind w:left="0"/>
      </w:pPr>
      <w:r>
        <w:rPr>
          <w:rFonts w:ascii="Noto Serif CJK SC" w:hAnsi="Noto Serif CJK SC" w:eastAsia="Noto Serif CJK SC" w:cs="Noto Serif CJK SC"/>
        </w:rPr>
      </w:r>
      <w:r>
        <w:rPr>
          <w:rFonts w:ascii="Noto Serif CJK SC" w:hAnsi="Noto Serif CJK SC" w:eastAsia="Noto Serif CJK SC" w:cs="Noto Serif CJK SC"/>
        </w:rPr>
        <w:t>参考文献</w:t>
        <w:tab/>
      </w:r>
      <w:r>
        <w:rPr>
          <w:rFonts w:ascii="Noto Serif CJK SC" w:hAnsi="Noto Serif CJK SC" w:eastAsia="Noto Serif CJK SC" w:cs="Noto Serif CJK SC"/>
        </w:rPr>
        <w:t>17</w:t>
      </w:r>
    </w:p>
    <w:p>
      <w:r>
        <w:rPr>
          <w:rFonts w:ascii="Noto Serif CJK SC" w:hAnsi="Noto Serif CJK SC" w:eastAsia="Noto Serif CJK SC" w:cs="Noto Serif CJK SC"/>
        </w:rPr>
        <w:br w:type="page"/>
      </w:r>
    </w:p>
    <w:p>
      <w:pPr>
        <w:pStyle w:val="1"/>
        <w:pageBreakBefore/>
        <w:jc w:val="center"/>
      </w:pPr>
      <w:r>
        <w:rPr>
          <w:rFonts w:ascii="Noto Sans CJK SC" w:hAnsi="Noto Sans CJK SC" w:eastAsia="Noto Sans CJK SC" w:cs="Noto Sans CJK SC"/>
        </w:rPr>
        <w:t>第1章 绪论</w:t>
      </w:r>
    </w:p>
    <w:p>
      <w:pPr>
        <w:pStyle w:val="21"/>
      </w:pPr>
      <w:r>
        <w:rPr>
          <w:rFonts w:ascii="Noto Sans CJK SC" w:hAnsi="Noto Sans CJK SC" w:eastAsia="Noto Sans CJK SC" w:cs="Noto Sans CJK SC"/>
        </w:rPr>
        <w:t>1.1 研究背景与意义</w:t>
      </w:r>
    </w:p>
    <w:p>
      <w:pPr>
        <w:widowControl/>
        <w:ind w:firstLine="420"/>
      </w:pPr>
      <w:r>
        <w:rPr>
          <w:rFonts w:ascii="Noto Serif CJK SC" w:hAnsi="Noto Serif CJK SC" w:eastAsia="Noto Serif CJK SC" w:cs="Noto Serif CJK SC"/>
        </w:rPr>
        <w:t>印刷电路板承担电子器件的电气连接和机械支撑。表面线路制作、蚀刻和后处理中的局部异常可能形成断路、短路、针孔等缺陷。随着线宽和间距缩小，缺陷与正常纹理的差异趋于细微，人工目检难以持续满足一致性与速度要求。因此，研究能够兼顾定位精度与推理效率的自动检测方法具有实际意义。</w:t>
      </w:r>
    </w:p>
    <w:p>
      <w:pPr>
        <w:widowControl/>
        <w:ind w:firstLine="420"/>
      </w:pPr>
      <w:r>
        <w:rPr>
          <w:rFonts w:ascii="Noto Serif CJK SC" w:hAnsi="Noto Serif CJK SC" w:eastAsia="Noto Serif CJK SC" w:cs="Noto Serif CJK SC"/>
        </w:rPr>
        <w:t>传统模板比对需要稳定配准，复杂光照、成像噪声和板面差异会影响阈值设定；学习式目标检测能够从标注数据中提取缺陷特征，但小目标容易在下采样中丢失。DeepPCB 提供成对、已配准的图像与六类缺陷标注，为结构改进和受控比较提供了可用基础[1]。其样本含人工增补的缺陷，数据集结果与真实生产场景之间仍需额外验证。</w:t>
      </w:r>
    </w:p>
    <w:p>
      <w:pPr>
        <w:pStyle w:val="21"/>
      </w:pPr>
      <w:r>
        <w:rPr>
          <w:rFonts w:ascii="Noto Sans CJK SC" w:hAnsi="Noto Sans CJK SC" w:eastAsia="Noto Sans CJK SC" w:cs="Noto Sans CJK SC"/>
        </w:rPr>
        <w:t>1.2 国内外研究现状</w:t>
      </w:r>
    </w:p>
    <w:p>
      <w:pPr>
        <w:pStyle w:val="31"/>
      </w:pPr>
      <w:r>
        <w:rPr>
          <w:rFonts w:ascii="Noto Sans CJK SC" w:hAnsi="Noto Sans CJK SC" w:eastAsia="Noto Sans CJK SC" w:cs="Noto Sans CJK SC"/>
        </w:rPr>
        <w:t>1.2.1 多尺度目标检测</w:t>
      </w:r>
    </w:p>
    <w:p>
      <w:pPr>
        <w:widowControl/>
        <w:ind w:firstLine="420"/>
      </w:pPr>
      <w:r>
        <w:rPr>
          <w:rFonts w:ascii="Noto Serif CJK SC" w:hAnsi="Noto Serif CJK SC" w:eastAsia="Noto Serif CJK SC" w:cs="Noto Serif CJK SC"/>
        </w:rPr>
        <w:t>YOLO 系列将检测建模为端到端的视觉预测问题，推动了实时检测方法的发展[2]。特征金字塔网络（FPN）通过自顶向下的语义传播改善不同尺度目标的识别[3]；路径聚合网络（PANet）进一步强化自底向上的信息流动[4]。EfficientDet 提出的 BiFPN 使用双向路径与归一化可学习权重，以较低代价整合多尺度特征[5]。这些研究说明：浅层分辨率与深层语义能否有效结合，是小缺陷检测的重要问题。</w:t>
      </w:r>
    </w:p>
    <w:p>
      <w:pPr>
        <w:pStyle w:val="31"/>
      </w:pPr>
      <w:r>
        <w:rPr>
          <w:rFonts w:ascii="Noto Sans CJK SC" w:hAnsi="Noto Sans CJK SC" w:eastAsia="Noto Sans CJK SC" w:cs="Noto Sans CJK SC"/>
        </w:rPr>
        <w:t>1.2.2 小目标定位与推理方法</w:t>
      </w:r>
    </w:p>
    <w:p>
      <w:pPr>
        <w:widowControl/>
        <w:ind w:firstLine="420"/>
      </w:pPr>
      <w:r>
        <w:rPr>
          <w:rFonts w:ascii="Noto Serif CJK SC" w:hAnsi="Noto Serif CJK SC" w:eastAsia="Noto Serif CJK SC" w:cs="Noto Serif CJK SC"/>
        </w:rPr>
        <w:t>小目标包围框面积较小，相同的像素偏移可能导致更明显的交并比下降。基于归一化 Wasserstein 距离的研究尝试缓解这一问题[6]。切片辅助推理 SAHI 通过局部放大提升大图中微小目标的可见度[7]，但增加切片、合并和推理时间。高分辨率表示网络通过保持高分辨率分支与多尺度交互强化空间信息[8]；CBAM 则通过通道和空间注意力增强特征[9]。上述技术为 PCB 小缺陷检测提供启发，其在 DeepPCB 上的收益和代价仍须通过统一实验确认。</w:t>
      </w:r>
    </w:p>
    <w:p>
      <w:pPr>
        <w:pStyle w:val="31"/>
      </w:pPr>
      <w:r>
        <w:rPr>
          <w:rFonts w:ascii="Noto Sans CJK SC" w:hAnsi="Noto Sans CJK SC" w:eastAsia="Noto Sans CJK SC" w:cs="Noto Sans CJK SC"/>
        </w:rPr>
        <w:t>1.2.3 PCB 缺陷检测与研究空缺</w:t>
      </w:r>
    </w:p>
    <w:p>
      <w:pPr>
        <w:widowControl/>
        <w:ind w:firstLine="420"/>
      </w:pPr>
      <w:r>
        <w:rPr>
          <w:rFonts w:ascii="Noto Serif CJK SC" w:hAnsi="Noto Serif CJK SC" w:eastAsia="Noto Serif CJK SC" w:cs="Noto Serif CJK SC"/>
        </w:rPr>
        <w:t>DeepPCB 的待检图和模板图为已配准图像对，标注覆盖断路、短路、鼠咬、毛刺、杂铜及针孔[1]。部分既有 PCB 研究使用的类别集合、图像大小和评价协议不同，直接横向比较其报告数值并不可靠。YOLO11 的官方实现以 C3k2、C2PSA 等模块构成主干与颈部，原始检测输出主要为 P3、P4、P5 三个尺度[10]。本研究拟在固定版本和数据协议下检验 P2 与高分辨率融合的独立贡献，并记录精度与延迟之间的取舍。</w:t>
      </w:r>
    </w:p>
    <w:p>
      <w:pPr>
        <w:pStyle w:val="21"/>
      </w:pPr>
      <w:r>
        <w:rPr>
          <w:rFonts w:ascii="Noto Sans CJK SC" w:hAnsi="Noto Sans CJK SC" w:eastAsia="Noto Sans CJK SC" w:cs="Noto Sans CJK SC"/>
        </w:rPr>
        <w:t>1.3 研究内容与技术路线</w:t>
      </w:r>
    </w:p>
    <w:p>
      <w:pPr>
        <w:widowControl/>
        <w:ind w:firstLine="420"/>
      </w:pPr>
      <w:r>
        <w:t>本文工作分为四步：第一，核对 DeepPCB 官方数据清单、类别编号与图像对应关系，建立可复现的数据转换流程；第二，训练固定版本的 YOLO11n 基线；第三，分别设计 P2 分支和双向加权融合，并通过四组消融实验分析各自贡献；第四，从类别、目标面积、漏检类型和部署开销多个角度评价模型。目前仅完成一次预备训练；本稿将未运行的融合消融项目列为待实测。</w:t>
      </w:r>
    </w:p>
    <w:p>
      <w:pPr>
        <w:keepNext/>
        <w:widowControl/>
        <w:jc w:val="center"/>
      </w:pPr>
      <w:r>
        <w:rPr>
          <w:rFonts w:ascii="Noto Serif CJK SC" w:hAnsi="Noto Serif CJK SC" w:eastAsia="Noto Serif CJK SC" w:cs="Noto Serif CJK SC"/>
          <w:sz w:val="21"/>
        </w:rPr>
        <w:t>图1-1 研究技术路线（文字及框图均可编辑）</w:t>
      </w:r>
    </w:p>
    <w:tbl>
      <w:tblPr>
        <w:tblStyle w:val="aff1"/>
        <w:tblW w:type="auto" w:w="0"/>
        <w:jc w:val="center"/>
        <w:tblLayout w:type="autofit"/>
        <w:tblLook w:firstColumn="1" w:firstRow="1" w:lastColumn="0" w:lastRow="0" w:noHBand="0" w:noVBand="1" w:val="04A0"/>
      </w:tblPr>
      <w:tblGrid>
        <w:gridCol w:w="2197"/>
        <w:gridCol w:w="2197"/>
        <w:gridCol w:w="2197"/>
        <w:gridCol w:w="2197"/>
      </w:tblGrid>
      <w:tr>
        <w:trPr>
          <w:cantSplit/>
          <w:tblHeader w:val="true"/>
        </w:trPr>
        <w:tc>
          <w:tcPr>
            <w:tcW w:type="dxa" w:w="2197"/>
            <w:vAlign w:val="center"/>
          </w:tcPr>
          <w:p>
            <w:r>
              <w:rPr>
                <w:b/>
              </w:rPr>
              <w:t>数据准备</w:t>
            </w:r>
          </w:p>
        </w:tc>
        <w:tc>
          <w:tcPr>
            <w:tcW w:type="dxa" w:w="2197"/>
            <w:vAlign w:val="center"/>
          </w:tcPr>
          <w:p>
            <w:r>
              <w:rPr>
                <w:b/>
              </w:rPr>
              <w:t>模型设计</w:t>
            </w:r>
          </w:p>
        </w:tc>
        <w:tc>
          <w:tcPr>
            <w:tcW w:type="dxa" w:w="2197"/>
            <w:vAlign w:val="center"/>
          </w:tcPr>
          <w:p>
            <w:r>
              <w:rPr>
                <w:b/>
              </w:rPr>
              <w:t>训练验证</w:t>
            </w:r>
          </w:p>
        </w:tc>
        <w:tc>
          <w:tcPr>
            <w:tcW w:type="dxa" w:w="2197"/>
            <w:vAlign w:val="center"/>
          </w:tcPr>
          <w:p>
            <w:r>
              <w:rPr>
                <w:b/>
              </w:rPr>
              <w:t>测试分析</w:t>
            </w:r>
          </w:p>
        </w:tc>
      </w:tr>
      <w:tr>
        <w:trPr>
          <w:cantSplit/>
        </w:trPr>
        <w:tc>
          <w:tcPr>
            <w:tcW w:type="dxa" w:w="2197"/>
            <w:vAlign w:val="center"/>
          </w:tcPr>
          <w:p>
            <w:pPr>
              <w:spacing w:line="276" w:lineRule="auto" w:after="40"/>
            </w:pPr>
            <w:r>
              <w:rPr>
                <w:sz w:val="21"/>
              </w:rPr>
              <w:t>官方清单与六类标注</w:t>
              <w:br/>
              <w:t>先划分后增强</w:t>
            </w:r>
          </w:p>
        </w:tc>
        <w:tc>
          <w:tcPr>
            <w:tcW w:type="dxa" w:w="2197"/>
            <w:vAlign w:val="center"/>
          </w:tcPr>
          <w:p>
            <w:pPr>
              <w:spacing w:line="276" w:lineRule="auto" w:after="40"/>
            </w:pPr>
            <w:r>
              <w:rPr>
                <w:sz w:val="21"/>
              </w:rPr>
              <w:t>A 基线；B 加 P2</w:t>
              <w:br/>
              <w:t>C 加融合；D 联合</w:t>
            </w:r>
          </w:p>
        </w:tc>
        <w:tc>
          <w:tcPr>
            <w:tcW w:type="dxa" w:w="2197"/>
            <w:vAlign w:val="center"/>
          </w:tcPr>
          <w:p>
            <w:pPr>
              <w:spacing w:line="276" w:lineRule="auto" w:after="40"/>
            </w:pPr>
            <w:r>
              <w:rPr>
                <w:sz w:val="21"/>
              </w:rPr>
              <w:t>统一参数和随机种子</w:t>
              <w:br/>
              <w:t>仅用验证集选模</w:t>
            </w:r>
          </w:p>
        </w:tc>
        <w:tc>
          <w:tcPr>
            <w:tcW w:type="dxa" w:w="2197"/>
            <w:vAlign w:val="center"/>
          </w:tcPr>
          <w:p>
            <w:pPr>
              <w:spacing w:line="276" w:lineRule="auto" w:after="40"/>
            </w:pPr>
            <w:r>
              <w:rPr>
                <w:sz w:val="21"/>
              </w:rPr>
              <w:t>官方测试集一次评估</w:t>
              <w:br/>
              <w:t>精度、召回与延迟</w:t>
            </w:r>
          </w:p>
        </w:tc>
      </w:tr>
    </w:tbl>
    <w:p>
      <w:pPr>
        <w:widowControl/>
      </w:pPr>
      <w:r>
        <w:rPr>
          <w:rFonts w:ascii="Noto Serif CJK SC" w:hAnsi="Noto Serif CJK SC" w:eastAsia="Noto Serif CJK SC" w:cs="Noto Serif CJK SC"/>
        </w:rPr>
      </w:r>
    </w:p>
    <w:p>
      <w:pPr>
        <w:pStyle w:val="21"/>
      </w:pPr>
      <w:r>
        <w:rPr>
          <w:rFonts w:ascii="Noto Sans CJK SC" w:hAnsi="Noto Sans CJK SC" w:eastAsia="Noto Sans CJK SC" w:cs="Noto Sans CJK SC"/>
        </w:rPr>
        <w:t>1.4 章节安排</w:t>
      </w:r>
    </w:p>
    <w:p>
      <w:pPr>
        <w:widowControl/>
        <w:ind w:firstLine="420"/>
      </w:pPr>
      <w:r>
        <w:rPr>
          <w:rFonts w:ascii="Noto Serif CJK SC" w:hAnsi="Noto Serif CJK SC" w:eastAsia="Noto Serif CJK SC" w:cs="Noto Serif CJK SC"/>
        </w:rPr>
        <w:t>第1章说明研究背景与问题；第2章介绍 YOLO11、多尺度理论和评价指标；第3章给出 DeepPCB 数据及基线训练方案；第4章说明结构改进；第5章规定消融、对比和误差分析方法，并留出待实测结果；第6章总结已完成的研究设计与后续工作。</w:t>
      </w:r>
    </w:p>
    <w:p>
      <w:pPr>
        <w:pStyle w:val="1"/>
        <w:pageBreakBefore/>
        <w:jc w:val="center"/>
      </w:pPr>
      <w:r>
        <w:rPr>
          <w:rFonts w:ascii="Noto Sans CJK SC" w:hAnsi="Noto Sans CJK SC" w:eastAsia="Noto Sans CJK SC" w:cs="Noto Sans CJK SC"/>
        </w:rPr>
        <w:t>第2章 相关理论与技术</w:t>
      </w:r>
    </w:p>
    <w:p>
      <w:pPr>
        <w:pStyle w:val="21"/>
      </w:pPr>
      <w:r>
        <w:rPr>
          <w:rFonts w:ascii="Noto Sans CJK SC" w:hAnsi="Noto Sans CJK SC" w:eastAsia="Noto Sans CJK SC" w:cs="Noto Sans CJK SC"/>
        </w:rPr>
        <w:t>2.1 目标检测与 YOLO11</w:t>
      </w:r>
    </w:p>
    <w:p>
      <w:pPr>
        <w:widowControl/>
        <w:ind w:firstLine="420"/>
      </w:pPr>
      <w:r>
        <w:rPr>
          <w:rFonts w:ascii="Noto Serif CJK SC" w:hAnsi="Noto Serif CJK SC" w:eastAsia="Noto Serif CJK SC" w:cs="Noto Serif CJK SC"/>
        </w:rPr>
        <w:t>目标检测同时预测类别与边界框。YOLO11 是 Ultralytics 的一阶段检测模型。本研究拟固定 Ultralytics v8.3.0 的 YOLO11n 配置及软件版本，记录训练时的代码提交、权重来源与环境信息[10]。在该配置中，主干使用 Conv、C3k2、SPPF 和 C2PSA 等模块，颈部通过上采样与跨层融合输出多尺度特征；标准检测头输出 P3/8、P4/16、P5/32。</w:t>
      </w:r>
    </w:p>
    <w:p>
      <w:pPr>
        <w:widowControl/>
        <w:ind w:firstLine="420"/>
      </w:pPr>
      <w:r>
        <w:rPr>
          <w:rFonts w:ascii="Noto Serif CJK SC" w:hAnsi="Noto Serif CJK SC" w:eastAsia="Noto Serif CJK SC" w:cs="Noto Serif CJK SC"/>
        </w:rPr>
        <w:t>以 640×640 输入为例，三个尺度的空间网格分别约为 80×80、40×40、20×20。若某缺陷宽度仅为数像素，其在步长 8 的特征图上可能不足一个网格。步长为 4 的 P2 特征图约为 160×160，可以保留更多局部位置线索，但也会增加特征图存储和计算开销。P2 与高分辨率融合是否带来净收益，须以相同训练及测速条件测定。</w:t>
      </w:r>
    </w:p>
    <w:p>
      <w:pPr>
        <w:pStyle w:val="21"/>
      </w:pPr>
      <w:r>
        <w:rPr>
          <w:rFonts w:ascii="Noto Sans CJK SC" w:hAnsi="Noto Sans CJK SC" w:eastAsia="Noto Sans CJK SC" w:cs="Noto Sans CJK SC"/>
        </w:rPr>
        <w:t>2.2 小目标与多尺度特征</w:t>
      </w:r>
    </w:p>
    <w:p>
      <w:pPr>
        <w:widowControl/>
        <w:ind w:firstLine="420"/>
      </w:pPr>
      <w:r>
        <w:rPr>
          <w:rFonts w:ascii="Noto Serif CJK SC" w:hAnsi="Noto Serif CJK SC" w:eastAsia="Noto Serif CJK SC" w:cs="Noto Serif CJK SC"/>
        </w:rPr>
        <w:t>FPN 的自顶向下连接有助于为浅层特征注入语义；PANet 的自底向上连接则缩短定位信息向深层传播的路径[3-4]。BiFPN 借鉴这两类路径，在同尺度输入对齐后采用可学习、归一化的融合权重[5]。本文将其作为结构依据，设计适用于 P2 至 P5 的融合节点。这里的权重是训练得到的参数；若需每张图像自适应生成权重，必须另行实现与验证。</w:t>
      </w:r>
    </w:p>
    <w:p>
      <w:pPr>
        <w:widowControl/>
        <w:ind w:firstLine="420"/>
      </w:pPr>
      <w:r>
        <w:rPr>
          <w:rFonts w:ascii="Noto Serif CJK SC" w:hAnsi="Noto Serif CJK SC" w:eastAsia="Noto Serif CJK SC" w:cs="Noto Serif CJK SC"/>
        </w:rPr>
        <w:t>对于小框，可按目标面积与输入图像面积之比划分尺度，并单独观察召回。与只观察总体 mAP 相比，分类别、分面积统计更容易发现模型是否仅提高了较大的鼠咬或杂铜目标，而对断路、短路仍存在漏检。面积阈值应在查看测试结果之前确定并记录，避免事后选择有利阈值。</w:t>
      </w:r>
    </w:p>
    <w:p>
      <w:pPr>
        <w:pStyle w:val="21"/>
      </w:pPr>
      <w:r>
        <w:rPr>
          <w:rFonts w:ascii="Noto Sans CJK SC" w:hAnsi="Noto Sans CJK SC" w:eastAsia="Noto Sans CJK SC" w:cs="Noto Sans CJK SC"/>
        </w:rPr>
        <w:t>2.3 评价指标</w:t>
      </w:r>
    </w:p>
    <w:p>
      <w:pPr>
        <w:widowControl/>
        <w:ind w:firstLine="420"/>
      </w:pPr>
      <w:r>
        <w:rPr>
          <w:rFonts w:ascii="Noto Serif CJK SC" w:hAnsi="Noto Serif CJK SC" w:eastAsia="Noto Serif CJK SC" w:cs="Noto Serif CJK SC"/>
        </w:rPr>
        <w:t>预测框与标注框的交并比（IoU）用于判定位置匹配，精确率与召回率分别衡量误检和漏检。对每个类别按置信度排序形成 P–R 曲线，AP 为其面积，mAP 为类别 AP 的平均。本文报告 mAP@0.5、mAP@0.5:0.95，以及六类 AP 和召回率；AP 的插值实现和库版本须随实验记录。</w:t>
      </w:r>
    </w:p>
    <w:p>
      <w:pPr>
        <w:widowControl/>
        <w:ind w:firstLine="420"/>
      </w:pPr>
      <w:r>
        <w:rPr>
          <w:rFonts w:ascii="Noto Serif CJK SC" w:hAnsi="Noto Serif CJK SC" w:eastAsia="Noto Serif CJK SC" w:cs="Noto Serif CJK SC"/>
        </w:rPr>
        <w:t>设 S∩ 为预测框与标注框的交集面积，S∪ 为两框的并集面积。</w:t>
      </w:r>
    </w:p>
    <w:p>
      <w:pPr>
        <w:keepLines/>
        <w:widowControl/>
        <w:jc w:val="center"/>
      </w:pPr>
      <w:r>
        <w:rPr>
          <w:rFonts w:ascii="Noto Serif CJK SC" w:hAnsi="Noto Serif CJK SC" w:eastAsia="Noto Serif CJK SC" w:cs="Noto Serif CJK SC"/>
        </w:rPr>
      </w:r>
      <m:oMath>
        <m:r>
          <m:rPr>
            <m:sty m:val="i"/>
          </m:rPr>
          <m:t>I</m:t>
        </m:r>
        <m:r>
          <m:rPr>
            <m:sty m:val="i"/>
          </m:rPr>
          <m:t>o</m:t>
        </m:r>
        <m:r>
          <m:rPr>
            <m:sty m:val="i"/>
          </m:rPr>
          <m:t>U</m:t>
        </m:r>
        <m:r>
          <m:rPr>
            <m:sty m:val="p"/>
          </m:rPr>
          <m:t>=</m:t>
        </m:r>
        <m:f>
          <m:num>
            <m:sSub>
              <m:e>
                <m:r>
                  <m:rPr>
                    <m:sty m:val="i"/>
                  </m:rPr>
                  <m:t>S</m:t>
                </m:r>
              </m:e>
              <m:sub>
                <m:r>
                  <m:rPr>
                    <m:sty m:val="p"/>
                  </m:rPr>
                  <m:t>∩</m:t>
                </m:r>
              </m:sub>
            </m:sSub>
          </m:num>
          <m:den>
            <m:sSub>
              <m:e>
                <m:r>
                  <m:rPr>
                    <m:sty m:val="i"/>
                  </m:rPr>
                  <m:t>S</m:t>
                </m:r>
              </m:e>
              <m:sub>
                <m:r>
                  <m:rPr>
                    <m:sty m:val="p"/>
                  </m:rPr>
                  <m:t>∪</m:t>
                </m:r>
              </m:sub>
            </m:sSub>
          </m:den>
        </m:f>
      </m:oMath>
      <w:r>
        <w:rPr>
          <w:rFonts w:ascii="Noto Serif CJK SC" w:hAnsi="Noto Serif CJK SC" w:eastAsia="Noto Serif CJK SC" w:cs="Noto Serif CJK SC"/>
        </w:rPr>
        <w:t xml:space="preserve">    （2-1）</w:t>
      </w:r>
    </w:p>
    <w:p>
      <w:pPr>
        <w:keepLines/>
        <w:widowControl/>
        <w:jc w:val="center"/>
      </w:pPr>
      <w:r>
        <w:rPr>
          <w:rFonts w:ascii="Noto Serif CJK SC" w:hAnsi="Noto Serif CJK SC" w:eastAsia="Noto Serif CJK SC" w:cs="Noto Serif CJK SC"/>
        </w:rPr>
      </w:r>
      <m:oMath>
        <m:r>
          <m:rPr>
            <m:sty m:val="i"/>
          </m:rPr>
          <m:t>P</m:t>
        </m:r>
        <m:r>
          <m:rPr>
            <m:sty m:val="p"/>
          </m:rPr>
          <m:t>=</m:t>
        </m:r>
        <m:f>
          <m:num>
            <m:r>
              <m:rPr>
                <m:sty m:val="i"/>
              </m:rPr>
              <m:t>T</m:t>
            </m:r>
            <m:r>
              <m:rPr>
                <m:sty m:val="i"/>
              </m:rPr>
              <m:t>P</m:t>
            </m:r>
          </m:num>
          <m:den>
            <m:r>
              <m:rPr>
                <m:sty m:val="i"/>
              </m:rPr>
              <m:t>T</m:t>
            </m:r>
            <m:r>
              <m:rPr>
                <m:sty m:val="i"/>
              </m:rPr>
              <m:t>P</m:t>
            </m:r>
            <m:r>
              <m:rPr>
                <m:sty m:val="p"/>
              </m:rPr>
              <m:t>+</m:t>
            </m:r>
            <m:r>
              <m:rPr>
                <m:sty m:val="i"/>
              </m:rPr>
              <m:t>F</m:t>
            </m:r>
            <m:r>
              <m:rPr>
                <m:sty m:val="i"/>
              </m:rPr>
              <m:t>P</m:t>
            </m:r>
          </m:den>
        </m:f>
        <m:r>
          <m:rPr>
            <m:sty m:val="p"/>
          </m:rPr>
          <m:t>,</m:t>
        </m:r>
        <m:r>
          <m:t/>
        </m:r>
        <m:r>
          <m:rPr>
            <m:sty m:val="i"/>
          </m:rPr>
          <m:t>R</m:t>
        </m:r>
        <m:r>
          <m:rPr>
            <m:sty m:val="p"/>
          </m:rPr>
          <m:t>=</m:t>
        </m:r>
        <m:f>
          <m:num>
            <m:r>
              <m:rPr>
                <m:sty m:val="i"/>
              </m:rPr>
              <m:t>T</m:t>
            </m:r>
            <m:r>
              <m:rPr>
                <m:sty m:val="i"/>
              </m:rPr>
              <m:t>P</m:t>
            </m:r>
          </m:num>
          <m:den>
            <m:r>
              <m:rPr>
                <m:sty m:val="i"/>
              </m:rPr>
              <m:t>T</m:t>
            </m:r>
            <m:r>
              <m:rPr>
                <m:sty m:val="i"/>
              </m:rPr>
              <m:t>P</m:t>
            </m:r>
            <m:r>
              <m:rPr>
                <m:sty m:val="p"/>
              </m:rPr>
              <m:t>+</m:t>
            </m:r>
            <m:r>
              <m:rPr>
                <m:sty m:val="i"/>
              </m:rPr>
              <m:t>F</m:t>
            </m:r>
            <m:r>
              <m:rPr>
                <m:sty m:val="i"/>
              </m:rPr>
              <m:t>N</m:t>
            </m:r>
          </m:den>
        </m:f>
      </m:oMath>
      <w:r>
        <w:rPr>
          <w:rFonts w:ascii="Noto Serif CJK SC" w:hAnsi="Noto Serif CJK SC" w:eastAsia="Noto Serif CJK SC" w:cs="Noto Serif CJK SC"/>
        </w:rPr>
        <w:t xml:space="preserve">    （2-2）</w:t>
      </w:r>
    </w:p>
    <w:p>
      <w:pPr>
        <w:keepLines/>
        <w:widowControl/>
        <w:jc w:val="center"/>
      </w:pPr>
      <w:r>
        <w:rPr>
          <w:rFonts w:ascii="Noto Serif CJK SC" w:hAnsi="Noto Serif CJK SC" w:eastAsia="Noto Serif CJK SC" w:cs="Noto Serif CJK SC"/>
        </w:rPr>
      </w:r>
      <m:oMath>
        <m:r>
          <m:rPr>
            <m:sty m:val="i"/>
          </m:rPr>
          <m:t>m</m:t>
        </m:r>
        <m:r>
          <m:rPr>
            <m:sty m:val="i"/>
          </m:rPr>
          <m:t>A</m:t>
        </m:r>
        <m:r>
          <m:rPr>
            <m:sty m:val="i"/>
          </m:rPr>
          <m:t>P</m:t>
        </m:r>
        <m:r>
          <m:rPr>
            <m:sty m:val="p"/>
          </m:rPr>
          <m:t>=</m:t>
        </m:r>
        <m:f>
          <m:num>
            <m:r>
              <m:rPr>
                <m:sty m:val="p"/>
              </m:rPr>
              <m:t>1</m:t>
            </m:r>
          </m:num>
          <m:den>
            <m:r>
              <m:rPr>
                <m:sty m:val="i"/>
              </m:rPr>
              <m:t>C</m:t>
            </m:r>
          </m:den>
        </m:f>
        <m:nary>
          <m:naryPr>
            <m:chr m:val="∑"/>
            <m:limLoc m:val="undOvr"/>
          </m:naryPr>
          <m:sub>
            <m:r>
              <m:rPr>
                <m:sty m:val="i"/>
              </m:rPr>
              <m:t>c</m:t>
            </m:r>
            <m:r>
              <m:rPr>
                <m:sty m:val="p"/>
              </m:rPr>
              <m:t>=</m:t>
            </m:r>
            <m:r>
              <m:rPr>
                <m:sty m:val="p"/>
              </m:rPr>
              <m:t>1</m:t>
            </m:r>
          </m:sub>
          <m:sup>
            <m:r>
              <m:rPr>
                <m:sty m:val="i"/>
              </m:rPr>
              <m:t>C</m:t>
            </m:r>
          </m:sup>
          <m:e>
            <m:r>
              <m:rPr>
                <m:sty m:val="i"/>
              </m:rPr>
              <m:t>A</m:t>
            </m:r>
            <m:sSub>
              <m:e>
                <m:r>
                  <m:rPr>
                    <m:sty m:val="i"/>
                  </m:rPr>
                  <m:t>P</m:t>
                </m:r>
              </m:e>
              <m:sub>
                <m:r>
                  <m:rPr>
                    <m:sty m:val="i"/>
                  </m:rPr>
                  <m:t>c</m:t>
                </m:r>
              </m:sub>
            </m:sSub>
            <m:r>
              <m:rPr>
                <m:sty m:val="p"/>
              </m:rPr>
              <m:t>,</m:t>
            </m:r>
            <m:r>
              <m:t/>
            </m:r>
            <m:r>
              <m:rPr>
                <m:sty m:val="i"/>
              </m:rPr>
              <m:t>C</m:t>
            </m:r>
            <m:r>
              <m:rPr>
                <m:sty m:val="p"/>
              </m:rPr>
              <m:t>=</m:t>
            </m:r>
            <m:r>
              <m:rPr>
                <m:sty m:val="p"/>
              </m:rPr>
              <m:t>6</m:t>
            </m:r>
          </m:e>
        </m:nary>
      </m:oMath>
      <w:r>
        <w:rPr>
          <w:rFonts w:ascii="Noto Serif CJK SC" w:hAnsi="Noto Serif CJK SC" w:eastAsia="Noto Serif CJK SC" w:cs="Noto Serif CJK SC"/>
        </w:rPr>
        <w:t xml:space="preserve">    （2-3）</w:t>
      </w:r>
    </w:p>
    <w:p>
      <w:pPr>
        <w:widowControl/>
        <w:ind w:firstLine="420"/>
      </w:pPr>
      <w:r>
        <w:rPr>
          <w:rFonts w:ascii="Noto Serif CJK SC" w:hAnsi="Noto Serif CJK SC" w:eastAsia="Noto Serif CJK SC" w:cs="Noto Serif CJK SC"/>
        </w:rPr>
        <w:t>DeepPCB 原作者评价中同类框匹配采用 IoU 大于 0.33 的协议[1]。本文如复现该协议，将单独标注结果，并核对作者脚本的匹配、重复框处理与阈值规则。mAP@0.33 与常见 mAP@0.5、mAP@0.5:0.95 属于不同协议，不能直接比较数值。效率方面应同时报告参数量、FLOPs、峰值显存和固定设备上的端到端延迟；帧率由相同计时范围下的延迟换算。</w:t>
      </w:r>
    </w:p>
    <w:p>
      <w:pPr>
        <w:pStyle w:val="1"/>
        <w:pageBreakBefore/>
        <w:jc w:val="center"/>
      </w:pPr>
      <w:r>
        <w:rPr>
          <w:rFonts w:ascii="Noto Sans CJK SC" w:hAnsi="Noto Sans CJK SC" w:eastAsia="Noto Sans CJK SC" w:cs="Noto Sans CJK SC"/>
        </w:rPr>
        <w:t>第3章 DeepPCB 数据准备与基线</w:t>
      </w:r>
    </w:p>
    <w:p>
      <w:pPr>
        <w:pStyle w:val="21"/>
      </w:pPr>
      <w:r>
        <w:rPr>
          <w:rFonts w:ascii="Noto Sans CJK SC" w:hAnsi="Noto Sans CJK SC" w:eastAsia="Noto Sans CJK SC" w:cs="Noto Sans CJK SC"/>
        </w:rPr>
        <w:t>3.1 数据来源与类别</w:t>
      </w:r>
    </w:p>
    <w:p>
      <w:pPr>
        <w:widowControl/>
        <w:ind w:firstLine="420"/>
      </w:pPr>
      <w:r>
        <w:rPr>
          <w:rFonts w:ascii="Noto Serif CJK SC" w:hAnsi="Noto Serif CJK SC" w:eastAsia="Noto Serif CJK SC" w:cs="Noto Serif CJK SC"/>
        </w:rPr>
        <w:t>DeepPCB 原作者公开了 1 500 组 640×640 图像对，每组包含待检图与已配准的无缺陷模板图。数据由大型 PCB 图像裁剪得到，并包含人工增补缺陷；每条标注给出缺陷矩形框与类别编号[1]。本研究第一阶段仅以待检图作为模型输入，模板图保留用于人工核查及后续扩展，从而保证 A—D 组输入信息一致。</w:t>
      </w:r>
    </w:p>
    <w:p>
      <w:pPr>
        <w:keepNext/>
        <w:widowControl/>
        <w:jc w:val="center"/>
      </w:pPr>
      <w:r>
        <w:rPr>
          <w:rFonts w:ascii="Noto Serif CJK SC" w:hAnsi="Noto Serif CJK SC" w:eastAsia="Noto Serif CJK SC" w:cs="Noto Serif CJK SC"/>
          <w:sz w:val="21"/>
        </w:rPr>
        <w:t>表3-1 DeepPCB 官方类别与本研究 YOLO 编号</w:t>
      </w:r>
    </w:p>
    <w:tbl>
      <w:tblPr>
        <w:tblStyle w:val="aff1"/>
        <w:tblW w:type="auto" w:w="0"/>
        <w:jc w:val="center"/>
        <w:tblLayout w:type="autofit"/>
        <w:tblLook w:firstColumn="1" w:firstRow="1" w:lastColumn="0" w:lastRow="0" w:noHBand="0" w:noVBand="1" w:val="04A0"/>
      </w:tblPr>
      <w:tblGrid>
        <w:gridCol w:w="2197"/>
        <w:gridCol w:w="2197"/>
        <w:gridCol w:w="2197"/>
        <w:gridCol w:w="2197"/>
      </w:tblGrid>
      <w:tr>
        <w:trPr>
          <w:cantSplit/>
          <w:tblHeader w:val="true"/>
        </w:trPr>
        <w:tc>
          <w:tcPr>
            <w:tcW w:type="dxa" w:w="2197"/>
            <w:vAlign w:val="center"/>
          </w:tcPr>
          <w:p>
            <w:r>
              <w:rPr>
                <w:b/>
              </w:rPr>
              <w:t>官方编号</w:t>
            </w:r>
          </w:p>
        </w:tc>
        <w:tc>
          <w:tcPr>
            <w:tcW w:type="dxa" w:w="2197"/>
            <w:vAlign w:val="center"/>
          </w:tcPr>
          <w:p>
            <w:r>
              <w:rPr>
                <w:b/>
              </w:rPr>
              <w:t>YOLO 编号</w:t>
            </w:r>
          </w:p>
        </w:tc>
        <w:tc>
          <w:tcPr>
            <w:tcW w:type="dxa" w:w="2197"/>
            <w:vAlign w:val="center"/>
          </w:tcPr>
          <w:p>
            <w:r>
              <w:rPr>
                <w:b/>
              </w:rPr>
              <w:t>英文标签</w:t>
            </w:r>
          </w:p>
        </w:tc>
        <w:tc>
          <w:tcPr>
            <w:tcW w:type="dxa" w:w="2197"/>
            <w:vAlign w:val="center"/>
          </w:tcPr>
          <w:p>
            <w:r>
              <w:rPr>
                <w:b/>
              </w:rPr>
              <w:t>中文名称</w:t>
            </w:r>
          </w:p>
        </w:tc>
      </w:tr>
      <w:tr>
        <w:trPr>
          <w:cantSplit/>
        </w:trPr>
        <w:tc>
          <w:tcPr>
            <w:tcW w:type="dxa" w:w="2197"/>
            <w:vAlign w:val="center"/>
          </w:tcPr>
          <w:p>
            <w:pPr>
              <w:spacing w:line="276" w:lineRule="auto" w:after="40"/>
            </w:pPr>
            <w:r>
              <w:rPr>
                <w:sz w:val="21"/>
              </w:rPr>
              <w:t>1</w:t>
            </w:r>
          </w:p>
        </w:tc>
        <w:tc>
          <w:tcPr>
            <w:tcW w:type="dxa" w:w="2197"/>
            <w:vAlign w:val="center"/>
          </w:tcPr>
          <w:p>
            <w:pPr>
              <w:spacing w:line="276" w:lineRule="auto" w:after="40"/>
            </w:pPr>
            <w:r>
              <w:rPr>
                <w:sz w:val="21"/>
              </w:rPr>
              <w:t>0</w:t>
            </w:r>
          </w:p>
        </w:tc>
        <w:tc>
          <w:tcPr>
            <w:tcW w:type="dxa" w:w="2197"/>
            <w:vAlign w:val="center"/>
          </w:tcPr>
          <w:p>
            <w:pPr>
              <w:spacing w:line="276" w:lineRule="auto" w:after="40"/>
            </w:pPr>
            <w:r>
              <w:rPr>
                <w:sz w:val="21"/>
              </w:rPr>
              <w:t>open</w:t>
            </w:r>
          </w:p>
        </w:tc>
        <w:tc>
          <w:tcPr>
            <w:tcW w:type="dxa" w:w="2197"/>
            <w:vAlign w:val="center"/>
          </w:tcPr>
          <w:p>
            <w:pPr>
              <w:spacing w:line="276" w:lineRule="auto" w:after="40"/>
            </w:pPr>
            <w:r>
              <w:rPr>
                <w:sz w:val="21"/>
              </w:rPr>
              <w:t>断路/开路</w:t>
            </w:r>
          </w:p>
        </w:tc>
      </w:tr>
      <w:tr>
        <w:trPr>
          <w:cantSplit/>
        </w:trPr>
        <w:tc>
          <w:tcPr>
            <w:tcW w:type="dxa" w:w="2197"/>
            <w:vAlign w:val="center"/>
          </w:tcPr>
          <w:p>
            <w:pPr>
              <w:spacing w:line="276" w:lineRule="auto" w:after="40"/>
            </w:pPr>
            <w:r>
              <w:rPr>
                <w:sz w:val="21"/>
              </w:rPr>
              <w:t>2</w:t>
            </w:r>
          </w:p>
        </w:tc>
        <w:tc>
          <w:tcPr>
            <w:tcW w:type="dxa" w:w="2197"/>
            <w:vAlign w:val="center"/>
          </w:tcPr>
          <w:p>
            <w:pPr>
              <w:spacing w:line="276" w:lineRule="auto" w:after="40"/>
            </w:pPr>
            <w:r>
              <w:rPr>
                <w:sz w:val="21"/>
              </w:rPr>
              <w:t>1</w:t>
            </w:r>
          </w:p>
        </w:tc>
        <w:tc>
          <w:tcPr>
            <w:tcW w:type="dxa" w:w="2197"/>
            <w:vAlign w:val="center"/>
          </w:tcPr>
          <w:p>
            <w:pPr>
              <w:spacing w:line="276" w:lineRule="auto" w:after="40"/>
            </w:pPr>
            <w:r>
              <w:rPr>
                <w:sz w:val="21"/>
              </w:rPr>
              <w:t>short</w:t>
            </w:r>
          </w:p>
        </w:tc>
        <w:tc>
          <w:tcPr>
            <w:tcW w:type="dxa" w:w="2197"/>
            <w:vAlign w:val="center"/>
          </w:tcPr>
          <w:p>
            <w:pPr>
              <w:spacing w:line="276" w:lineRule="auto" w:after="40"/>
            </w:pPr>
            <w:r>
              <w:rPr>
                <w:sz w:val="21"/>
              </w:rPr>
              <w:t>短路</w:t>
            </w:r>
          </w:p>
        </w:tc>
      </w:tr>
      <w:tr>
        <w:trPr>
          <w:cantSplit/>
        </w:trPr>
        <w:tc>
          <w:tcPr>
            <w:tcW w:type="dxa" w:w="2197"/>
            <w:vAlign w:val="center"/>
          </w:tcPr>
          <w:p>
            <w:pPr>
              <w:spacing w:line="276" w:lineRule="auto" w:after="40"/>
            </w:pPr>
            <w:r>
              <w:rPr>
                <w:sz w:val="21"/>
              </w:rPr>
              <w:t>3</w:t>
            </w:r>
          </w:p>
        </w:tc>
        <w:tc>
          <w:tcPr>
            <w:tcW w:type="dxa" w:w="2197"/>
            <w:vAlign w:val="center"/>
          </w:tcPr>
          <w:p>
            <w:pPr>
              <w:spacing w:line="276" w:lineRule="auto" w:after="40"/>
            </w:pPr>
            <w:r>
              <w:rPr>
                <w:sz w:val="21"/>
              </w:rPr>
              <w:t>2</w:t>
            </w:r>
          </w:p>
        </w:tc>
        <w:tc>
          <w:tcPr>
            <w:tcW w:type="dxa" w:w="2197"/>
            <w:vAlign w:val="center"/>
          </w:tcPr>
          <w:p>
            <w:pPr>
              <w:spacing w:line="276" w:lineRule="auto" w:after="40"/>
            </w:pPr>
            <w:r>
              <w:rPr>
                <w:sz w:val="21"/>
              </w:rPr>
              <w:t>mousebite</w:t>
            </w:r>
          </w:p>
        </w:tc>
        <w:tc>
          <w:tcPr>
            <w:tcW w:type="dxa" w:w="2197"/>
            <w:vAlign w:val="center"/>
          </w:tcPr>
          <w:p>
            <w:pPr>
              <w:spacing w:line="276" w:lineRule="auto" w:after="40"/>
            </w:pPr>
            <w:r>
              <w:rPr>
                <w:sz w:val="21"/>
              </w:rPr>
              <w:t>鼠咬</w:t>
            </w:r>
          </w:p>
        </w:tc>
      </w:tr>
      <w:tr>
        <w:trPr>
          <w:cantSplit/>
        </w:trPr>
        <w:tc>
          <w:tcPr>
            <w:tcW w:type="dxa" w:w="2197"/>
            <w:vAlign w:val="center"/>
          </w:tcPr>
          <w:p>
            <w:pPr>
              <w:spacing w:line="276" w:lineRule="auto" w:after="40"/>
            </w:pPr>
            <w:r>
              <w:rPr>
                <w:sz w:val="21"/>
              </w:rPr>
              <w:t>4</w:t>
            </w:r>
          </w:p>
        </w:tc>
        <w:tc>
          <w:tcPr>
            <w:tcW w:type="dxa" w:w="2197"/>
            <w:vAlign w:val="center"/>
          </w:tcPr>
          <w:p>
            <w:pPr>
              <w:spacing w:line="276" w:lineRule="auto" w:after="40"/>
            </w:pPr>
            <w:r>
              <w:rPr>
                <w:sz w:val="21"/>
              </w:rPr>
              <w:t>3</w:t>
            </w:r>
          </w:p>
        </w:tc>
        <w:tc>
          <w:tcPr>
            <w:tcW w:type="dxa" w:w="2197"/>
            <w:vAlign w:val="center"/>
          </w:tcPr>
          <w:p>
            <w:pPr>
              <w:spacing w:line="276" w:lineRule="auto" w:after="40"/>
            </w:pPr>
            <w:r>
              <w:rPr>
                <w:sz w:val="21"/>
              </w:rPr>
              <w:t>spur</w:t>
            </w:r>
          </w:p>
        </w:tc>
        <w:tc>
          <w:tcPr>
            <w:tcW w:type="dxa" w:w="2197"/>
            <w:vAlign w:val="center"/>
          </w:tcPr>
          <w:p>
            <w:pPr>
              <w:spacing w:line="276" w:lineRule="auto" w:after="40"/>
            </w:pPr>
            <w:r>
              <w:rPr>
                <w:sz w:val="21"/>
              </w:rPr>
              <w:t>毛刺</w:t>
            </w:r>
          </w:p>
        </w:tc>
      </w:tr>
      <w:tr>
        <w:trPr>
          <w:cantSplit/>
        </w:trPr>
        <w:tc>
          <w:tcPr>
            <w:tcW w:type="dxa" w:w="2197"/>
            <w:vAlign w:val="center"/>
          </w:tcPr>
          <w:p>
            <w:pPr>
              <w:spacing w:line="276" w:lineRule="auto" w:after="40"/>
            </w:pPr>
            <w:r>
              <w:rPr>
                <w:sz w:val="21"/>
              </w:rPr>
              <w:t>5</w:t>
            </w:r>
          </w:p>
        </w:tc>
        <w:tc>
          <w:tcPr>
            <w:tcW w:type="dxa" w:w="2197"/>
            <w:vAlign w:val="center"/>
          </w:tcPr>
          <w:p>
            <w:pPr>
              <w:spacing w:line="276" w:lineRule="auto" w:after="40"/>
            </w:pPr>
            <w:r>
              <w:rPr>
                <w:sz w:val="21"/>
              </w:rPr>
              <w:t>4</w:t>
            </w:r>
          </w:p>
        </w:tc>
        <w:tc>
          <w:tcPr>
            <w:tcW w:type="dxa" w:w="2197"/>
            <w:vAlign w:val="center"/>
          </w:tcPr>
          <w:p>
            <w:pPr>
              <w:spacing w:line="276" w:lineRule="auto" w:after="40"/>
            </w:pPr>
            <w:r>
              <w:rPr>
                <w:sz w:val="21"/>
              </w:rPr>
              <w:t>copper</w:t>
            </w:r>
          </w:p>
        </w:tc>
        <w:tc>
          <w:tcPr>
            <w:tcW w:type="dxa" w:w="2197"/>
            <w:vAlign w:val="center"/>
          </w:tcPr>
          <w:p>
            <w:pPr>
              <w:spacing w:line="276" w:lineRule="auto" w:after="40"/>
            </w:pPr>
            <w:r>
              <w:rPr>
                <w:sz w:val="21"/>
              </w:rPr>
              <w:t>杂铜</w:t>
            </w:r>
          </w:p>
        </w:tc>
      </w:tr>
      <w:tr>
        <w:trPr>
          <w:cantSplit/>
        </w:trPr>
        <w:tc>
          <w:tcPr>
            <w:tcW w:type="dxa" w:w="2197"/>
            <w:vAlign w:val="center"/>
          </w:tcPr>
          <w:p>
            <w:pPr>
              <w:spacing w:line="276" w:lineRule="auto" w:after="40"/>
            </w:pPr>
            <w:r>
              <w:rPr>
                <w:sz w:val="21"/>
              </w:rPr>
              <w:t>6</w:t>
            </w:r>
          </w:p>
        </w:tc>
        <w:tc>
          <w:tcPr>
            <w:tcW w:type="dxa" w:w="2197"/>
            <w:vAlign w:val="center"/>
          </w:tcPr>
          <w:p>
            <w:pPr>
              <w:spacing w:line="276" w:lineRule="auto" w:after="40"/>
            </w:pPr>
            <w:r>
              <w:rPr>
                <w:sz w:val="21"/>
              </w:rPr>
              <w:t>5</w:t>
            </w:r>
          </w:p>
        </w:tc>
        <w:tc>
          <w:tcPr>
            <w:tcW w:type="dxa" w:w="2197"/>
            <w:vAlign w:val="center"/>
          </w:tcPr>
          <w:p>
            <w:pPr>
              <w:spacing w:line="276" w:lineRule="auto" w:after="40"/>
            </w:pPr>
            <w:r>
              <w:rPr>
                <w:sz w:val="21"/>
              </w:rPr>
              <w:t>pin-hole</w:t>
            </w:r>
          </w:p>
        </w:tc>
        <w:tc>
          <w:tcPr>
            <w:tcW w:type="dxa" w:w="2197"/>
            <w:vAlign w:val="center"/>
          </w:tcPr>
          <w:p>
            <w:pPr>
              <w:spacing w:line="276" w:lineRule="auto" w:after="40"/>
            </w:pPr>
            <w:r>
              <w:rPr>
                <w:sz w:val="21"/>
              </w:rPr>
              <w:t>针孔</w:t>
            </w:r>
          </w:p>
        </w:tc>
      </w:tr>
    </w:tbl>
    <w:p>
      <w:pPr>
        <w:widowControl/>
      </w:pPr>
      <w:r>
        <w:rPr>
          <w:rFonts w:ascii="Noto Serif CJK SC" w:hAnsi="Noto Serif CJK SC" w:eastAsia="Noto Serif CJK SC" w:cs="Noto Serif CJK SC"/>
        </w:rPr>
      </w:r>
    </w:p>
    <w:p>
      <w:pPr>
        <w:widowControl/>
        <w:ind w:firstLine="420"/>
      </w:pPr>
      <w:r>
        <w:rPr>
          <w:rFonts w:ascii="Noto Serif CJK SC" w:hAnsi="Noto Serif CJK SC" w:eastAsia="Noto Serif CJK SC" w:cs="Noto Serif CJK SC"/>
        </w:rPr>
        <w:t>针孔（pin-hole）与其他数据集中的漏孔（missing_hole）不是同一类别名称，不能沿用别的数据集标签文件。训练前应生成类别计数、每图目标数和框宽高分布，并抽查每类标注可视化图。对于越界框、零面积框和缺失配对文件，应记录处理规则和数量。</w:t>
      </w:r>
    </w:p>
    <w:p>
      <w:pPr>
        <w:pStyle w:val="21"/>
      </w:pPr>
      <w:r>
        <w:rPr>
          <w:rFonts w:ascii="Noto Sans CJK SC" w:hAnsi="Noto Sans CJK SC" w:eastAsia="Noto Sans CJK SC" w:cs="Noto Sans CJK SC"/>
        </w:rPr>
        <w:t>3.2 数据转换和划分</w:t>
      </w:r>
    </w:p>
    <w:p>
      <w:pPr>
        <w:widowControl/>
        <w:ind w:firstLine="420"/>
      </w:pPr>
      <w:r>
        <w:rPr>
          <w:rFonts w:ascii="Noto Serif CJK SC" w:hAnsi="Noto Serif CJK SC" w:eastAsia="Noto Serif CJK SC" w:cs="Noto Serif CJK SC"/>
        </w:rPr>
        <w:t>原始标注可写作 x₁、y₁、x₂、y₂、type。设图像宽高为 W、H，则 YOLO 类别编号为 type−1，坐标按下式归一化。转换程序应读取实际图像尺寸而非盲目假设；官方清单中的历史命名与文件名后缀可能不同，需核实待检图与模板图的对应关系。</w:t>
      </w:r>
    </w:p>
    <w:p>
      <w:pPr>
        <w:keepLines/>
        <w:widowControl/>
        <w:jc w:val="center"/>
      </w:pPr>
      <w:r>
        <w:rPr>
          <w:rFonts w:ascii="Noto Serif CJK SC" w:hAnsi="Noto Serif CJK SC" w:eastAsia="Noto Serif CJK SC" w:cs="Noto Serif CJK SC"/>
        </w:rPr>
      </w:r>
      <m:oMath>
        <m:r>
          <m:rPr>
            <m:sty m:val="i"/>
          </m:rPr>
          <m:t>c</m:t>
        </m:r>
        <m:r>
          <m:rPr>
            <m:sty m:val="p"/>
          </m:rPr>
          <m:t>=</m:t>
        </m:r>
        <m:r>
          <m:rPr>
            <m:sty m:val="i"/>
          </m:rPr>
          <m:t>t</m:t>
        </m:r>
        <m:r>
          <m:rPr>
            <m:sty m:val="i"/>
          </m:rPr>
          <m:t>y</m:t>
        </m:r>
        <m:r>
          <m:rPr>
            <m:sty m:val="i"/>
          </m:rPr>
          <m:t>p</m:t>
        </m:r>
        <m:r>
          <m:rPr>
            <m:sty m:val="i"/>
          </m:rPr>
          <m:t>e</m:t>
        </m:r>
        <m:r>
          <m:rPr>
            <m:sty m:val="p"/>
          </m:rPr>
          <m:t>−</m:t>
        </m:r>
        <m:r>
          <m:rPr>
            <m:sty m:val="p"/>
          </m:rPr>
          <m:t>1</m:t>
        </m:r>
        <m:r>
          <m:rPr>
            <m:sty m:val="p"/>
          </m:rPr>
          <m:t>,</m:t>
        </m:r>
        <m:r>
          <m:t/>
        </m:r>
        <m:r>
          <m:rPr>
            <m:sty m:val="i"/>
          </m:rPr>
          <m:t>x</m:t>
        </m:r>
        <m:r>
          <m:rPr>
            <m:sty m:val="p"/>
          </m:rPr>
          <m:t>=</m:t>
        </m:r>
        <m:f>
          <m:num>
            <m:sSub>
              <m:e>
                <m:r>
                  <m:rPr>
                    <m:sty m:val="i"/>
                  </m:rPr>
                  <m:t>x</m:t>
                </m:r>
              </m:e>
              <m:sub>
                <m:r>
                  <m:rPr>
                    <m:sty m:val="p"/>
                  </m:rPr>
                  <m:t>1</m:t>
                </m:r>
              </m:sub>
            </m:sSub>
            <m:r>
              <m:rPr>
                <m:sty m:val="p"/>
              </m:rPr>
              <m:t>+</m:t>
            </m:r>
            <m:sSub>
              <m:e>
                <m:r>
                  <m:rPr>
                    <m:sty m:val="i"/>
                  </m:rPr>
                  <m:t>x</m:t>
                </m:r>
              </m:e>
              <m:sub>
                <m:r>
                  <m:rPr>
                    <m:sty m:val="p"/>
                  </m:rPr>
                  <m:t>2</m:t>
                </m:r>
              </m:sub>
            </m:sSub>
          </m:num>
          <m:den>
            <m:r>
              <m:rPr>
                <m:sty m:val="p"/>
              </m:rPr>
              <m:t>2</m:t>
            </m:r>
            <m:r>
              <m:rPr>
                <m:sty m:val="i"/>
              </m:rPr>
              <m:t>W</m:t>
            </m:r>
          </m:den>
        </m:f>
        <m:r>
          <m:rPr>
            <m:sty m:val="p"/>
          </m:rPr>
          <m:t>,</m:t>
        </m:r>
        <m:r>
          <m:t/>
        </m:r>
        <m:r>
          <m:rPr>
            <m:sty m:val="i"/>
          </m:rPr>
          <m:t>y</m:t>
        </m:r>
        <m:r>
          <m:rPr>
            <m:sty m:val="p"/>
          </m:rPr>
          <m:t>=</m:t>
        </m:r>
        <m:f>
          <m:num>
            <m:sSub>
              <m:e>
                <m:r>
                  <m:rPr>
                    <m:sty m:val="i"/>
                  </m:rPr>
                  <m:t>y</m:t>
                </m:r>
              </m:e>
              <m:sub>
                <m:r>
                  <m:rPr>
                    <m:sty m:val="p"/>
                  </m:rPr>
                  <m:t>1</m:t>
                </m:r>
              </m:sub>
            </m:sSub>
            <m:r>
              <m:rPr>
                <m:sty m:val="p"/>
              </m:rPr>
              <m:t>+</m:t>
            </m:r>
            <m:sSub>
              <m:e>
                <m:r>
                  <m:rPr>
                    <m:sty m:val="i"/>
                  </m:rPr>
                  <m:t>y</m:t>
                </m:r>
              </m:e>
              <m:sub>
                <m:r>
                  <m:rPr>
                    <m:sty m:val="p"/>
                  </m:rPr>
                  <m:t>2</m:t>
                </m:r>
              </m:sub>
            </m:sSub>
          </m:num>
          <m:den>
            <m:r>
              <m:rPr>
                <m:sty m:val="p"/>
              </m:rPr>
              <m:t>2</m:t>
            </m:r>
            <m:r>
              <m:rPr>
                <m:sty m:val="i"/>
              </m:rPr>
              <m:t>H</m:t>
            </m:r>
          </m:den>
        </m:f>
      </m:oMath>
      <w:r>
        <w:rPr>
          <w:rFonts w:ascii="Noto Serif CJK SC" w:hAnsi="Noto Serif CJK SC" w:eastAsia="Noto Serif CJK SC" w:cs="Noto Serif CJK SC"/>
        </w:rPr>
        <w:t xml:space="preserve">    （3-1）</w:t>
      </w:r>
    </w:p>
    <w:p>
      <w:pPr>
        <w:keepLines/>
        <w:widowControl/>
        <w:jc w:val="center"/>
      </w:pPr>
      <w:r>
        <w:rPr>
          <w:rFonts w:ascii="Noto Serif CJK SC" w:hAnsi="Noto Serif CJK SC" w:eastAsia="Noto Serif CJK SC" w:cs="Noto Serif CJK SC"/>
        </w:rPr>
      </w:r>
      <m:oMath>
        <m:r>
          <m:rPr>
            <m:sty m:val="i"/>
          </m:rPr>
          <m:t>w</m:t>
        </m:r>
        <m:r>
          <m:rPr>
            <m:sty m:val="p"/>
          </m:rPr>
          <m:t>=</m:t>
        </m:r>
        <m:f>
          <m:num>
            <m:sSub>
              <m:e>
                <m:r>
                  <m:rPr>
                    <m:sty m:val="i"/>
                  </m:rPr>
                  <m:t>x</m:t>
                </m:r>
              </m:e>
              <m:sub>
                <m:r>
                  <m:rPr>
                    <m:sty m:val="p"/>
                  </m:rPr>
                  <m:t>2</m:t>
                </m:r>
              </m:sub>
            </m:sSub>
            <m:r>
              <m:rPr>
                <m:sty m:val="p"/>
              </m:rPr>
              <m:t>−</m:t>
            </m:r>
            <m:sSub>
              <m:e>
                <m:r>
                  <m:rPr>
                    <m:sty m:val="i"/>
                  </m:rPr>
                  <m:t>x</m:t>
                </m:r>
              </m:e>
              <m:sub>
                <m:r>
                  <m:rPr>
                    <m:sty m:val="p"/>
                  </m:rPr>
                  <m:t>1</m:t>
                </m:r>
              </m:sub>
            </m:sSub>
          </m:num>
          <m:den>
            <m:r>
              <m:rPr>
                <m:sty m:val="i"/>
              </m:rPr>
              <m:t>W</m:t>
            </m:r>
          </m:den>
        </m:f>
        <m:r>
          <m:rPr>
            <m:sty m:val="p"/>
          </m:rPr>
          <m:t>,</m:t>
        </m:r>
        <m:r>
          <m:t/>
        </m:r>
        <m:r>
          <m:rPr>
            <m:sty m:val="i"/>
          </m:rPr>
          <m:t>h</m:t>
        </m:r>
        <m:r>
          <m:rPr>
            <m:sty m:val="p"/>
          </m:rPr>
          <m:t>=</m:t>
        </m:r>
        <m:f>
          <m:num>
            <m:sSub>
              <m:e>
                <m:r>
                  <m:rPr>
                    <m:sty m:val="i"/>
                  </m:rPr>
                  <m:t>y</m:t>
                </m:r>
              </m:e>
              <m:sub>
                <m:r>
                  <m:rPr>
                    <m:sty m:val="p"/>
                  </m:rPr>
                  <m:t>2</m:t>
                </m:r>
              </m:sub>
            </m:sSub>
            <m:r>
              <m:rPr>
                <m:sty m:val="p"/>
              </m:rPr>
              <m:t>−</m:t>
            </m:r>
            <m:sSub>
              <m:e>
                <m:r>
                  <m:rPr>
                    <m:sty m:val="i"/>
                  </m:rPr>
                  <m:t>y</m:t>
                </m:r>
              </m:e>
              <m:sub>
                <m:r>
                  <m:rPr>
                    <m:sty m:val="p"/>
                  </m:rPr>
                  <m:t>1</m:t>
                </m:r>
              </m:sub>
            </m:sSub>
          </m:num>
          <m:den>
            <m:r>
              <m:rPr>
                <m:sty m:val="i"/>
              </m:rPr>
              <m:t>H</m:t>
            </m:r>
          </m:den>
        </m:f>
      </m:oMath>
      <w:r>
        <w:rPr>
          <w:rFonts w:ascii="Noto Serif CJK SC" w:hAnsi="Noto Serif CJK SC" w:eastAsia="Noto Serif CJK SC" w:cs="Noto Serif CJK SC"/>
        </w:rPr>
        <w:t xml:space="preserve">    （3-2）</w:t>
      </w:r>
    </w:p>
    <w:p>
      <w:pPr>
        <w:widowControl/>
        <w:ind w:firstLine="420"/>
      </w:pPr>
      <w:r>
        <w:rPr>
          <w:rFonts w:ascii="Noto Serif CJK SC" w:hAnsi="Noto Serif CJK SC" w:eastAsia="Noto Serif CJK SC" w:cs="Noto Serif CJK SC"/>
        </w:rPr>
        <w:t>官方 trainval.txt 共 1 000 组，test.txt 共 500 组[1]。拟从前者按固定随机种子划分约 800 组训练和 200 组验证，保留官方 500 组仅用于最终测试。划分应记录样本清单、哈希值、类别频数和随机种子；同一对图像及其所有增强版本只能属于一个集合。先划分再增强，验证与测试集不做随机增强。</w:t>
      </w:r>
    </w:p>
    <w:p>
      <w:pPr>
        <w:keepNext/>
        <w:widowControl/>
        <w:jc w:val="center"/>
      </w:pPr>
      <w:r>
        <w:rPr>
          <w:rFonts w:ascii="Noto Serif CJK SC" w:hAnsi="Noto Serif CJK SC" w:eastAsia="Noto Serif CJK SC" w:cs="Noto Serif CJK SC"/>
          <w:sz w:val="21"/>
        </w:rPr>
        <w:t>表3-2 数据划分与用途</w:t>
      </w:r>
    </w:p>
    <w:tbl>
      <w:tblPr>
        <w:tblStyle w:val="aff1"/>
        <w:tblW w:type="auto" w:w="0"/>
        <w:jc w:val="center"/>
        <w:tblLayout w:type="autofit"/>
        <w:tblLook w:firstColumn="1" w:firstRow="1" w:lastColumn="0" w:lastRow="0" w:noHBand="0" w:noVBand="1" w:val="04A0"/>
      </w:tblPr>
      <w:tblGrid>
        <w:gridCol w:w="2197"/>
        <w:gridCol w:w="2197"/>
        <w:gridCol w:w="2197"/>
        <w:gridCol w:w="2197"/>
      </w:tblGrid>
      <w:tr>
        <w:trPr>
          <w:cantSplit/>
          <w:tblHeader w:val="true"/>
        </w:trPr>
        <w:tc>
          <w:tcPr>
            <w:tcW w:type="dxa" w:w="2197"/>
            <w:vAlign w:val="center"/>
          </w:tcPr>
          <w:p>
            <w:r>
              <w:rPr>
                <w:b/>
              </w:rPr>
              <w:t>集合</w:t>
            </w:r>
          </w:p>
        </w:tc>
        <w:tc>
          <w:tcPr>
            <w:tcW w:type="dxa" w:w="2197"/>
            <w:vAlign w:val="center"/>
          </w:tcPr>
          <w:p>
            <w:r>
              <w:rPr>
                <w:b/>
              </w:rPr>
              <w:t>来源与计划数量</w:t>
            </w:r>
          </w:p>
        </w:tc>
        <w:tc>
          <w:tcPr>
            <w:tcW w:type="dxa" w:w="2197"/>
            <w:vAlign w:val="center"/>
          </w:tcPr>
          <w:p>
            <w:r>
              <w:rPr>
                <w:b/>
              </w:rPr>
              <w:t>用途</w:t>
            </w:r>
          </w:p>
        </w:tc>
        <w:tc>
          <w:tcPr>
            <w:tcW w:type="dxa" w:w="2197"/>
            <w:vAlign w:val="center"/>
          </w:tcPr>
          <w:p>
            <w:r>
              <w:rPr>
                <w:b/>
              </w:rPr>
              <w:t>约束</w:t>
            </w:r>
          </w:p>
        </w:tc>
      </w:tr>
      <w:tr>
        <w:trPr>
          <w:cantSplit/>
        </w:trPr>
        <w:tc>
          <w:tcPr>
            <w:tcW w:type="dxa" w:w="2197"/>
            <w:vAlign w:val="center"/>
          </w:tcPr>
          <w:p>
            <w:pPr>
              <w:spacing w:line="276" w:lineRule="auto" w:after="40"/>
            </w:pPr>
            <w:r>
              <w:rPr>
                <w:sz w:val="21"/>
              </w:rPr>
              <w:t>训练集</w:t>
            </w:r>
          </w:p>
        </w:tc>
        <w:tc>
          <w:tcPr>
            <w:tcW w:type="dxa" w:w="2197"/>
            <w:vAlign w:val="center"/>
          </w:tcPr>
          <w:p>
            <w:pPr>
              <w:spacing w:line="276" w:lineRule="auto" w:after="40"/>
            </w:pPr>
            <w:r>
              <w:rPr>
                <w:sz w:val="21"/>
              </w:rPr>
              <w:t>官方 trainval 内约 800 组</w:t>
            </w:r>
          </w:p>
        </w:tc>
        <w:tc>
          <w:tcPr>
            <w:tcW w:type="dxa" w:w="2197"/>
            <w:vAlign w:val="center"/>
          </w:tcPr>
          <w:p>
            <w:pPr>
              <w:spacing w:line="276" w:lineRule="auto" w:after="40"/>
            </w:pPr>
            <w:r>
              <w:rPr>
                <w:sz w:val="21"/>
              </w:rPr>
              <w:t>参数学习、仅此处增强</w:t>
            </w:r>
          </w:p>
        </w:tc>
        <w:tc>
          <w:tcPr>
            <w:tcW w:type="dxa" w:w="2197"/>
            <w:vAlign w:val="center"/>
          </w:tcPr>
          <w:p>
            <w:pPr>
              <w:spacing w:line="276" w:lineRule="auto" w:after="40"/>
            </w:pPr>
            <w:r>
              <w:rPr>
                <w:sz w:val="21"/>
              </w:rPr>
              <w:t>图像对同组</w:t>
            </w:r>
          </w:p>
        </w:tc>
      </w:tr>
      <w:tr>
        <w:trPr>
          <w:cantSplit/>
        </w:trPr>
        <w:tc>
          <w:tcPr>
            <w:tcW w:type="dxa" w:w="2197"/>
            <w:vAlign w:val="center"/>
          </w:tcPr>
          <w:p>
            <w:pPr>
              <w:spacing w:line="276" w:lineRule="auto" w:after="40"/>
            </w:pPr>
            <w:r>
              <w:rPr>
                <w:sz w:val="21"/>
              </w:rPr>
              <w:t>验证集</w:t>
            </w:r>
          </w:p>
        </w:tc>
        <w:tc>
          <w:tcPr>
            <w:tcW w:type="dxa" w:w="2197"/>
            <w:vAlign w:val="center"/>
          </w:tcPr>
          <w:p>
            <w:pPr>
              <w:spacing w:line="276" w:lineRule="auto" w:after="40"/>
            </w:pPr>
            <w:r>
              <w:rPr>
                <w:sz w:val="21"/>
              </w:rPr>
              <w:t>官方 trainval 内约 200 组</w:t>
            </w:r>
          </w:p>
        </w:tc>
        <w:tc>
          <w:tcPr>
            <w:tcW w:type="dxa" w:w="2197"/>
            <w:vAlign w:val="center"/>
          </w:tcPr>
          <w:p>
            <w:pPr>
              <w:spacing w:line="276" w:lineRule="auto" w:after="40"/>
            </w:pPr>
            <w:r>
              <w:rPr>
                <w:sz w:val="21"/>
              </w:rPr>
              <w:t>选模型、选阈值与早停</w:t>
            </w:r>
          </w:p>
        </w:tc>
        <w:tc>
          <w:tcPr>
            <w:tcW w:type="dxa" w:w="2197"/>
            <w:vAlign w:val="center"/>
          </w:tcPr>
          <w:p>
            <w:pPr>
              <w:spacing w:line="276" w:lineRule="auto" w:after="40"/>
            </w:pPr>
            <w:r>
              <w:rPr>
                <w:sz w:val="21"/>
              </w:rPr>
              <w:t>不参与梯度更新</w:t>
            </w:r>
          </w:p>
        </w:tc>
      </w:tr>
      <w:tr>
        <w:trPr>
          <w:cantSplit/>
        </w:trPr>
        <w:tc>
          <w:tcPr>
            <w:tcW w:type="dxa" w:w="2197"/>
            <w:vAlign w:val="center"/>
          </w:tcPr>
          <w:p>
            <w:pPr>
              <w:spacing w:line="276" w:lineRule="auto" w:after="40"/>
            </w:pPr>
            <w:r>
              <w:rPr>
                <w:sz w:val="21"/>
              </w:rPr>
              <w:t>测试集</w:t>
            </w:r>
          </w:p>
        </w:tc>
        <w:tc>
          <w:tcPr>
            <w:tcW w:type="dxa" w:w="2197"/>
            <w:vAlign w:val="center"/>
          </w:tcPr>
          <w:p>
            <w:pPr>
              <w:spacing w:line="276" w:lineRule="auto" w:after="40"/>
            </w:pPr>
            <w:r>
              <w:rPr>
                <w:sz w:val="21"/>
              </w:rPr>
              <w:t>官方 test 全部 500 组</w:t>
            </w:r>
          </w:p>
        </w:tc>
        <w:tc>
          <w:tcPr>
            <w:tcW w:type="dxa" w:w="2197"/>
            <w:vAlign w:val="center"/>
          </w:tcPr>
          <w:p>
            <w:pPr>
              <w:spacing w:line="276" w:lineRule="auto" w:after="40"/>
            </w:pPr>
            <w:r>
              <w:rPr>
                <w:sz w:val="21"/>
              </w:rPr>
              <w:t>最终一次性评估</w:t>
            </w:r>
          </w:p>
        </w:tc>
        <w:tc>
          <w:tcPr>
            <w:tcW w:type="dxa" w:w="2197"/>
            <w:vAlign w:val="center"/>
          </w:tcPr>
          <w:p>
            <w:pPr>
              <w:spacing w:line="276" w:lineRule="auto" w:after="40"/>
            </w:pPr>
            <w:r>
              <w:rPr>
                <w:sz w:val="21"/>
              </w:rPr>
              <w:t>不得反复调参</w:t>
            </w:r>
          </w:p>
        </w:tc>
      </w:tr>
    </w:tbl>
    <w:p>
      <w:pPr>
        <w:widowControl/>
      </w:pPr>
      <w:r>
        <w:rPr>
          <w:rFonts w:ascii="Noto Serif CJK SC" w:hAnsi="Noto Serif CJK SC" w:eastAsia="Noto Serif CJK SC" w:cs="Noto Serif CJK SC"/>
        </w:rPr>
      </w:r>
    </w:p>
    <w:p>
      <w:pPr>
        <w:widowControl/>
        <w:ind w:firstLine="420"/>
      </w:pPr>
      <w:r>
        <w:rPr>
          <w:rFonts w:ascii="Noto Serif CJK SC" w:hAnsi="Noto Serif CJK SC" w:eastAsia="Noto Serif CJK SC" w:cs="Noto Serif CJK SC"/>
        </w:rPr>
        <w:t>如需检查跨板型泛化，应另建具有明确板型身份的分组测试协议。官方清单中的文件名前缀不能在未经核实的情况下等同于物理板型；额外协议的结果应与官方测试集结果分开展示。</w:t>
      </w:r>
    </w:p>
    <w:p>
      <w:pPr>
        <w:pStyle w:val="21"/>
      </w:pPr>
      <w:r>
        <w:rPr>
          <w:rFonts w:ascii="Noto Sans CJK SC" w:hAnsi="Noto Sans CJK SC" w:eastAsia="Noto Sans CJK SC" w:cs="Noto Sans CJK SC"/>
        </w:rPr>
        <w:t>3.3 基线训练方案</w:t>
      </w:r>
    </w:p>
    <w:p>
      <w:pPr>
        <w:widowControl/>
        <w:ind w:firstLine="420"/>
      </w:pPr>
      <w:r>
        <w:rPr>
          <w:rFonts w:ascii="Noto Serif CJK SC" w:hAnsi="Noto Serif CJK SC" w:eastAsia="Noto Serif CJK SC" w:cs="Noto Serif CJK SC"/>
        </w:rPr>
        <w:t>基线采用 YOLO11n，输入尺寸 640×640，模型与训练框架版本固定为实验时记录的版本[10]。建议以 200 epoch 为初始预算，在相同预训练权重、有效批量、优化器、学习率策略与数据增强下训练四组模型。根据训练集的类别和框尺寸分布再决定是否调整增强强度；避免强裁剪或变形导致针孔、细短路等关键纹理消失。</w:t>
      </w:r>
    </w:p>
    <w:p>
      <w:pPr>
        <w:widowControl/>
        <w:ind w:firstLine="420"/>
      </w:pPr>
      <w:r>
        <w:rPr>
          <w:rFonts w:ascii="Noto Serif CJK SC" w:hAnsi="Noto Serif CJK SC" w:eastAsia="Noto Serif CJK SC" w:cs="Noto Serif CJK SC"/>
        </w:rPr>
        <w:t>每组至少运行三个随机种子，并报告均值与标准差。为检查分辨率因素，可另设 YOLO11n 输入 960×960 的独立对照；单纯把原 640 图像插值放大不能产生新的成像细节，应明确说明其目的是研究采样网格变化。所有模型在同一验证集上选最佳轮次和推理阈值，并对测试集保持一致协议。</w:t>
      </w:r>
    </w:p>
    <w:p>
      <w:pPr>
        <w:pStyle w:val="1"/>
        <w:pageBreakBefore/>
        <w:jc w:val="center"/>
      </w:pPr>
      <w:r>
        <w:rPr>
          <w:rFonts w:ascii="Noto Sans CJK SC" w:hAnsi="Noto Sans CJK SC" w:eastAsia="Noto Sans CJK SC" w:cs="Noto Sans CJK SC"/>
        </w:rPr>
        <w:t>第4章 改进 YOLO11 的方法设计</w:t>
      </w:r>
    </w:p>
    <w:p>
      <w:pPr>
        <w:pStyle w:val="21"/>
      </w:pPr>
      <w:r>
        <w:rPr>
          <w:rFonts w:ascii="Noto Sans CJK SC" w:hAnsi="Noto Sans CJK SC" w:eastAsia="Noto Sans CJK SC" w:cs="Noto Sans CJK SC"/>
        </w:rPr>
        <w:t>4.1 P2 小目标检测分支</w:t>
      </w:r>
    </w:p>
    <w:p>
      <w:pPr>
        <w:widowControl/>
        <w:ind w:firstLine="420"/>
      </w:pPr>
      <w:r>
        <w:rPr>
          <w:rFonts w:ascii="Noto Serif CJK SC" w:hAnsi="Noto Serif CJK SC" w:eastAsia="Noto Serif CJK SC" w:cs="Noto Serif CJK SC"/>
        </w:rPr>
        <w:t>标准 YOLO11n 的 P3、P4、P5 检测尺度对应步长 8、16、32[10]。本研究计划在主干网络中保留步长为 4 的浅层 P2 特征，并把颈部高层上采样特征与之融合，形成额外的 P2 检测输入。这样可在更细的网格上预测小框，但输出位置数增多，也可能带来更多背景候选和误检。</w:t>
      </w:r>
    </w:p>
    <w:p>
      <w:pPr>
        <w:widowControl/>
        <w:ind w:firstLine="420"/>
      </w:pPr>
      <w:r>
        <w:rPr>
          <w:rFonts w:ascii="Noto Serif CJK SC" w:hAnsi="Noto Serif CJK SC" w:eastAsia="Noto Serif CJK SC" w:cs="Noto Serif CJK SC"/>
        </w:rPr>
        <w:t>P2 拓扑参考 Ultralytics 发布的 YOLOv8-P2 配置[11]，实现时应适配 YOLO11 的 C3k2 等模块和层索引，不能直接将 YOLOv8 配置视为 YOLO11 官方 P2 模型。具体实现需核查四尺度 Detect 的输入顺序、模型前向张量形状、预训练权重加载比例和新增层的初始化；通过一张 640×640 测试图确认 P2/4、P3/8、P4/16、P5/32 的尺寸分别为 160、80、40、20。</w:t>
      </w:r>
    </w:p>
    <w:p>
      <w:pPr>
        <w:keepNext/>
        <w:widowControl/>
        <w:jc w:val="center"/>
      </w:pPr>
      <w:r>
        <w:rPr>
          <w:rFonts w:ascii="Noto Serif CJK SC" w:hAnsi="Noto Serif CJK SC" w:eastAsia="Noto Serif CJK SC" w:cs="Noto Serif CJK SC"/>
          <w:sz w:val="21"/>
        </w:rPr>
        <w:t>图4-1 P2 扩展后的检测尺度示意（可编辑表格）</w:t>
      </w:r>
    </w:p>
    <w:tbl>
      <w:tblPr>
        <w:tblStyle w:val="aff1"/>
        <w:tblW w:type="auto" w:w="0"/>
        <w:jc w:val="center"/>
        <w:tblLayout w:type="autofit"/>
        <w:tblLook w:firstColumn="1" w:firstRow="1" w:lastColumn="0" w:lastRow="0" w:noHBand="0" w:noVBand="1" w:val="04A0"/>
      </w:tblPr>
      <w:tblGrid>
        <w:gridCol w:w="1758"/>
        <w:gridCol w:w="1758"/>
        <w:gridCol w:w="1758"/>
        <w:gridCol w:w="1758"/>
        <w:gridCol w:w="1758"/>
      </w:tblGrid>
      <w:tr>
        <w:trPr>
          <w:cantSplit/>
          <w:tblHeader w:val="true"/>
        </w:trPr>
        <w:tc>
          <w:tcPr>
            <w:tcW w:type="dxa" w:w="1758"/>
            <w:vAlign w:val="center"/>
          </w:tcPr>
          <w:p>
            <w:r>
              <w:rPr>
                <w:b/>
              </w:rPr>
              <w:t>层级</w:t>
            </w:r>
          </w:p>
        </w:tc>
        <w:tc>
          <w:tcPr>
            <w:tcW w:type="dxa" w:w="1758"/>
            <w:vAlign w:val="center"/>
          </w:tcPr>
          <w:p>
            <w:r>
              <w:rPr>
                <w:b/>
              </w:rPr>
              <w:t>P2</w:t>
            </w:r>
          </w:p>
        </w:tc>
        <w:tc>
          <w:tcPr>
            <w:tcW w:type="dxa" w:w="1758"/>
            <w:vAlign w:val="center"/>
          </w:tcPr>
          <w:p>
            <w:r>
              <w:rPr>
                <w:b/>
              </w:rPr>
              <w:t>P3</w:t>
            </w:r>
          </w:p>
        </w:tc>
        <w:tc>
          <w:tcPr>
            <w:tcW w:type="dxa" w:w="1758"/>
            <w:vAlign w:val="center"/>
          </w:tcPr>
          <w:p>
            <w:r>
              <w:rPr>
                <w:b/>
              </w:rPr>
              <w:t>P4</w:t>
            </w:r>
          </w:p>
        </w:tc>
        <w:tc>
          <w:tcPr>
            <w:tcW w:type="dxa" w:w="1758"/>
            <w:vAlign w:val="center"/>
          </w:tcPr>
          <w:p>
            <w:r>
              <w:rPr>
                <w:b/>
              </w:rPr>
              <w:t>P5</w:t>
            </w:r>
          </w:p>
        </w:tc>
      </w:tr>
      <w:tr>
        <w:trPr>
          <w:cantSplit/>
        </w:trPr>
        <w:tc>
          <w:tcPr>
            <w:tcW w:type="dxa" w:w="1758"/>
            <w:vAlign w:val="center"/>
          </w:tcPr>
          <w:p>
            <w:pPr>
              <w:spacing w:line="276" w:lineRule="auto" w:after="40"/>
            </w:pPr>
            <w:r>
              <w:rPr>
                <w:sz w:val="21"/>
              </w:rPr>
              <w:t>步长</w:t>
            </w:r>
          </w:p>
        </w:tc>
        <w:tc>
          <w:tcPr>
            <w:tcW w:type="dxa" w:w="1758"/>
            <w:vAlign w:val="center"/>
          </w:tcPr>
          <w:p>
            <w:pPr>
              <w:spacing w:line="276" w:lineRule="auto" w:after="40"/>
            </w:pPr>
            <w:r>
              <w:rPr>
                <w:sz w:val="21"/>
              </w:rPr>
              <w:t>4</w:t>
            </w:r>
          </w:p>
        </w:tc>
        <w:tc>
          <w:tcPr>
            <w:tcW w:type="dxa" w:w="1758"/>
            <w:vAlign w:val="center"/>
          </w:tcPr>
          <w:p>
            <w:pPr>
              <w:spacing w:line="276" w:lineRule="auto" w:after="40"/>
            </w:pPr>
            <w:r>
              <w:rPr>
                <w:sz w:val="21"/>
              </w:rPr>
              <w:t>8</w:t>
            </w:r>
          </w:p>
        </w:tc>
        <w:tc>
          <w:tcPr>
            <w:tcW w:type="dxa" w:w="1758"/>
            <w:vAlign w:val="center"/>
          </w:tcPr>
          <w:p>
            <w:pPr>
              <w:spacing w:line="276" w:lineRule="auto" w:after="40"/>
            </w:pPr>
            <w:r>
              <w:rPr>
                <w:sz w:val="21"/>
              </w:rPr>
              <w:t>16</w:t>
            </w:r>
          </w:p>
        </w:tc>
        <w:tc>
          <w:tcPr>
            <w:tcW w:type="dxa" w:w="1758"/>
            <w:vAlign w:val="center"/>
          </w:tcPr>
          <w:p>
            <w:pPr>
              <w:spacing w:line="276" w:lineRule="auto" w:after="40"/>
            </w:pPr>
            <w:r>
              <w:rPr>
                <w:sz w:val="21"/>
              </w:rPr>
              <w:t>32</w:t>
            </w:r>
          </w:p>
        </w:tc>
      </w:tr>
      <w:tr>
        <w:trPr>
          <w:cantSplit/>
        </w:trPr>
        <w:tc>
          <w:tcPr>
            <w:tcW w:type="dxa" w:w="1758"/>
            <w:vAlign w:val="center"/>
          </w:tcPr>
          <w:p>
            <w:pPr>
              <w:spacing w:line="276" w:lineRule="auto" w:after="40"/>
            </w:pPr>
            <w:r>
              <w:rPr>
                <w:sz w:val="21"/>
              </w:rPr>
              <w:t>640 输入网格</w:t>
            </w:r>
          </w:p>
        </w:tc>
        <w:tc>
          <w:tcPr>
            <w:tcW w:type="dxa" w:w="1758"/>
            <w:vAlign w:val="center"/>
          </w:tcPr>
          <w:p>
            <w:pPr>
              <w:spacing w:line="276" w:lineRule="auto" w:after="40"/>
            </w:pPr>
            <w:r>
              <w:rPr>
                <w:sz w:val="21"/>
              </w:rPr>
              <w:t>160×160</w:t>
            </w:r>
          </w:p>
        </w:tc>
        <w:tc>
          <w:tcPr>
            <w:tcW w:type="dxa" w:w="1758"/>
            <w:vAlign w:val="center"/>
          </w:tcPr>
          <w:p>
            <w:pPr>
              <w:spacing w:line="276" w:lineRule="auto" w:after="40"/>
            </w:pPr>
            <w:r>
              <w:rPr>
                <w:sz w:val="21"/>
              </w:rPr>
              <w:t>80×80</w:t>
            </w:r>
          </w:p>
        </w:tc>
        <w:tc>
          <w:tcPr>
            <w:tcW w:type="dxa" w:w="1758"/>
            <w:vAlign w:val="center"/>
          </w:tcPr>
          <w:p>
            <w:pPr>
              <w:spacing w:line="276" w:lineRule="auto" w:after="40"/>
            </w:pPr>
            <w:r>
              <w:rPr>
                <w:sz w:val="21"/>
              </w:rPr>
              <w:t>40×40</w:t>
            </w:r>
          </w:p>
        </w:tc>
        <w:tc>
          <w:tcPr>
            <w:tcW w:type="dxa" w:w="1758"/>
            <w:vAlign w:val="center"/>
          </w:tcPr>
          <w:p>
            <w:pPr>
              <w:spacing w:line="276" w:lineRule="auto" w:after="40"/>
            </w:pPr>
            <w:r>
              <w:rPr>
                <w:sz w:val="21"/>
              </w:rPr>
              <w:t>20×20</w:t>
            </w:r>
          </w:p>
        </w:tc>
      </w:tr>
      <w:tr>
        <w:trPr>
          <w:cantSplit/>
        </w:trPr>
        <w:tc>
          <w:tcPr>
            <w:tcW w:type="dxa" w:w="1758"/>
            <w:vAlign w:val="center"/>
          </w:tcPr>
          <w:p>
            <w:pPr>
              <w:spacing w:line="276" w:lineRule="auto" w:after="40"/>
            </w:pPr>
            <w:r>
              <w:rPr>
                <w:sz w:val="21"/>
              </w:rPr>
              <w:t>职责</w:t>
            </w:r>
          </w:p>
        </w:tc>
        <w:tc>
          <w:tcPr>
            <w:tcW w:type="dxa" w:w="1758"/>
            <w:vAlign w:val="center"/>
          </w:tcPr>
          <w:p>
            <w:pPr>
              <w:spacing w:line="276" w:lineRule="auto" w:after="40"/>
            </w:pPr>
            <w:r>
              <w:rPr>
                <w:sz w:val="21"/>
              </w:rPr>
              <w:t>高分辨率细节</w:t>
            </w:r>
          </w:p>
        </w:tc>
        <w:tc>
          <w:tcPr>
            <w:tcW w:type="dxa" w:w="1758"/>
            <w:vAlign w:val="center"/>
          </w:tcPr>
          <w:p>
            <w:pPr>
              <w:spacing w:line="276" w:lineRule="auto" w:after="40"/>
            </w:pPr>
            <w:r>
              <w:rPr>
                <w:sz w:val="21"/>
              </w:rPr>
              <w:t>局部语义</w:t>
            </w:r>
          </w:p>
        </w:tc>
        <w:tc>
          <w:tcPr>
            <w:tcW w:type="dxa" w:w="1758"/>
            <w:vAlign w:val="center"/>
          </w:tcPr>
          <w:p>
            <w:pPr>
              <w:spacing w:line="276" w:lineRule="auto" w:after="40"/>
            </w:pPr>
            <w:r>
              <w:rPr>
                <w:sz w:val="21"/>
              </w:rPr>
              <w:t>中尺度语义</w:t>
            </w:r>
          </w:p>
        </w:tc>
        <w:tc>
          <w:tcPr>
            <w:tcW w:type="dxa" w:w="1758"/>
            <w:vAlign w:val="center"/>
          </w:tcPr>
          <w:p>
            <w:pPr>
              <w:spacing w:line="276" w:lineRule="auto" w:after="40"/>
            </w:pPr>
            <w:r>
              <w:rPr>
                <w:sz w:val="21"/>
              </w:rPr>
              <w:t>全局语义</w:t>
            </w:r>
          </w:p>
        </w:tc>
      </w:tr>
    </w:tbl>
    <w:p>
      <w:pPr>
        <w:widowControl/>
      </w:pPr>
      <w:r>
        <w:rPr>
          <w:rFonts w:ascii="Noto Serif CJK SC" w:hAnsi="Noto Serif CJK SC" w:eastAsia="Noto Serif CJK SC" w:cs="Noto Serif CJK SC"/>
        </w:rPr>
      </w:r>
    </w:p>
    <w:p>
      <w:pPr>
        <w:pStyle w:val="21"/>
      </w:pPr>
      <w:r>
        <w:rPr>
          <w:rFonts w:ascii="Noto Sans CJK SC" w:hAnsi="Noto Sans CJK SC" w:eastAsia="Noto Sans CJK SC" w:cs="Noto Sans CJK SC"/>
        </w:rPr>
        <w:t>4.2 高分辨率双向加权融合</w:t>
      </w:r>
    </w:p>
    <w:p>
      <w:pPr>
        <w:widowControl/>
        <w:ind w:firstLine="420"/>
      </w:pPr>
      <w:r>
        <w:rPr>
          <w:rFonts w:ascii="Noto Serif CJK SC" w:hAnsi="Noto Serif CJK SC" w:eastAsia="Noto Serif CJK SC" w:cs="Noto Serif CJK SC"/>
        </w:rPr>
        <w:t>在 P2 引入后，拟构建 P2—P5 的双向信息路径。首先自顶向下将高层语义上采样并与低层特征融合，再自底向上把细节和定位信息传递回高层。所有输入在融合前使用卷积、上采样或下采样对齐空间大小与通道数。参考 BiFPN[5]，对同一节点的不同输入赋予非负可学习权重，并用归一化抑制尺度差异：</w:t>
      </w:r>
    </w:p>
    <w:p>
      <w:pPr>
        <w:keepLines/>
        <w:widowControl/>
        <w:jc w:val="center"/>
      </w:pPr>
      <w:r>
        <w:rPr>
          <w:rFonts w:ascii="Noto Serif CJK SC" w:hAnsi="Noto Serif CJK SC" w:eastAsia="Noto Serif CJK SC" w:cs="Noto Serif CJK SC"/>
        </w:rPr>
      </w:r>
      <m:oMath>
        <m:sSub>
          <m:e>
            <m:r>
              <m:rPr>
                <m:sty m:val="i"/>
              </m:rPr>
              <m:t>F</m:t>
            </m:r>
          </m:e>
          <m:sub>
            <m:r>
              <m:rPr>
                <m:sty m:val="i"/>
              </m:rPr>
              <m:t>o</m:t>
            </m:r>
            <m:r>
              <m:rPr>
                <m:sty m:val="i"/>
              </m:rPr>
              <m:t>u</m:t>
            </m:r>
            <m:r>
              <m:rPr>
                <m:sty m:val="i"/>
              </m:rPr>
              <m:t>t</m:t>
            </m:r>
          </m:sub>
        </m:sSub>
        <m:r>
          <m:rPr>
            <m:sty m:val="p"/>
          </m:rPr>
          <m:t>=</m:t>
        </m:r>
        <m:nary>
          <m:naryPr>
            <m:chr m:val="∑"/>
            <m:limLoc m:val="undOvr"/>
          </m:naryPr>
          <m:sub>
            <m:r>
              <m:rPr>
                <m:sty m:val="i"/>
              </m:rPr>
              <m:t>i</m:t>
            </m:r>
            <m:r>
              <m:rPr>
                <m:sty m:val="p"/>
              </m:rPr>
              <m:t>=</m:t>
            </m:r>
            <m:r>
              <m:rPr>
                <m:sty m:val="p"/>
              </m:rPr>
              <m:t>1</m:t>
            </m:r>
          </m:sub>
          <m:sup>
            <m:r>
              <m:rPr>
                <m:sty m:val="i"/>
              </m:rPr>
              <m:t>n</m:t>
            </m:r>
          </m:sup>
          <m:e>
            <m:f>
              <m:num>
                <m:r>
                  <m:rPr>
                    <m:sty m:val="p"/>
                  </m:rPr>
                  <m:t>max</m:t>
                </m:r>
                <m:r>
                  <m:rPr>
                    <m:sty m:val="p"/>
                  </m:rPr>
                  <m:t>(</m:t>
                </m:r>
                <m:r>
                  <m:rPr>
                    <m:sty m:val="p"/>
                  </m:rPr>
                  <m:t>0</m:t>
                </m:r>
                <m:r>
                  <m:rPr>
                    <m:sty m:val="p"/>
                  </m:rPr>
                  <m:t>,</m:t>
                </m:r>
                <m:sSub>
                  <m:e>
                    <m:r>
                      <m:rPr>
                        <m:sty m:val="i"/>
                      </m:rPr>
                      <m:t>ω</m:t>
                    </m:r>
                  </m:e>
                  <m:sub>
                    <m:r>
                      <m:rPr>
                        <m:sty m:val="i"/>
                      </m:rPr>
                      <m:t>i</m:t>
                    </m:r>
                  </m:sub>
                </m:sSub>
                <m:r>
                  <m:rPr>
                    <m:sty m:val="p"/>
                  </m:rPr>
                  <m:t>)</m:t>
                </m:r>
              </m:num>
              <m:den>
                <m:r>
                  <m:rPr>
                    <m:sty m:val="i"/>
                  </m:rPr>
                  <m:t>ε</m:t>
                </m:r>
                <m:r>
                  <m:rPr>
                    <m:sty m:val="p"/>
                  </m:rPr>
                  <m:t>+</m:t>
                </m:r>
                <m:nary>
                  <m:naryPr>
                    <m:chr m:val="∑"/>
                    <m:limLoc m:val="undOvr"/>
                  </m:naryPr>
                  <m:sub>
                    <m:r>
                      <m:rPr>
                        <m:sty m:val="i"/>
                      </m:rPr>
                      <m:t>j</m:t>
                    </m:r>
                    <m:r>
                      <m:rPr>
                        <m:sty m:val="p"/>
                      </m:rPr>
                      <m:t>=</m:t>
                    </m:r>
                    <m:r>
                      <m:rPr>
                        <m:sty m:val="p"/>
                      </m:rPr>
                      <m:t>1</m:t>
                    </m:r>
                  </m:sub>
                  <m:sup>
                    <m:r>
                      <m:rPr>
                        <m:sty m:val="i"/>
                      </m:rPr>
                      <m:t>n</m:t>
                    </m:r>
                  </m:sup>
                  <m:e>
                    <m:r>
                      <m:rPr>
                        <m:sty m:val="p"/>
                      </m:rPr>
                      <m:t>max</m:t>
                    </m:r>
                    <m:r>
                      <m:rPr>
                        <m:sty m:val="p"/>
                      </m:rPr>
                      <m:t>(</m:t>
                    </m:r>
                    <m:r>
                      <m:rPr>
                        <m:sty m:val="p"/>
                      </m:rPr>
                      <m:t>0</m:t>
                    </m:r>
                    <m:r>
                      <m:rPr>
                        <m:sty m:val="p"/>
                      </m:rPr>
                      <m:t>,</m:t>
                    </m:r>
                    <m:sSub>
                      <m:e>
                        <m:r>
                          <m:rPr>
                            <m:sty m:val="i"/>
                          </m:rPr>
                          <m:t>ω</m:t>
                        </m:r>
                      </m:e>
                      <m:sub>
                        <m:r>
                          <m:rPr>
                            <m:sty m:val="i"/>
                          </m:rPr>
                          <m:t>j</m:t>
                        </m:r>
                      </m:sub>
                    </m:sSub>
                    <m:r>
                      <m:rPr>
                        <m:sty m:val="p"/>
                      </m:rPr>
                      <m:t>)</m:t>
                    </m:r>
                  </m:e>
                </m:nary>
              </m:den>
            </m:f>
            <m:sSub>
              <m:e>
                <m:r>
                  <m:rPr>
                    <m:sty m:val="i"/>
                  </m:rPr>
                  <m:t>F</m:t>
                </m:r>
              </m:e>
              <m:sub>
                <m:r>
                  <m:rPr>
                    <m:sty m:val="i"/>
                  </m:rPr>
                  <m:t>i</m:t>
                </m:r>
              </m:sub>
            </m:sSub>
          </m:e>
        </m:nary>
      </m:oMath>
      <w:r>
        <w:rPr>
          <w:rFonts w:ascii="Noto Serif CJK SC" w:hAnsi="Noto Serif CJK SC" w:eastAsia="Noto Serif CJK SC" w:cs="Noto Serif CJK SC"/>
        </w:rPr>
        <w:t xml:space="preserve">    （4-1）</w:t>
      </w:r>
    </w:p>
    <w:p>
      <w:pPr>
        <w:widowControl/>
        <w:ind w:firstLine="420"/>
      </w:pPr>
      <w:r>
        <w:rPr>
          <w:rFonts w:ascii="Noto Serif CJK SC" w:hAnsi="Noto Serif CJK SC" w:eastAsia="Noto Serif CJK SC" w:cs="Noto Serif CJK SC"/>
        </w:rPr>
        <w:t>式中 ωᵢ 为可训练参数，ε 为防止除零的正常数，Fᵢ 为对齐后的输入特征。融合节点之后使用卷积完成特征整合。实验中将该路径单独加入标准三尺度网络，再与 P2 共同使用，以区分新增尺度与融合路径的贡献。若模型延迟增加超过应用允许范围，应分析是否保留较轻的融合层数或仅采用 P2。</w:t>
      </w:r>
    </w:p>
    <w:p>
      <w:pPr>
        <w:pStyle w:val="21"/>
      </w:pPr>
      <w:r>
        <w:rPr>
          <w:rFonts w:ascii="Noto Sans CJK SC" w:hAnsi="Noto Sans CJK SC" w:eastAsia="Noto Sans CJK SC" w:cs="Noto Sans CJK SC"/>
        </w:rPr>
        <w:t>4.3 模型实现与复杂度约束</w:t>
      </w:r>
    </w:p>
    <w:p>
      <w:pPr>
        <w:widowControl/>
        <w:ind w:firstLine="420"/>
      </w:pPr>
      <w:r>
        <w:rPr>
          <w:rFonts w:ascii="Noto Serif CJK SC" w:hAnsi="Noto Serif CJK SC" w:eastAsia="Noto Serif CJK SC" w:cs="Noto Serif CJK SC"/>
        </w:rPr>
        <w:t>四组模型的训练和评估共用数据、软件版本与超参数。A 为 YOLO11n 基线；B 在 A 上加入 P2；C 在 A 上加入双向加权融合；D 同时使用 P2 和该融合。P2 与 BiFPN 思路均来自已有研究[3-5,11]，本文的研究重点是针对 DeepPCB 的结构适配、受控比较及效率分析。若计划加入 NWD 或模板差分，应作为后续独立消融项目，不能与主要改进混杂。</w:t>
      </w:r>
    </w:p>
    <w:p>
      <w:pPr>
        <w:keepNext/>
        <w:widowControl/>
        <w:jc w:val="center"/>
      </w:pPr>
      <w:r>
        <w:rPr>
          <w:rFonts w:ascii="Noto Serif CJK SC" w:hAnsi="Noto Serif CJK SC" w:eastAsia="Noto Serif CJK SC" w:cs="Noto Serif CJK SC"/>
          <w:sz w:val="21"/>
        </w:rPr>
        <w:t>表4-1 结构消融矩阵</w:t>
      </w:r>
    </w:p>
    <w:tbl>
      <w:tblPr>
        <w:tblStyle w:val="aff1"/>
        <w:tblW w:type="auto" w:w="0"/>
        <w:jc w:val="center"/>
        <w:tblLayout w:type="autofit"/>
        <w:tblLook w:firstColumn="1" w:firstRow="1" w:lastColumn="0" w:lastRow="0" w:noHBand="0" w:noVBand="1" w:val="04A0"/>
      </w:tblPr>
      <w:tblGrid>
        <w:gridCol w:w="2197"/>
        <w:gridCol w:w="2197"/>
        <w:gridCol w:w="2197"/>
        <w:gridCol w:w="2197"/>
      </w:tblGrid>
      <w:tr>
        <w:trPr>
          <w:cantSplit/>
          <w:tblHeader w:val="true"/>
        </w:trPr>
        <w:tc>
          <w:tcPr>
            <w:tcW w:type="dxa" w:w="2197"/>
            <w:vAlign w:val="center"/>
          </w:tcPr>
          <w:p>
            <w:r>
              <w:rPr>
                <w:b/>
              </w:rPr>
              <w:t>组别</w:t>
            </w:r>
          </w:p>
        </w:tc>
        <w:tc>
          <w:tcPr>
            <w:tcW w:type="dxa" w:w="2197"/>
            <w:vAlign w:val="center"/>
          </w:tcPr>
          <w:p>
            <w:r>
              <w:rPr>
                <w:b/>
              </w:rPr>
              <w:t>P2 检测分支</w:t>
            </w:r>
          </w:p>
        </w:tc>
        <w:tc>
          <w:tcPr>
            <w:tcW w:type="dxa" w:w="2197"/>
            <w:vAlign w:val="center"/>
          </w:tcPr>
          <w:p>
            <w:r>
              <w:rPr>
                <w:b/>
              </w:rPr>
              <w:t>双向加权融合</w:t>
            </w:r>
          </w:p>
        </w:tc>
        <w:tc>
          <w:tcPr>
            <w:tcW w:type="dxa" w:w="2197"/>
            <w:vAlign w:val="center"/>
          </w:tcPr>
          <w:p>
            <w:r>
              <w:rPr>
                <w:b/>
              </w:rPr>
              <w:t>研究作用</w:t>
            </w:r>
          </w:p>
        </w:tc>
      </w:tr>
      <w:tr>
        <w:trPr>
          <w:cantSplit/>
        </w:trPr>
        <w:tc>
          <w:tcPr>
            <w:tcW w:type="dxa" w:w="2197"/>
            <w:vAlign w:val="center"/>
          </w:tcPr>
          <w:p>
            <w:pPr>
              <w:spacing w:line="276" w:lineRule="auto" w:after="40"/>
            </w:pPr>
            <w:r>
              <w:rPr>
                <w:sz w:val="21"/>
              </w:rPr>
              <w:t>A：YOLO11n</w:t>
            </w:r>
          </w:p>
        </w:tc>
        <w:tc>
          <w:tcPr>
            <w:tcW w:type="dxa" w:w="2197"/>
            <w:vAlign w:val="center"/>
          </w:tcPr>
          <w:p>
            <w:pPr>
              <w:spacing w:line="276" w:lineRule="auto" w:after="40"/>
            </w:pPr>
            <w:r>
              <w:rPr>
                <w:sz w:val="21"/>
              </w:rPr>
              <w:t>否</w:t>
            </w:r>
          </w:p>
        </w:tc>
        <w:tc>
          <w:tcPr>
            <w:tcW w:type="dxa" w:w="2197"/>
            <w:vAlign w:val="center"/>
          </w:tcPr>
          <w:p>
            <w:pPr>
              <w:spacing w:line="276" w:lineRule="auto" w:after="40"/>
            </w:pPr>
            <w:r>
              <w:rPr>
                <w:sz w:val="21"/>
              </w:rPr>
              <w:t>否</w:t>
            </w:r>
          </w:p>
        </w:tc>
        <w:tc>
          <w:tcPr>
            <w:tcW w:type="dxa" w:w="2197"/>
            <w:vAlign w:val="center"/>
          </w:tcPr>
          <w:p>
            <w:pPr>
              <w:spacing w:line="276" w:lineRule="auto" w:after="40"/>
            </w:pPr>
            <w:r>
              <w:rPr>
                <w:sz w:val="21"/>
              </w:rPr>
              <w:t>标准基线</w:t>
            </w:r>
          </w:p>
        </w:tc>
      </w:tr>
      <w:tr>
        <w:trPr>
          <w:cantSplit/>
        </w:trPr>
        <w:tc>
          <w:tcPr>
            <w:tcW w:type="dxa" w:w="2197"/>
            <w:vAlign w:val="center"/>
          </w:tcPr>
          <w:p>
            <w:pPr>
              <w:spacing w:line="276" w:lineRule="auto" w:after="40"/>
            </w:pPr>
            <w:r>
              <w:rPr>
                <w:sz w:val="21"/>
              </w:rPr>
              <w:t>B：A+P2</w:t>
            </w:r>
          </w:p>
        </w:tc>
        <w:tc>
          <w:tcPr>
            <w:tcW w:type="dxa" w:w="2197"/>
            <w:vAlign w:val="center"/>
          </w:tcPr>
          <w:p>
            <w:pPr>
              <w:spacing w:line="276" w:lineRule="auto" w:after="40"/>
            </w:pPr>
            <w:r>
              <w:rPr>
                <w:sz w:val="21"/>
              </w:rPr>
              <w:t>是</w:t>
            </w:r>
          </w:p>
        </w:tc>
        <w:tc>
          <w:tcPr>
            <w:tcW w:type="dxa" w:w="2197"/>
            <w:vAlign w:val="center"/>
          </w:tcPr>
          <w:p>
            <w:pPr>
              <w:spacing w:line="276" w:lineRule="auto" w:after="40"/>
            </w:pPr>
            <w:r>
              <w:rPr>
                <w:sz w:val="21"/>
              </w:rPr>
              <w:t>否</w:t>
            </w:r>
          </w:p>
        </w:tc>
        <w:tc>
          <w:tcPr>
            <w:tcW w:type="dxa" w:w="2197"/>
            <w:vAlign w:val="center"/>
          </w:tcPr>
          <w:p>
            <w:pPr>
              <w:spacing w:line="276" w:lineRule="auto" w:after="40"/>
            </w:pPr>
            <w:r>
              <w:rPr>
                <w:sz w:val="21"/>
              </w:rPr>
              <w:t>检验高分辨率输出</w:t>
            </w:r>
          </w:p>
        </w:tc>
      </w:tr>
      <w:tr>
        <w:trPr>
          <w:cantSplit/>
        </w:trPr>
        <w:tc>
          <w:tcPr>
            <w:tcW w:type="dxa" w:w="2197"/>
            <w:vAlign w:val="center"/>
          </w:tcPr>
          <w:p>
            <w:pPr>
              <w:spacing w:line="276" w:lineRule="auto" w:after="40"/>
            </w:pPr>
            <w:r>
              <w:rPr>
                <w:sz w:val="21"/>
              </w:rPr>
              <w:t>C：A+融合</w:t>
            </w:r>
          </w:p>
        </w:tc>
        <w:tc>
          <w:tcPr>
            <w:tcW w:type="dxa" w:w="2197"/>
            <w:vAlign w:val="center"/>
          </w:tcPr>
          <w:p>
            <w:pPr>
              <w:spacing w:line="276" w:lineRule="auto" w:after="40"/>
            </w:pPr>
            <w:r>
              <w:rPr>
                <w:sz w:val="21"/>
              </w:rPr>
              <w:t>否</w:t>
            </w:r>
          </w:p>
        </w:tc>
        <w:tc>
          <w:tcPr>
            <w:tcW w:type="dxa" w:w="2197"/>
            <w:vAlign w:val="center"/>
          </w:tcPr>
          <w:p>
            <w:pPr>
              <w:spacing w:line="276" w:lineRule="auto" w:after="40"/>
            </w:pPr>
            <w:r>
              <w:rPr>
                <w:sz w:val="21"/>
              </w:rPr>
              <w:t>是</w:t>
            </w:r>
          </w:p>
        </w:tc>
        <w:tc>
          <w:tcPr>
            <w:tcW w:type="dxa" w:w="2197"/>
            <w:vAlign w:val="center"/>
          </w:tcPr>
          <w:p>
            <w:pPr>
              <w:spacing w:line="276" w:lineRule="auto" w:after="40"/>
            </w:pPr>
            <w:r>
              <w:rPr>
                <w:sz w:val="21"/>
              </w:rPr>
              <w:t>检验融合路径</w:t>
            </w:r>
          </w:p>
        </w:tc>
      </w:tr>
      <w:tr>
        <w:trPr>
          <w:cantSplit/>
        </w:trPr>
        <w:tc>
          <w:tcPr>
            <w:tcW w:type="dxa" w:w="2197"/>
            <w:vAlign w:val="center"/>
          </w:tcPr>
          <w:p>
            <w:pPr>
              <w:spacing w:line="276" w:lineRule="auto" w:after="40"/>
            </w:pPr>
            <w:r>
              <w:rPr>
                <w:sz w:val="21"/>
              </w:rPr>
              <w:t>D：A+P2+融合</w:t>
            </w:r>
          </w:p>
        </w:tc>
        <w:tc>
          <w:tcPr>
            <w:tcW w:type="dxa" w:w="2197"/>
            <w:vAlign w:val="center"/>
          </w:tcPr>
          <w:p>
            <w:pPr>
              <w:spacing w:line="276" w:lineRule="auto" w:after="40"/>
            </w:pPr>
            <w:r>
              <w:rPr>
                <w:sz w:val="21"/>
              </w:rPr>
              <w:t>是</w:t>
            </w:r>
          </w:p>
        </w:tc>
        <w:tc>
          <w:tcPr>
            <w:tcW w:type="dxa" w:w="2197"/>
            <w:vAlign w:val="center"/>
          </w:tcPr>
          <w:p>
            <w:pPr>
              <w:spacing w:line="276" w:lineRule="auto" w:after="40"/>
            </w:pPr>
            <w:r>
              <w:rPr>
                <w:sz w:val="21"/>
              </w:rPr>
              <w:t>是</w:t>
            </w:r>
          </w:p>
        </w:tc>
        <w:tc>
          <w:tcPr>
            <w:tcW w:type="dxa" w:w="2197"/>
            <w:vAlign w:val="center"/>
          </w:tcPr>
          <w:p>
            <w:pPr>
              <w:spacing w:line="276" w:lineRule="auto" w:after="40"/>
            </w:pPr>
            <w:r>
              <w:rPr>
                <w:sz w:val="21"/>
              </w:rPr>
              <w:t>检验联合效果</w:t>
            </w:r>
          </w:p>
        </w:tc>
      </w:tr>
    </w:tbl>
    <w:p>
      <w:pPr>
        <w:widowControl/>
      </w:pPr>
      <w:r>
        <w:rPr>
          <w:rFonts w:ascii="Noto Serif CJK SC" w:hAnsi="Noto Serif CJK SC" w:eastAsia="Noto Serif CJK SC" w:cs="Noto Serif CJK SC"/>
        </w:rPr>
      </w:r>
    </w:p>
    <w:p>
      <w:pPr>
        <w:widowControl/>
        <w:ind w:firstLine="420"/>
      </w:pPr>
      <w:r>
        <w:rPr>
          <w:rFonts w:ascii="Noto Serif CJK SC" w:hAnsi="Noto Serif CJK SC" w:eastAsia="Noto Serif CJK SC" w:cs="Noto Serif CJK SC"/>
        </w:rPr>
        <w:t>模型规模应通过参数量、FLOPs、权重文件大小与峰值显存量化。推理测试至少包括预热、批量为 1 的多次重复，以及相同设备和精度设置；端到端计时覆盖预处理、前向和后处理。因切片推理会引入额外处理开销[7]，如把 SAHI 作为拓展对照，应另报切片数与合并耗时。</w:t>
      </w:r>
    </w:p>
    <w:p>
      <w:pPr>
        <w:pStyle w:val="1"/>
        <w:pageBreakBefore/>
        <w:jc w:val="center"/>
      </w:pPr>
      <w:r>
        <w:rPr>
          <w:rFonts w:ascii="Noto Sans CJK SC" w:hAnsi="Noto Sans CJK SC" w:eastAsia="Noto Sans CJK SC" w:cs="Noto Sans CJK SC"/>
        </w:rPr>
        <w:t>第5章 实验设计与待实测结果</w:t>
      </w:r>
    </w:p>
    <w:p>
      <w:pPr>
        <w:pStyle w:val="21"/>
      </w:pPr>
      <w:r>
        <w:rPr>
          <w:rFonts w:ascii="Noto Sans CJK SC" w:hAnsi="Noto Sans CJK SC" w:eastAsia="Noto Sans CJK SC" w:cs="Noto Sans CJK SC"/>
        </w:rPr>
        <w:t>5.1 实验条件与对照设置</w:t>
      </w:r>
    </w:p>
    <w:p>
      <w:pPr>
        <w:widowControl/>
        <w:ind w:firstLine="420"/>
      </w:pPr>
      <w:r>
        <w:t>本章规定训练、测试与统计方法；已完成一次 10 epoch、320 输入的 CPU 预备实测。该结果用于验证流程，正式论文仍需增加训练轮次和随机种子。实验执行中记录 GPU、CPU、显存、操作系统、Python、PyTorch、CUDA、Ultralytics 版本、模型配置文件哈希、数据清单哈希及随机种子。A—D 四组使用同一输入尺寸、数据划分、增强、训练预算和最佳模型选择规则。表5-2和表5-3记录本次预备实测值，正式结果需在扩展实验后更新。</w:t>
      </w:r>
    </w:p>
    <w:p>
      <w:pPr>
        <w:keepNext/>
        <w:widowControl/>
        <w:jc w:val="center"/>
      </w:pPr>
      <w:r>
        <w:rPr>
          <w:rFonts w:ascii="Noto Serif CJK SC" w:hAnsi="Noto Serif CJK SC" w:eastAsia="Noto Serif CJK SC" w:cs="Noto Serif CJK SC"/>
          <w:sz w:val="21"/>
        </w:rPr>
        <w:t>表5-1 实验环境与超参数登记表（待实测）</w:t>
      </w:r>
    </w:p>
    <w:tbl>
      <w:tblPr>
        <w:tblStyle w:val="aff1"/>
        <w:tblW w:type="auto" w:w="0"/>
        <w:jc w:val="center"/>
        <w:tblLayout w:type="autofit"/>
        <w:tblLook w:firstColumn="1" w:firstRow="1" w:lastColumn="0" w:lastRow="0" w:noHBand="0" w:noVBand="1" w:val="04A0"/>
      </w:tblPr>
      <w:tblGrid>
        <w:gridCol w:w="2929"/>
        <w:gridCol w:w="2929"/>
        <w:gridCol w:w="2929"/>
      </w:tblGrid>
      <w:tr>
        <w:trPr>
          <w:cantSplit/>
          <w:tblHeader w:val="true"/>
        </w:trPr>
        <w:tc>
          <w:tcPr>
            <w:tcW w:type="dxa" w:w="2929"/>
            <w:vAlign w:val="center"/>
          </w:tcPr>
          <w:p>
            <w:r>
              <w:rPr>
                <w:b/>
              </w:rPr>
              <w:t>项目</w:t>
            </w:r>
          </w:p>
        </w:tc>
        <w:tc>
          <w:tcPr>
            <w:tcW w:type="dxa" w:w="2929"/>
            <w:vAlign w:val="center"/>
          </w:tcPr>
          <w:p>
            <w:r>
              <w:rPr>
                <w:b/>
              </w:rPr>
              <w:t>计划或记录值</w:t>
            </w:r>
          </w:p>
        </w:tc>
        <w:tc>
          <w:tcPr>
            <w:tcW w:type="dxa" w:w="2929"/>
            <w:vAlign w:val="center"/>
          </w:tcPr>
          <w:p>
            <w:r>
              <w:rPr>
                <w:b/>
              </w:rPr>
              <w:t>状态</w:t>
            </w:r>
          </w:p>
        </w:tc>
      </w:tr>
      <w:tr>
        <w:trPr>
          <w:cantSplit/>
        </w:trPr>
        <w:tc>
          <w:tcPr>
            <w:tcW w:type="dxa" w:w="2929"/>
            <w:vAlign w:val="center"/>
          </w:tcPr>
          <w:p>
            <w:pPr>
              <w:spacing w:line="276" w:lineRule="auto" w:after="40"/>
            </w:pPr>
            <w:r>
              <w:rPr>
                <w:sz w:val="21"/>
              </w:rPr>
              <w:t>数据集</w:t>
            </w:r>
          </w:p>
        </w:tc>
        <w:tc>
          <w:tcPr>
            <w:tcW w:type="dxa" w:w="2929"/>
            <w:vAlign w:val="center"/>
          </w:tcPr>
          <w:p>
            <w:pPr>
              <w:spacing w:line="276" w:lineRule="auto" w:after="40"/>
            </w:pPr>
            <w:r>
              <w:rPr>
                <w:sz w:val="21"/>
              </w:rPr>
              <w:t>DeepPCB 官方 1 000/500 清单</w:t>
            </w:r>
          </w:p>
        </w:tc>
        <w:tc>
          <w:tcPr>
            <w:tcW w:type="dxa" w:w="2929"/>
            <w:vAlign w:val="center"/>
          </w:tcPr>
          <w:p>
            <w:pPr>
              <w:spacing w:line="276" w:lineRule="auto" w:after="40"/>
            </w:pPr>
            <w:r>
              <w:rPr>
                <w:sz w:val="21"/>
              </w:rPr>
              <w:t>划分清单待生成</w:t>
            </w:r>
          </w:p>
        </w:tc>
      </w:tr>
      <w:tr>
        <w:trPr>
          <w:cantSplit/>
        </w:trPr>
        <w:tc>
          <w:tcPr>
            <w:tcW w:type="dxa" w:w="2929"/>
            <w:vAlign w:val="center"/>
          </w:tcPr>
          <w:p>
            <w:pPr>
              <w:spacing w:line="276" w:lineRule="auto" w:after="40"/>
            </w:pPr>
            <w:r>
              <w:rPr>
                <w:sz w:val="21"/>
              </w:rPr>
              <w:t>训练/验证</w:t>
            </w:r>
          </w:p>
        </w:tc>
        <w:tc>
          <w:tcPr>
            <w:tcW w:type="dxa" w:w="2929"/>
            <w:vAlign w:val="center"/>
          </w:tcPr>
          <w:p>
            <w:pPr>
              <w:spacing w:line="276" w:lineRule="auto" w:after="40"/>
            </w:pPr>
            <w:r>
              <w:rPr>
                <w:sz w:val="21"/>
              </w:rPr>
              <w:t>从 1 000 组内约 800/200 划分</w:t>
            </w:r>
          </w:p>
        </w:tc>
        <w:tc>
          <w:tcPr>
            <w:tcW w:type="dxa" w:w="2929"/>
            <w:vAlign w:val="center"/>
          </w:tcPr>
          <w:p>
            <w:pPr>
              <w:spacing w:line="276" w:lineRule="auto" w:after="40"/>
            </w:pPr>
            <w:r>
              <w:rPr>
                <w:sz w:val="21"/>
              </w:rPr>
              <w:t>待执行</w:t>
            </w:r>
          </w:p>
        </w:tc>
      </w:tr>
      <w:tr>
        <w:trPr>
          <w:cantSplit/>
        </w:trPr>
        <w:tc>
          <w:tcPr>
            <w:tcW w:type="dxa" w:w="2929"/>
            <w:vAlign w:val="center"/>
          </w:tcPr>
          <w:p>
            <w:pPr>
              <w:spacing w:line="276" w:lineRule="auto" w:after="40"/>
            </w:pPr>
            <w:r>
              <w:rPr>
                <w:sz w:val="21"/>
              </w:rPr>
              <w:t>模型</w:t>
            </w:r>
          </w:p>
        </w:tc>
        <w:tc>
          <w:tcPr>
            <w:tcW w:type="dxa" w:w="2929"/>
            <w:vAlign w:val="center"/>
          </w:tcPr>
          <w:p>
            <w:pPr>
              <w:spacing w:line="276" w:lineRule="auto" w:after="40"/>
            </w:pPr>
            <w:r>
              <w:rPr>
                <w:sz w:val="21"/>
              </w:rPr>
              <w:t>YOLO11n；A—D 四组</w:t>
            </w:r>
          </w:p>
        </w:tc>
        <w:tc>
          <w:tcPr>
            <w:tcW w:type="dxa" w:w="2929"/>
            <w:vAlign w:val="center"/>
          </w:tcPr>
          <w:p>
            <w:pPr>
              <w:spacing w:line="276" w:lineRule="auto" w:after="40"/>
            </w:pPr>
            <w:r>
              <w:rPr>
                <w:sz w:val="21"/>
              </w:rPr>
              <w:t>待实现与训练</w:t>
            </w:r>
          </w:p>
        </w:tc>
      </w:tr>
      <w:tr>
        <w:trPr>
          <w:cantSplit/>
        </w:trPr>
        <w:tc>
          <w:tcPr>
            <w:tcW w:type="dxa" w:w="2929"/>
            <w:vAlign w:val="center"/>
          </w:tcPr>
          <w:p>
            <w:pPr>
              <w:spacing w:line="276" w:lineRule="auto" w:after="40"/>
            </w:pPr>
            <w:r>
              <w:rPr>
                <w:sz w:val="21"/>
              </w:rPr>
              <w:t>图像尺寸</w:t>
            </w:r>
          </w:p>
        </w:tc>
        <w:tc>
          <w:tcPr>
            <w:tcW w:type="dxa" w:w="2929"/>
            <w:vAlign w:val="center"/>
          </w:tcPr>
          <w:p>
            <w:pPr>
              <w:spacing w:line="276" w:lineRule="auto" w:after="40"/>
            </w:pPr>
            <w:r>
              <w:rPr>
                <w:sz w:val="21"/>
              </w:rPr>
              <w:t>640×640；960×960 为独立对照</w:t>
            </w:r>
          </w:p>
        </w:tc>
        <w:tc>
          <w:tcPr>
            <w:tcW w:type="dxa" w:w="2929"/>
            <w:vAlign w:val="center"/>
          </w:tcPr>
          <w:p>
            <w:pPr>
              <w:spacing w:line="276" w:lineRule="auto" w:after="40"/>
            </w:pPr>
            <w:r>
              <w:rPr>
                <w:sz w:val="21"/>
              </w:rPr>
              <w:t>待实测</w:t>
            </w:r>
          </w:p>
        </w:tc>
      </w:tr>
      <w:tr>
        <w:trPr>
          <w:cantSplit/>
        </w:trPr>
        <w:tc>
          <w:tcPr>
            <w:tcW w:type="dxa" w:w="2929"/>
            <w:vAlign w:val="center"/>
          </w:tcPr>
          <w:p>
            <w:pPr>
              <w:spacing w:line="276" w:lineRule="auto" w:after="40"/>
            </w:pPr>
            <w:r>
              <w:rPr>
                <w:sz w:val="21"/>
              </w:rPr>
              <w:t>训练预算</w:t>
            </w:r>
          </w:p>
        </w:tc>
        <w:tc>
          <w:tcPr>
            <w:tcW w:type="dxa" w:w="2929"/>
            <w:vAlign w:val="center"/>
          </w:tcPr>
          <w:p>
            <w:pPr>
              <w:spacing w:line="276" w:lineRule="auto" w:after="40"/>
            </w:pPr>
            <w:r>
              <w:rPr>
                <w:sz w:val="21"/>
              </w:rPr>
              <w:t>初设 200 epoch，≥3 随机种子</w:t>
            </w:r>
          </w:p>
        </w:tc>
        <w:tc>
          <w:tcPr>
            <w:tcW w:type="dxa" w:w="2929"/>
            <w:vAlign w:val="center"/>
          </w:tcPr>
          <w:p>
            <w:pPr>
              <w:spacing w:line="276" w:lineRule="auto" w:after="40"/>
            </w:pPr>
            <w:r>
              <w:rPr>
                <w:sz w:val="21"/>
              </w:rPr>
              <w:t>待实测</w:t>
            </w:r>
          </w:p>
        </w:tc>
      </w:tr>
      <w:tr>
        <w:trPr>
          <w:cantSplit/>
        </w:trPr>
        <w:tc>
          <w:tcPr>
            <w:tcW w:type="dxa" w:w="2929"/>
            <w:vAlign w:val="center"/>
          </w:tcPr>
          <w:p>
            <w:pPr>
              <w:spacing w:line="276" w:lineRule="auto" w:after="40"/>
            </w:pPr>
            <w:r>
              <w:rPr>
                <w:sz w:val="21"/>
              </w:rPr>
              <w:t>设备与框架版本</w:t>
            </w:r>
          </w:p>
        </w:tc>
        <w:tc>
          <w:tcPr>
            <w:tcW w:type="dxa" w:w="2929"/>
            <w:vAlign w:val="center"/>
          </w:tcPr>
          <w:p>
            <w:pPr>
              <w:spacing w:line="276" w:lineRule="auto" w:after="40"/>
            </w:pPr>
            <w:r>
              <w:rPr>
                <w:sz w:val="21"/>
              </w:rPr>
              <w:t>填写硬件型号、驱动、PyTorch、CUDA</w:t>
            </w:r>
          </w:p>
        </w:tc>
        <w:tc>
          <w:tcPr>
            <w:tcW w:type="dxa" w:w="2929"/>
            <w:vAlign w:val="center"/>
          </w:tcPr>
          <w:p>
            <w:pPr>
              <w:spacing w:line="276" w:lineRule="auto" w:after="40"/>
            </w:pPr>
            <w:r>
              <w:rPr>
                <w:sz w:val="21"/>
              </w:rPr>
              <w:t>待记录</w:t>
            </w:r>
          </w:p>
        </w:tc>
      </w:tr>
    </w:tbl>
    <w:p>
      <w:pPr>
        <w:widowControl/>
      </w:pPr>
      <w:r>
        <w:rPr>
          <w:rFonts w:ascii="Noto Serif CJK SC" w:hAnsi="Noto Serif CJK SC" w:eastAsia="Noto Serif CJK SC" w:cs="Noto Serif CJK SC"/>
        </w:rPr>
      </w:r>
    </w:p>
    <w:p>
      <w:pPr>
        <w:pStyle w:val="21"/>
      </w:pPr>
      <w:r>
        <w:rPr>
          <w:rFonts w:ascii="Noto Sans CJK SC" w:hAnsi="Noto Sans CJK SC" w:eastAsia="Noto Sans CJK SC" w:cs="Noto Sans CJK SC"/>
        </w:rPr>
        <w:t>5.2 消融与对比实验</w:t>
      </w:r>
    </w:p>
    <w:p>
      <w:pPr>
        <w:widowControl/>
        <w:ind w:firstLine="420"/>
      </w:pPr>
      <w:r>
        <w:rPr>
          <w:rFonts w:ascii="Noto Serif CJK SC" w:hAnsi="Noto Serif CJK SC" w:eastAsia="Noto Serif CJK SC" w:cs="Noto Serif CJK SC"/>
        </w:rPr>
        <w:t>先报告 A—D 的总体结果，再报告 open、short 等六类结果。只有在随机种子重复实验及误差分析后，才可在正文写出“提升”或“下降”的定量结论。建议记录每组均值±标准差；对于性能接近的模型，不应仅凭一次运行的微小差异判断优劣。</w:t>
      </w:r>
    </w:p>
    <w:p>
      <w:pPr>
        <w:keepNext/>
        <w:widowControl/>
        <w:jc w:val="center"/>
      </w:pPr>
      <w:r>
        <w:t>表5-2 A—D 消融结果（A、B为本次10 epoch预备实测）</w:t>
      </w:r>
    </w:p>
    <w:tbl>
      <w:tblPr>
        <w:tblStyle w:val="aff1"/>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rPr>
          <w:cantSplit/>
          <w:tblHeader w:val="true"/>
        </w:trPr>
        <w:tc>
          <w:tcPr>
            <w:tcW w:type="dxa" w:w="1255"/>
            <w:vAlign w:val="center"/>
          </w:tcPr>
          <w:p>
            <w:r>
              <w:rPr>
                <w:b/>
              </w:rPr>
              <w:t>模型</w:t>
            </w:r>
          </w:p>
        </w:tc>
        <w:tc>
          <w:tcPr>
            <w:tcW w:type="dxa" w:w="1255"/>
            <w:vAlign w:val="center"/>
          </w:tcPr>
          <w:p>
            <w:r>
              <w:rPr>
                <w:b/>
              </w:rPr>
              <w:t>mAP50/%</w:t>
            </w:r>
          </w:p>
        </w:tc>
        <w:tc>
          <w:tcPr>
            <w:tcW w:type="dxa" w:w="1255"/>
            <w:vAlign w:val="center"/>
          </w:tcPr>
          <w:p>
            <w:r>
              <w:rPr>
                <w:b/>
              </w:rPr>
              <w:t>mAP50:95/%</w:t>
            </w:r>
          </w:p>
        </w:tc>
        <w:tc>
          <w:tcPr>
            <w:tcW w:type="dxa" w:w="1255"/>
            <w:vAlign w:val="center"/>
          </w:tcPr>
          <w:p>
            <w:r>
              <w:rPr>
                <w:b/>
              </w:rPr>
              <w:t>小目标AP/%</w:t>
            </w:r>
          </w:p>
        </w:tc>
        <w:tc>
          <w:tcPr>
            <w:tcW w:type="dxa" w:w="1255"/>
            <w:vAlign w:val="center"/>
          </w:tcPr>
          <w:p>
            <w:r>
              <w:rPr>
                <w:b/>
              </w:rPr>
              <w:t>参数/M</w:t>
            </w:r>
          </w:p>
        </w:tc>
        <w:tc>
          <w:tcPr>
            <w:tcW w:type="dxa" w:w="1255"/>
            <w:vAlign w:val="center"/>
          </w:tcPr>
          <w:p>
            <w:r>
              <w:rPr>
                <w:b/>
              </w:rPr>
              <w:t>GFLOPs</w:t>
            </w:r>
          </w:p>
        </w:tc>
        <w:tc>
          <w:tcPr>
            <w:tcW w:type="dxa" w:w="1255"/>
            <w:vAlign w:val="center"/>
          </w:tcPr>
          <w:p>
            <w:r>
              <w:rPr>
                <w:b/>
              </w:rPr>
              <w:t>延迟/ms</w:t>
            </w:r>
          </w:p>
        </w:tc>
      </w:tr>
      <w:tr>
        <w:trPr>
          <w:cantSplit/>
        </w:trPr>
        <w:tc>
          <w:tcPr>
            <w:tcW w:type="dxa" w:w="1255"/>
            <w:vAlign w:val="center"/>
          </w:tcPr>
          <w:p>
            <w:r>
              <w:t>A：YOLO11n</w:t>
            </w:r>
          </w:p>
        </w:tc>
        <w:tc>
          <w:tcPr>
            <w:tcW w:type="dxa" w:w="1255"/>
            <w:vAlign w:val="center"/>
          </w:tcPr>
          <w:p>
            <w:r>
              <w:t>25.53</w:t>
            </w:r>
          </w:p>
        </w:tc>
        <w:tc>
          <w:tcPr>
            <w:tcW w:type="dxa" w:w="1255"/>
            <w:vAlign w:val="center"/>
          </w:tcPr>
          <w:p>
            <w:r>
              <w:t>11.50</w:t>
            </w:r>
          </w:p>
        </w:tc>
        <w:tc>
          <w:tcPr>
            <w:tcW w:type="dxa" w:w="1255"/>
            <w:vAlign w:val="center"/>
          </w:tcPr>
          <w:p>
            <w:r>
              <w:t>待定义</w:t>
            </w:r>
          </w:p>
        </w:tc>
        <w:tc>
          <w:tcPr>
            <w:tcW w:type="dxa" w:w="1255"/>
            <w:vAlign w:val="center"/>
          </w:tcPr>
          <w:p>
            <w:r>
              <w:t>2.58</w:t>
            </w:r>
          </w:p>
        </w:tc>
        <w:tc>
          <w:tcPr>
            <w:tcW w:type="dxa" w:w="1255"/>
            <w:vAlign w:val="center"/>
          </w:tcPr>
          <w:p>
            <w:r>
              <w:t>6.40</w:t>
            </w:r>
          </w:p>
        </w:tc>
        <w:tc>
          <w:tcPr>
            <w:tcW w:type="dxa" w:w="1255"/>
            <w:vAlign w:val="center"/>
          </w:tcPr>
          <w:p>
            <w:r>
              <w:t>17.50</w:t>
            </w:r>
          </w:p>
        </w:tc>
      </w:tr>
      <w:tr>
        <w:trPr>
          <w:cantSplit/>
        </w:trPr>
        <w:tc>
          <w:tcPr>
            <w:tcW w:type="dxa" w:w="1255"/>
            <w:vAlign w:val="center"/>
          </w:tcPr>
          <w:p>
            <w:r>
              <w:t>B：A+P2</w:t>
            </w:r>
          </w:p>
        </w:tc>
        <w:tc>
          <w:tcPr>
            <w:tcW w:type="dxa" w:w="1255"/>
            <w:vAlign w:val="center"/>
          </w:tcPr>
          <w:p>
            <w:r>
              <w:t>20.40</w:t>
            </w:r>
          </w:p>
        </w:tc>
        <w:tc>
          <w:tcPr>
            <w:tcW w:type="dxa" w:w="1255"/>
            <w:vAlign w:val="center"/>
          </w:tcPr>
          <w:p>
            <w:r>
              <w:t>9.57</w:t>
            </w:r>
          </w:p>
        </w:tc>
        <w:tc>
          <w:tcPr>
            <w:tcW w:type="dxa" w:w="1255"/>
            <w:vAlign w:val="center"/>
          </w:tcPr>
          <w:p>
            <w:r>
              <w:t>待定义</w:t>
            </w:r>
          </w:p>
        </w:tc>
        <w:tc>
          <w:tcPr>
            <w:tcW w:type="dxa" w:w="1255"/>
            <w:vAlign w:val="center"/>
          </w:tcPr>
          <w:p>
            <w:r>
              <w:t>2.66</w:t>
            </w:r>
          </w:p>
        </w:tc>
        <w:tc>
          <w:tcPr>
            <w:tcW w:type="dxa" w:w="1255"/>
            <w:vAlign w:val="center"/>
          </w:tcPr>
          <w:p>
            <w:r>
              <w:t>10.30</w:t>
            </w:r>
          </w:p>
        </w:tc>
        <w:tc>
          <w:tcPr>
            <w:tcW w:type="dxa" w:w="1255"/>
            <w:vAlign w:val="center"/>
          </w:tcPr>
          <w:p>
            <w:r>
              <w:t>29.40</w:t>
            </w:r>
          </w:p>
        </w:tc>
      </w:tr>
      <w:tr>
        <w:trPr>
          <w:cantSplit/>
        </w:trPr>
        <w:tc>
          <w:tcPr>
            <w:tcW w:type="dxa" w:w="1255"/>
            <w:vAlign w:val="center"/>
          </w:tcPr>
          <w:p>
            <w:r>
              <w:t>C：A+融合</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r>
      <w:tr>
        <w:trPr>
          <w:cantSplit/>
        </w:trPr>
        <w:tc>
          <w:tcPr>
            <w:tcW w:type="dxa" w:w="1255"/>
            <w:vAlign w:val="center"/>
          </w:tcPr>
          <w:p>
            <w:r>
              <w:t>D：A+P2+融合</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r>
    </w:tbl>
    <w:p>
      <w:pPr>
        <w:widowControl/>
      </w:pPr>
      <w:r>
        <w:rPr>
          <w:rFonts w:ascii="Noto Serif CJK SC" w:hAnsi="Noto Serif CJK SC" w:eastAsia="Noto Serif CJK SC" w:cs="Noto Serif CJK SC"/>
        </w:rPr>
      </w:r>
    </w:p>
    <w:p>
      <w:pPr>
        <w:keepNext/>
        <w:widowControl/>
        <w:jc w:val="center"/>
      </w:pPr>
      <w:r>
        <w:t>表5-3 各类 AP 与召回率（A、B为本次10 epoch预备实测，单位：%）</w:t>
      </w:r>
    </w:p>
    <w:tbl>
      <w:tblPr>
        <w:tblStyle w:val="aff1"/>
        <w:tblW w:type="auto" w:w="0"/>
        <w:jc w:val="center"/>
        <w:tblLayout w:type="autofit"/>
        <w:tblLook w:firstColumn="1" w:firstRow="1" w:lastColumn="0" w:lastRow="0" w:noHBand="0" w:noVBand="1" w:val="04A0"/>
      </w:tblPr>
      <w:tblGrid>
        <w:gridCol w:w="1255"/>
        <w:gridCol w:w="1255"/>
        <w:gridCol w:w="1255"/>
        <w:gridCol w:w="1255"/>
        <w:gridCol w:w="1255"/>
        <w:gridCol w:w="1255"/>
        <w:gridCol w:w="1255"/>
      </w:tblGrid>
      <w:tr>
        <w:trPr>
          <w:cantSplit/>
          <w:tblHeader w:val="true"/>
        </w:trPr>
        <w:tc>
          <w:tcPr>
            <w:tcW w:type="dxa" w:w="1255"/>
            <w:vAlign w:val="center"/>
          </w:tcPr>
          <w:p>
            <w:r>
              <w:rPr>
                <w:b/>
              </w:rPr>
              <w:t>模型</w:t>
            </w:r>
          </w:p>
        </w:tc>
        <w:tc>
          <w:tcPr>
            <w:tcW w:type="dxa" w:w="1255"/>
            <w:vAlign w:val="center"/>
          </w:tcPr>
          <w:p>
            <w:r>
              <w:rPr>
                <w:b/>
              </w:rPr>
              <w:t>断路 AP/R</w:t>
            </w:r>
          </w:p>
        </w:tc>
        <w:tc>
          <w:tcPr>
            <w:tcW w:type="dxa" w:w="1255"/>
            <w:vAlign w:val="center"/>
          </w:tcPr>
          <w:p>
            <w:r>
              <w:rPr>
                <w:b/>
              </w:rPr>
              <w:t>短路 AP/R</w:t>
            </w:r>
          </w:p>
        </w:tc>
        <w:tc>
          <w:tcPr>
            <w:tcW w:type="dxa" w:w="1255"/>
            <w:vAlign w:val="center"/>
          </w:tcPr>
          <w:p>
            <w:r>
              <w:rPr>
                <w:b/>
              </w:rPr>
              <w:t>鼠咬 AP/R</w:t>
            </w:r>
          </w:p>
        </w:tc>
        <w:tc>
          <w:tcPr>
            <w:tcW w:type="dxa" w:w="1255"/>
            <w:vAlign w:val="center"/>
          </w:tcPr>
          <w:p>
            <w:r>
              <w:rPr>
                <w:b/>
              </w:rPr>
              <w:t>毛刺 AP/R</w:t>
            </w:r>
          </w:p>
        </w:tc>
        <w:tc>
          <w:tcPr>
            <w:tcW w:type="dxa" w:w="1255"/>
            <w:vAlign w:val="center"/>
          </w:tcPr>
          <w:p>
            <w:r>
              <w:rPr>
                <w:b/>
              </w:rPr>
              <w:t>杂铜 AP/R</w:t>
            </w:r>
          </w:p>
        </w:tc>
        <w:tc>
          <w:tcPr>
            <w:tcW w:type="dxa" w:w="1255"/>
            <w:vAlign w:val="center"/>
          </w:tcPr>
          <w:p>
            <w:r>
              <w:rPr>
                <w:b/>
              </w:rPr>
              <w:t>针孔 AP/R</w:t>
            </w:r>
          </w:p>
        </w:tc>
      </w:tr>
      <w:tr>
        <w:trPr>
          <w:cantSplit/>
        </w:trPr>
        <w:tc>
          <w:tcPr>
            <w:tcW w:type="dxa" w:w="1255"/>
            <w:vAlign w:val="center"/>
          </w:tcPr>
          <w:p>
            <w:pPr>
              <w:spacing w:line="276" w:lineRule="auto" w:after="40"/>
            </w:pPr>
            <w:r>
              <w:rPr>
                <w:sz w:val="21"/>
              </w:rPr>
              <w:t>A</w:t>
            </w:r>
          </w:p>
        </w:tc>
        <w:tc>
          <w:tcPr>
            <w:tcW w:type="dxa" w:w="1255"/>
            <w:vAlign w:val="center"/>
          </w:tcPr>
          <w:p>
            <w:r>
              <w:t>16.31/25.95</w:t>
            </w:r>
          </w:p>
        </w:tc>
        <w:tc>
          <w:tcPr>
            <w:tcW w:type="dxa" w:w="1255"/>
            <w:vAlign w:val="center"/>
          </w:tcPr>
          <w:p>
            <w:r>
              <w:t>9.41/20.71</w:t>
            </w:r>
          </w:p>
        </w:tc>
        <w:tc>
          <w:tcPr>
            <w:tcW w:type="dxa" w:w="1255"/>
            <w:vAlign w:val="center"/>
          </w:tcPr>
          <w:p>
            <w:r>
              <w:t>13.32/25.60</w:t>
            </w:r>
          </w:p>
        </w:tc>
        <w:tc>
          <w:tcPr>
            <w:tcW w:type="dxa" w:w="1255"/>
            <w:vAlign w:val="center"/>
          </w:tcPr>
          <w:p>
            <w:r>
              <w:t>9.41/6.63</w:t>
            </w:r>
          </w:p>
        </w:tc>
        <w:tc>
          <w:tcPr>
            <w:tcW w:type="dxa" w:w="1255"/>
            <w:vAlign w:val="center"/>
          </w:tcPr>
          <w:p>
            <w:r>
              <w:t>70.62/78.23</w:t>
            </w:r>
          </w:p>
        </w:tc>
        <w:tc>
          <w:tcPr>
            <w:tcW w:type="dxa" w:w="1255"/>
            <w:vAlign w:val="center"/>
          </w:tcPr>
          <w:p>
            <w:r>
              <w:t>34.12/62.34</w:t>
            </w:r>
          </w:p>
        </w:tc>
      </w:tr>
      <w:tr>
        <w:trPr>
          <w:cantSplit/>
        </w:trPr>
        <w:tc>
          <w:tcPr>
            <w:tcW w:type="dxa" w:w="1255"/>
            <w:vAlign w:val="center"/>
          </w:tcPr>
          <w:p>
            <w:pPr>
              <w:spacing w:line="276" w:lineRule="auto" w:after="40"/>
            </w:pPr>
            <w:r>
              <w:rPr>
                <w:sz w:val="21"/>
              </w:rPr>
              <w:t>B</w:t>
            </w:r>
          </w:p>
        </w:tc>
        <w:tc>
          <w:tcPr>
            <w:tcW w:type="dxa" w:w="1255"/>
            <w:vAlign w:val="center"/>
          </w:tcPr>
          <w:p>
            <w:r>
              <w:t>16.18/29.89</w:t>
            </w:r>
          </w:p>
        </w:tc>
        <w:tc>
          <w:tcPr>
            <w:tcW w:type="dxa" w:w="1255"/>
            <w:vAlign w:val="center"/>
          </w:tcPr>
          <w:p>
            <w:r>
              <w:t>6.62/17.15</w:t>
            </w:r>
          </w:p>
        </w:tc>
        <w:tc>
          <w:tcPr>
            <w:tcW w:type="dxa" w:w="1255"/>
            <w:vAlign w:val="center"/>
          </w:tcPr>
          <w:p>
            <w:r>
              <w:t>15.27/34.98</w:t>
            </w:r>
          </w:p>
        </w:tc>
        <w:tc>
          <w:tcPr>
            <w:tcW w:type="dxa" w:w="1255"/>
            <w:vAlign w:val="center"/>
          </w:tcPr>
          <w:p>
            <w:r>
              <w:t>8.57/16.36</w:t>
            </w:r>
          </w:p>
        </w:tc>
        <w:tc>
          <w:tcPr>
            <w:tcW w:type="dxa" w:w="1255"/>
            <w:vAlign w:val="center"/>
          </w:tcPr>
          <w:p>
            <w:r>
              <w:t>36.45/55.60</w:t>
            </w:r>
          </w:p>
        </w:tc>
        <w:tc>
          <w:tcPr>
            <w:tcW w:type="dxa" w:w="1255"/>
            <w:vAlign w:val="center"/>
          </w:tcPr>
          <w:p>
            <w:r>
              <w:t>39.34/65.11</w:t>
            </w:r>
          </w:p>
        </w:tc>
      </w:tr>
      <w:tr>
        <w:trPr>
          <w:cantSplit/>
        </w:trPr>
        <w:tc>
          <w:tcPr>
            <w:tcW w:type="dxa" w:w="1255"/>
            <w:vAlign w:val="center"/>
          </w:tcPr>
          <w:p>
            <w:pPr>
              <w:spacing w:line="276" w:lineRule="auto" w:after="40"/>
            </w:pPr>
            <w:r>
              <w:rPr>
                <w:sz w:val="21"/>
              </w:rPr>
              <w:t>C</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r>
      <w:tr>
        <w:trPr>
          <w:cantSplit/>
        </w:trPr>
        <w:tc>
          <w:tcPr>
            <w:tcW w:type="dxa" w:w="1255"/>
            <w:vAlign w:val="center"/>
          </w:tcPr>
          <w:p>
            <w:pPr>
              <w:spacing w:line="276" w:lineRule="auto" w:after="40"/>
            </w:pPr>
            <w:r>
              <w:rPr>
                <w:sz w:val="21"/>
              </w:rPr>
              <w:t>D</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c>
          <w:tcPr>
            <w:tcW w:type="dxa" w:w="1255"/>
            <w:vAlign w:val="center"/>
          </w:tcPr>
          <w:p>
            <w:pPr>
              <w:spacing w:line="276" w:lineRule="auto" w:after="40"/>
            </w:pPr>
            <w:r>
              <w:rPr>
                <w:sz w:val="21"/>
              </w:rPr>
              <w:t>待实测</w:t>
            </w:r>
          </w:p>
        </w:tc>
      </w:tr>
    </w:tbl>
    <w:p>
      <w:pPr>
        <w:widowControl/>
      </w:pPr>
      <w:r>
        <w:rPr>
          <w:rFonts w:ascii="Noto Serif CJK SC" w:hAnsi="Noto Serif CJK SC" w:eastAsia="Noto Serif CJK SC" w:cs="Noto Serif CJK SC"/>
        </w:rPr>
      </w:r>
    </w:p>
    <w:p>
      <w:pPr>
        <w:widowControl/>
        <w:ind w:firstLine="420"/>
      </w:pPr>
      <w:r>
        <w:rPr>
          <w:rFonts w:ascii="Noto Serif CJK SC" w:hAnsi="Noto Serif CJK SC" w:eastAsia="Noto Serif CJK SC" w:cs="Noto Serif CJK SC"/>
        </w:rPr>
        <w:t>小目标 AP 需先给出明确的面积阈值，报告阈值内的标注数量及六类分布。若少数类别样本很少，应同时报告置信区间或至少标准差，避免用不稳定的单一 AP 数值作结论。比较图应来自官方测试集，图注注明样本编号与模型版本，不把训练可视化图当作测试结果。</w:t>
      </w:r>
    </w:p>
    <w:p>
      <w:pPr>
        <w:widowControl/>
        <w:ind w:firstLine="420"/>
      </w:pPr>
      <w:r>
        <w:rPr>
          <w:rFonts w:ascii="Noto Serif CJK SC" w:hAnsi="Noto Serif CJK SC" w:eastAsia="Noto Serif CJK SC" w:cs="Noto Serif CJK SC"/>
        </w:rPr>
        <w:t>对照实验建议增加 A 的 960 输入版本，以区分高分辨率检测头与输入尺度带来的变化；在算力允许时，可用同数据划分的 YOLOv8n 或 YOLOv10n 作参考[12]。跨论文的已发表数字仅作为背景，不能与本稿结果在不同数据和阈值下直接排序。YOLOv10 属另一代模型，不能把其论文当作 YOLO11 的原始方法引用。</w:t>
      </w:r>
    </w:p>
    <w:p>
      <w:pPr>
        <w:pStyle w:val="21"/>
      </w:pPr>
      <w:r>
        <w:rPr>
          <w:rFonts w:ascii="Noto Sans CJK SC" w:hAnsi="Noto Sans CJK SC" w:eastAsia="Noto Sans CJK SC" w:cs="Noto Sans CJK SC"/>
        </w:rPr>
        <w:t>5.3 误差分析与可复现性</w:t>
      </w:r>
    </w:p>
    <w:p>
      <w:pPr>
        <w:widowControl/>
        <w:ind w:firstLine="420"/>
      </w:pPr>
      <w:r>
        <w:rPr>
          <w:rFonts w:ascii="Noto Serif CJK SC" w:hAnsi="Noto Serif CJK SC" w:eastAsia="Noto Serif CJK SC" w:cs="Noto Serif CJK SC"/>
        </w:rPr>
        <w:t>误差分析应从 open、short 的漏检图像入手，区分极小尺寸、低对比度、线路密集、标注偏差和配准误差；同时统计 pin-hole 与杂铜等类别的相互误检。建议按目标面积分箱生成召回曲线，并比较 P2 对各分箱的影响。对于每类错误，保存原图、标注框、预测框及置信度，避免仅展示有利的成功案例。</w:t>
      </w:r>
    </w:p>
    <w:p>
      <w:pPr>
        <w:keepNext/>
        <w:widowControl/>
        <w:jc w:val="center"/>
      </w:pPr>
      <w:r>
        <w:rPr>
          <w:rFonts w:ascii="Noto Serif CJK SC" w:hAnsi="Noto Serif CJK SC" w:eastAsia="Noto Serif CJK SC" w:cs="Noto Serif CJK SC"/>
          <w:sz w:val="21"/>
        </w:rPr>
        <w:t>表5-4 错误案例与效率记录（待实测）</w:t>
      </w:r>
    </w:p>
    <w:tbl>
      <w:tblPr>
        <w:tblStyle w:val="aff1"/>
        <w:tblW w:type="auto" w:w="0"/>
        <w:jc w:val="center"/>
        <w:tblLayout w:type="autofit"/>
        <w:tblLook w:firstColumn="1" w:firstRow="1" w:lastColumn="0" w:lastRow="0" w:noHBand="0" w:noVBand="1" w:val="04A0"/>
      </w:tblPr>
      <w:tblGrid>
        <w:gridCol w:w="2929"/>
        <w:gridCol w:w="2929"/>
        <w:gridCol w:w="2929"/>
      </w:tblGrid>
      <w:tr>
        <w:trPr>
          <w:cantSplit/>
          <w:tblHeader w:val="true"/>
        </w:trPr>
        <w:tc>
          <w:tcPr>
            <w:tcW w:type="dxa" w:w="2929"/>
            <w:vAlign w:val="center"/>
          </w:tcPr>
          <w:p>
            <w:r>
              <w:rPr>
                <w:b/>
              </w:rPr>
              <w:t>分析项目</w:t>
            </w:r>
          </w:p>
        </w:tc>
        <w:tc>
          <w:tcPr>
            <w:tcW w:type="dxa" w:w="2929"/>
            <w:vAlign w:val="center"/>
          </w:tcPr>
          <w:p>
            <w:r>
              <w:rPr>
                <w:b/>
              </w:rPr>
              <w:t>具体记录</w:t>
            </w:r>
          </w:p>
        </w:tc>
        <w:tc>
          <w:tcPr>
            <w:tcW w:type="dxa" w:w="2929"/>
            <w:vAlign w:val="center"/>
          </w:tcPr>
          <w:p>
            <w:r>
              <w:rPr>
                <w:b/>
              </w:rPr>
              <w:t>当前状态</w:t>
            </w:r>
          </w:p>
        </w:tc>
      </w:tr>
      <w:tr>
        <w:trPr>
          <w:cantSplit/>
        </w:trPr>
        <w:tc>
          <w:tcPr>
            <w:tcW w:type="dxa" w:w="2929"/>
            <w:vAlign w:val="center"/>
          </w:tcPr>
          <w:p>
            <w:pPr>
              <w:spacing w:line="276" w:lineRule="auto" w:after="40"/>
            </w:pPr>
            <w:r>
              <w:rPr>
                <w:sz w:val="21"/>
              </w:rPr>
              <w:t>断路/短路漏检</w:t>
            </w:r>
          </w:p>
        </w:tc>
        <w:tc>
          <w:tcPr>
            <w:tcW w:type="dxa" w:w="2929"/>
            <w:vAlign w:val="center"/>
          </w:tcPr>
          <w:p>
            <w:pPr>
              <w:spacing w:line="276" w:lineRule="auto" w:after="40"/>
            </w:pPr>
            <w:r>
              <w:rPr>
                <w:sz w:val="21"/>
              </w:rPr>
              <w:t>各类 FN 数、尺寸分布、典型样本编号</w:t>
            </w:r>
          </w:p>
        </w:tc>
        <w:tc>
          <w:tcPr>
            <w:tcW w:type="dxa" w:w="2929"/>
            <w:vAlign w:val="center"/>
          </w:tcPr>
          <w:p>
            <w:pPr>
              <w:spacing w:line="276" w:lineRule="auto" w:after="40"/>
            </w:pPr>
            <w:r>
              <w:rPr>
                <w:sz w:val="21"/>
              </w:rPr>
              <w:t>待实测</w:t>
            </w:r>
          </w:p>
        </w:tc>
      </w:tr>
      <w:tr>
        <w:trPr>
          <w:cantSplit/>
        </w:trPr>
        <w:tc>
          <w:tcPr>
            <w:tcW w:type="dxa" w:w="2929"/>
            <w:vAlign w:val="center"/>
          </w:tcPr>
          <w:p>
            <w:pPr>
              <w:spacing w:line="276" w:lineRule="auto" w:after="40"/>
            </w:pPr>
            <w:r>
              <w:rPr>
                <w:sz w:val="21"/>
              </w:rPr>
              <w:t>误检与类别混淆</w:t>
            </w:r>
          </w:p>
        </w:tc>
        <w:tc>
          <w:tcPr>
            <w:tcW w:type="dxa" w:w="2929"/>
            <w:vAlign w:val="center"/>
          </w:tcPr>
          <w:p>
            <w:pPr>
              <w:spacing w:line="276" w:lineRule="auto" w:after="40"/>
            </w:pPr>
            <w:r>
              <w:rPr>
                <w:sz w:val="21"/>
              </w:rPr>
              <w:t>FP 数、混淆矩阵、置信度阈值</w:t>
            </w:r>
          </w:p>
        </w:tc>
        <w:tc>
          <w:tcPr>
            <w:tcW w:type="dxa" w:w="2929"/>
            <w:vAlign w:val="center"/>
          </w:tcPr>
          <w:p>
            <w:pPr>
              <w:spacing w:line="276" w:lineRule="auto" w:after="40"/>
            </w:pPr>
            <w:r>
              <w:rPr>
                <w:sz w:val="21"/>
              </w:rPr>
              <w:t>待实测</w:t>
            </w:r>
          </w:p>
        </w:tc>
      </w:tr>
      <w:tr>
        <w:trPr>
          <w:cantSplit/>
        </w:trPr>
        <w:tc>
          <w:tcPr>
            <w:tcW w:type="dxa" w:w="2929"/>
            <w:vAlign w:val="center"/>
          </w:tcPr>
          <w:p>
            <w:pPr>
              <w:spacing w:line="276" w:lineRule="auto" w:after="40"/>
            </w:pPr>
            <w:r>
              <w:rPr>
                <w:sz w:val="21"/>
              </w:rPr>
              <w:t>小目标收益</w:t>
            </w:r>
          </w:p>
        </w:tc>
        <w:tc>
          <w:tcPr>
            <w:tcW w:type="dxa" w:w="2929"/>
            <w:vAlign w:val="center"/>
          </w:tcPr>
          <w:p>
            <w:pPr>
              <w:spacing w:line="276" w:lineRule="auto" w:after="40"/>
            </w:pPr>
            <w:r>
              <w:rPr>
                <w:sz w:val="21"/>
              </w:rPr>
              <w:t>预定面积阈值、样本数、AP 与召回</w:t>
            </w:r>
          </w:p>
        </w:tc>
        <w:tc>
          <w:tcPr>
            <w:tcW w:type="dxa" w:w="2929"/>
            <w:vAlign w:val="center"/>
          </w:tcPr>
          <w:p>
            <w:pPr>
              <w:spacing w:line="276" w:lineRule="auto" w:after="40"/>
            </w:pPr>
            <w:r>
              <w:rPr>
                <w:sz w:val="21"/>
              </w:rPr>
              <w:t>待实测</w:t>
            </w:r>
          </w:p>
        </w:tc>
      </w:tr>
      <w:tr>
        <w:trPr>
          <w:cantSplit/>
        </w:trPr>
        <w:tc>
          <w:tcPr>
            <w:tcW w:type="dxa" w:w="2929"/>
            <w:vAlign w:val="center"/>
          </w:tcPr>
          <w:p>
            <w:pPr>
              <w:spacing w:line="276" w:lineRule="auto" w:after="40"/>
            </w:pPr>
            <w:r>
              <w:rPr>
                <w:sz w:val="21"/>
              </w:rPr>
              <w:t>部署开销</w:t>
            </w:r>
          </w:p>
        </w:tc>
        <w:tc>
          <w:tcPr>
            <w:tcW w:type="dxa" w:w="2929"/>
            <w:vAlign w:val="center"/>
          </w:tcPr>
          <w:p>
            <w:pPr>
              <w:spacing w:line="276" w:lineRule="auto" w:after="40"/>
            </w:pPr>
            <w:r>
              <w:rPr>
                <w:sz w:val="21"/>
              </w:rPr>
              <w:t>批量 1 延迟、FPS、峰值显存</w:t>
            </w:r>
          </w:p>
        </w:tc>
        <w:tc>
          <w:tcPr>
            <w:tcW w:type="dxa" w:w="2929"/>
            <w:vAlign w:val="center"/>
          </w:tcPr>
          <w:p>
            <w:pPr>
              <w:spacing w:line="276" w:lineRule="auto" w:after="40"/>
            </w:pPr>
            <w:r>
              <w:rPr>
                <w:sz w:val="21"/>
              </w:rPr>
              <w:t>待实测</w:t>
            </w:r>
          </w:p>
        </w:tc>
      </w:tr>
    </w:tbl>
    <w:p>
      <w:pPr>
        <w:widowControl/>
      </w:pPr>
      <w:r>
        <w:rPr>
          <w:rFonts w:ascii="Noto Serif CJK SC" w:hAnsi="Noto Serif CJK SC" w:eastAsia="Noto Serif CJK SC" w:cs="Noto Serif CJK SC"/>
        </w:rPr>
      </w:r>
    </w:p>
    <w:p>
      <w:pPr>
        <w:widowControl/>
        <w:ind w:firstLine="420"/>
      </w:pPr>
      <w:r>
        <w:rPr>
          <w:rFonts w:ascii="Noto Serif CJK SC" w:hAnsi="Noto Serif CJK SC" w:eastAsia="Noto Serif CJK SC" w:cs="Noto Serif CJK SC"/>
        </w:rPr>
        <w:t>研究产物应保存数据划分清单、类别映射、配置文件、训练日志、随机种子、最佳权重与评估脚本。模板差分若作为后续扩展，需要保证对图像对实施完全一致的几何变换，并对照同样使用模板信息的基线。论文最终结论必须与实际填写的表5-2至表5-4及保存的日志一致。</w:t>
      </w:r>
    </w:p>
    <w:p>
      <w:pPr>
        <w:pStyle w:val="1"/>
        <w:pageBreakBefore/>
        <w:jc w:val="center"/>
      </w:pPr>
      <w:r>
        <w:rPr>
          <w:rFonts w:ascii="Noto Sans CJK SC" w:hAnsi="Noto Sans CJK SC" w:eastAsia="Noto Sans CJK SC" w:cs="Noto Sans CJK SC"/>
        </w:rPr>
        <w:t>第6章 总结与展望</w:t>
      </w:r>
    </w:p>
    <w:p>
      <w:pPr>
        <w:pStyle w:val="21"/>
      </w:pPr>
      <w:r>
        <w:rPr>
          <w:rFonts w:ascii="Noto Sans CJK SC" w:hAnsi="Noto Sans CJK SC" w:eastAsia="Noto Sans CJK SC" w:cs="Noto Sans CJK SC"/>
        </w:rPr>
        <w:t>6.1 已完成的研究设计</w:t>
      </w:r>
    </w:p>
    <w:p>
      <w:pPr>
        <w:widowControl/>
        <w:ind w:firstLine="420"/>
      </w:pPr>
      <w:r>
        <w:rPr>
          <w:rFonts w:ascii="Noto Serif CJK SC" w:hAnsi="Noto Serif CJK SC" w:eastAsia="Noto Serif CJK SC" w:cs="Noto Serif CJK SC"/>
        </w:rPr>
        <w:t>本文围绕 DeepPCB 六类 PCB 表面缺陷检测，确定 YOLO11n 基线、P2 小目标检测分支和双向加权高分辨率特征融合的研究方案；给出了官方清单下的数据划分、标签转换、四组消融对照与精度—效率综合评价方法。研究将特别关注断路、短路等小缺陷的召回与定位，同时检查改进对推理开销的影响。</w:t>
      </w:r>
    </w:p>
    <w:p>
      <w:pPr>
        <w:pStyle w:val="21"/>
      </w:pPr>
      <w:r>
        <w:rPr>
          <w:rFonts w:ascii="Noto Sans CJK SC" w:hAnsi="Noto Sans CJK SC" w:eastAsia="Noto Sans CJK SC" w:cs="Noto Sans CJK SC"/>
        </w:rPr>
        <w:t>6.2 待完成工作与局限</w:t>
      </w:r>
    </w:p>
    <w:p>
      <w:pPr>
        <w:widowControl/>
        <w:ind w:firstLine="420"/>
      </w:pPr>
      <w:r>
        <w:t>目前仅完成一次 10 epoch、320 输入的预备训练与测试，样本划分和指标可复核，但训练轮次不足，因此不能断言 P2 或融合模块提高了 DeepPCB 上的检测性能，也无法给出最终模型的精度、延迟或产线适用性结论。后续须完成数据检查、代码实现、三次以上独立训练、官方测试集评估及误差分析，再据真实结果修订摘要、结论和实验表格。DeepPCB 包含人工增补的缺陷，正式讨论工业应用时还需在真实产线图像和不同板型上开展外部验证。</w:t>
      </w:r>
    </w:p>
    <w:p>
      <w:pPr>
        <w:pStyle w:val="21"/>
      </w:pPr>
      <w:r>
        <w:rPr>
          <w:rFonts w:ascii="Noto Sans CJK SC" w:hAnsi="Noto Sans CJK SC" w:eastAsia="Noto Sans CJK SC" w:cs="Noto Sans CJK SC"/>
        </w:rPr>
        <w:t>6.3 后续研究方向</w:t>
      </w:r>
    </w:p>
    <w:p>
      <w:pPr>
        <w:widowControl/>
        <w:ind w:firstLine="420"/>
      </w:pPr>
      <w:r>
        <w:rPr>
          <w:rFonts w:ascii="Noto Serif CJK SC" w:hAnsi="Noto Serif CJK SC" w:eastAsia="Noto Serif CJK SC" w:cs="Noto Serif CJK SC"/>
        </w:rPr>
        <w:t>在主要消融实验完成后，可针对小框定位检验 NWD 类度量[6]，或研究模板差分、切片推理[7] 等方法。这些方向应各自建立独立对照，并同时报告数据输入差异和速度代价。若实际结果显示 P2 带来的额外计算超过收益，应优先研究轻量化融合、蒸馏或更合适的图像采集分辨率。</w:t>
      </w:r>
    </w:p>
    <w:p>
      <w:pPr>
        <w:pStyle w:val="1"/>
        <w:pageBreakBefore/>
        <w:jc w:val="center"/>
      </w:pPr>
      <w:r>
        <w:rPr>
          <w:rFonts w:ascii="Noto Sans CJK SC" w:hAnsi="Noto Sans CJK SC" w:eastAsia="Noto Sans CJK SC" w:cs="Noto Sans CJK SC"/>
        </w:rPr>
        <w:t>参考文献</w:t>
      </w:r>
    </w:p>
    <w:p>
      <w:pPr>
        <w:widowControl/>
        <w:spacing w:line="300" w:lineRule="auto"/>
        <w:ind w:left="425" w:hanging="425"/>
      </w:pPr>
      <w:r>
        <w:rPr>
          <w:rFonts w:ascii="Noto Serif CJK SC" w:hAnsi="Noto Serif CJK SC" w:eastAsia="Noto Serif CJK SC" w:cs="Noto Serif CJK SC"/>
        </w:rPr>
        <w:t>[1] TANG S, HE F, HUANG X, et al. Online PCB defect detector on a new PCB defect dataset[EB/OL]. arXiv:1902.06197, 2019. https://arxiv.org/abs/1902.06197.</w:t>
      </w:r>
    </w:p>
    <w:p>
      <w:pPr>
        <w:widowControl/>
        <w:spacing w:line="300" w:lineRule="auto"/>
        <w:ind w:left="425" w:hanging="425"/>
      </w:pPr>
      <w:r>
        <w:rPr>
          <w:rFonts w:ascii="Noto Serif CJK SC" w:hAnsi="Noto Serif CJK SC" w:eastAsia="Noto Serif CJK SC" w:cs="Noto Serif CJK SC"/>
        </w:rPr>
        <w:t>[2] REDMON J, DIVVALA S, GIRSHICK R, et al. You only look once: Unified, real-time object detection[C]//Proceedings of the IEEE Conference on Computer Vision and Pattern Recognition. 2016: 779-788. DOI: 10.1109/CVPR.2016.91.</w:t>
      </w:r>
    </w:p>
    <w:p>
      <w:pPr>
        <w:widowControl/>
        <w:spacing w:line="300" w:lineRule="auto"/>
        <w:ind w:left="425" w:hanging="425"/>
      </w:pPr>
      <w:r>
        <w:rPr>
          <w:rFonts w:ascii="Noto Serif CJK SC" w:hAnsi="Noto Serif CJK SC" w:eastAsia="Noto Serif CJK SC" w:cs="Noto Serif CJK SC"/>
        </w:rPr>
        <w:t>[3] LIN T Y, DOLLÁR P, GIRSHICK R, et al. Feature pyramid networks for object detection[C]//Proceedings of the IEEE Conference on Computer Vision and Pattern Recognition. 2017: 2117-2125.</w:t>
      </w:r>
    </w:p>
    <w:p>
      <w:pPr>
        <w:widowControl/>
        <w:spacing w:line="300" w:lineRule="auto"/>
        <w:ind w:left="425" w:hanging="425"/>
      </w:pPr>
      <w:r>
        <w:rPr>
          <w:rFonts w:ascii="Noto Serif CJK SC" w:hAnsi="Noto Serif CJK SC" w:eastAsia="Noto Serif CJK SC" w:cs="Noto Serif CJK SC"/>
        </w:rPr>
        <w:t>[4] LIU S, QI L, QIN H, et al. Path aggregation network for instance segmentation[C]//Proceedings of the IEEE Conference on Computer Vision and Pattern Recognition. 2018: 8759-8768.</w:t>
      </w:r>
    </w:p>
    <w:p>
      <w:pPr>
        <w:widowControl/>
        <w:spacing w:line="300" w:lineRule="auto"/>
        <w:ind w:left="425" w:hanging="425"/>
      </w:pPr>
      <w:r>
        <w:rPr>
          <w:rFonts w:ascii="Noto Serif CJK SC" w:hAnsi="Noto Serif CJK SC" w:eastAsia="Noto Serif CJK SC" w:cs="Noto Serif CJK SC"/>
        </w:rPr>
        <w:t>[5] TAN M, PANG R, LE Q V. EfficientDet: Scalable and efficient object detection[C]//Proceedings of the IEEE/CVF Conference on Computer Vision and Pattern Recognition. 2020: 10781-10790.</w:t>
      </w:r>
    </w:p>
    <w:p>
      <w:pPr>
        <w:widowControl/>
        <w:spacing w:line="300" w:lineRule="auto"/>
        <w:ind w:left="425" w:hanging="425"/>
      </w:pPr>
      <w:r>
        <w:rPr>
          <w:rFonts w:ascii="Noto Serif CJK SC" w:hAnsi="Noto Serif CJK SC" w:eastAsia="Noto Serif CJK SC" w:cs="Noto Serif CJK SC"/>
        </w:rPr>
        <w:t>[6] XU C, WANG J, YANG W, et al. Detecting tiny objects in aerial images: A normalized Wasserstein distance and a new benchmark[J]. ISPRS Journal of Photogrammetry and Remote Sensing, 2022. https://github.com/jwwangchn/NWD.</w:t>
      </w:r>
    </w:p>
    <w:p>
      <w:pPr>
        <w:widowControl/>
        <w:spacing w:line="300" w:lineRule="auto"/>
        <w:ind w:left="425" w:hanging="425"/>
      </w:pPr>
      <w:r>
        <w:rPr>
          <w:rFonts w:ascii="Noto Serif CJK SC" w:hAnsi="Noto Serif CJK SC" w:eastAsia="Noto Serif CJK SC" w:cs="Noto Serif CJK SC"/>
        </w:rPr>
        <w:t>[7] AKYON F C, ALTINUC S O, TEMIZEL A. Slicing aided hyper inference and fine-tuning for small object detection[C]//2022 IEEE International Conference on Image Processing. 2022: 966-970. DOI: 10.1109/ICIP46576.2022.9897990.</w:t>
      </w:r>
    </w:p>
    <w:p>
      <w:pPr>
        <w:widowControl/>
        <w:spacing w:line="300" w:lineRule="auto"/>
        <w:ind w:left="425" w:hanging="425"/>
      </w:pPr>
      <w:r>
        <w:rPr>
          <w:rFonts w:ascii="Noto Serif CJK SC" w:hAnsi="Noto Serif CJK SC" w:eastAsia="Noto Serif CJK SC" w:cs="Noto Serif CJK SC"/>
        </w:rPr>
        <w:t>[8] SUN K, XIAO B, LIU D, et al. Deep high-resolution representation learning for human pose estimation[C]//Proceedings of the IEEE/CVF Conference on Computer Vision and Pattern Recognition. 2019: 5693-5703.</w:t>
      </w:r>
    </w:p>
    <w:p>
      <w:pPr>
        <w:widowControl/>
        <w:spacing w:line="300" w:lineRule="auto"/>
        <w:ind w:left="425" w:hanging="425"/>
      </w:pPr>
      <w:r>
        <w:rPr>
          <w:rFonts w:ascii="Noto Serif CJK SC" w:hAnsi="Noto Serif CJK SC" w:eastAsia="Noto Serif CJK SC" w:cs="Noto Serif CJK SC"/>
        </w:rPr>
        <w:t>[9] WOO S, PARK J, LEE J Y, et al. CBAM: Convolutional block attention module[C]//European Conference on Computer Vision. 2018: 3-19.</w:t>
      </w:r>
    </w:p>
    <w:p>
      <w:pPr>
        <w:widowControl/>
        <w:spacing w:line="300" w:lineRule="auto"/>
        <w:ind w:left="425" w:hanging="425"/>
      </w:pPr>
      <w:r>
        <w:rPr>
          <w:rFonts w:ascii="Noto Serif CJK SC" w:hAnsi="Noto Serif CJK SC" w:eastAsia="Noto Serif CJK SC" w:cs="Noto Serif CJK SC"/>
        </w:rPr>
        <w:t>[10] ULTRALYTICS. YOLO11 model configuration, Ultralytics v8.3.0[EB/OL]. 2024. https://github.com/ultralytics/ultralytics/blob/v8.3.0/ultralytics/cfg/models/11/yolo11.yaml.</w:t>
      </w:r>
    </w:p>
    <w:p>
      <w:pPr>
        <w:widowControl/>
        <w:spacing w:line="300" w:lineRule="auto"/>
        <w:ind w:left="425" w:hanging="425"/>
      </w:pPr>
      <w:r>
        <w:rPr>
          <w:rFonts w:ascii="Noto Serif CJK SC" w:hAnsi="Noto Serif CJK SC" w:eastAsia="Noto Serif CJK SC" w:cs="Noto Serif CJK SC"/>
        </w:rPr>
        <w:t>[11] ULTRALYTICS. YOLOv8 P2 detection model configuration[EB/OL]. https://github.com/ultralytics/ultralytics/blob/main/ultralytics/cfg/models/v8/yolov8-p2.yaml. [2026-10-14].</w:t>
      </w:r>
    </w:p>
    <w:p>
      <w:pPr>
        <w:widowControl/>
        <w:spacing w:line="300" w:lineRule="auto"/>
        <w:ind w:left="425" w:hanging="425"/>
      </w:pPr>
      <w:r>
        <w:rPr>
          <w:rFonts w:ascii="Noto Serif CJK SC" w:hAnsi="Noto Serif CJK SC" w:eastAsia="Noto Serif CJK SC" w:cs="Noto Serif CJK SC"/>
        </w:rPr>
        <w:t>[12] WANG A, CHEN H, LIU L, et al. YOLOv10: Real-time end-to-end object detection[C]//Advances in Neural Information Processing Systems. 2024, 37: 107984-108011.</w:t>
      </w:r>
    </w:p>
    <w:sectPr w:rsidR="00B86100" w:rsidSect="00034616">
      <w:headerReference w:type="default" r:id="rId164"/>
      <w:footerReference w:type="default" r:id="rId165"/>
      <w:headerReference w:type="first" r:id="rId168"/>
      <w:footerReference w:type="first" r:id="rId169"/>
      <w:pgSz w:w="11906" w:h="16838"/>
      <w:pgMar w:top="1474" w:right="1417" w:bottom="1417" w:left="1701" w:header="1140" w:footer="2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DE80" w14:textId="77777777" w:rsidR="001B7C87" w:rsidRDefault="001B7C87">
      <w:pPr>
        <w:spacing w:line="240" w:lineRule="auto"/>
        <w:rPr>
          <w:rFonts w:hint="eastAsia"/>
        </w:rPr>
      </w:pPr>
      <w:r>
        <w:separator/>
      </w:r>
    </w:p>
  </w:endnote>
  <w:endnote w:type="continuationSeparator" w:id="0">
    <w:p w14:paraId="3EA98FBA" w14:textId="77777777" w:rsidR="001B7C87" w:rsidRDefault="001B7C8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Noto Sans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fldChar w:fldCharType="begin"/>
    </w:r>
    <w:r>
      <w:instrText xml:space="preserve">PAGE</w:instrText>
    </w:r>
    <w:r>
      <w:fldChar w:fldCharType="separate"/>
    </w:r>
    <w:r>
      <w:t>1</w:t>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829FB" w14:textId="77777777" w:rsidR="001B7C87" w:rsidRDefault="001B7C87">
      <w:pPr>
        <w:spacing w:line="240" w:lineRule="auto"/>
        <w:rPr>
          <w:rFonts w:hint="eastAsia"/>
        </w:rPr>
      </w:pPr>
      <w:r>
        <w:separator/>
      </w:r>
    </w:p>
  </w:footnote>
  <w:footnote w:type="continuationSeparator" w:id="0">
    <w:p w14:paraId="35895CC2" w14:textId="77777777" w:rsidR="001B7C87" w:rsidRDefault="001B7C87">
      <w:pPr>
        <w:spacing w:line="240" w:lineRule="auto"/>
        <w:rPr>
          <w:rFonts w:hint="eastAsia"/>
        </w:rPr>
      </w:pPr>
      <w:r>
        <w:continuationSeparator/>
      </w:r>
    </w:p>
  </w:footnote>
</w:footnotes>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7343953">
    <w:abstractNumId w:val="8"/>
  </w:num>
  <w:num w:numId="2" w16cid:durableId="1703968466">
    <w:abstractNumId w:val="6"/>
  </w:num>
  <w:num w:numId="3" w16cid:durableId="10692690">
    <w:abstractNumId w:val="5"/>
  </w:num>
  <w:num w:numId="4" w16cid:durableId="36975661">
    <w:abstractNumId w:val="4"/>
  </w:num>
  <w:num w:numId="5" w16cid:durableId="133524734">
    <w:abstractNumId w:val="7"/>
  </w:num>
  <w:num w:numId="6" w16cid:durableId="2033920122">
    <w:abstractNumId w:val="3"/>
  </w:num>
  <w:num w:numId="7" w16cid:durableId="494224819">
    <w:abstractNumId w:val="2"/>
  </w:num>
  <w:num w:numId="8" w16cid:durableId="400950253">
    <w:abstractNumId w:val="1"/>
  </w:num>
  <w:num w:numId="9" w16cid:durableId="8480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6C87"/>
    <w:rsid w:val="0015074B"/>
    <w:rsid w:val="001B7C87"/>
    <w:rsid w:val="0029639D"/>
    <w:rsid w:val="00326F90"/>
    <w:rsid w:val="003321BA"/>
    <w:rsid w:val="003A4D63"/>
    <w:rsid w:val="00AA1D8D"/>
    <w:rsid w:val="00B47730"/>
    <w:rsid w:val="00B86100"/>
    <w:rsid w:val="00CB0664"/>
    <w:rsid w:val="00DD77F1"/>
    <w:rsid w:val="00E773B0"/>
    <w:rsid w:val="00F23309"/>
    <w:rsid w:val="00FC693F"/>
    <w:rsid w:val="00FD3F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01CD01"/>
  <w14:defaultImageDpi w14:val="300"/>
  <w15:docId w15:val="{0E9C69A8-BC1A-4B50-8A4D-FFF2E6B6B90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41" w:lineRule="auto"/>
    </w:pPr>
    <w:rPr>
      <w:rFonts w:ascii="Noto Serif CJK SC" w:hAnsi="Noto Serif CJK SC" w:eastAsia="Noto Serif CJK SC" w:cs="Noto Serif CJK SC"/>
      <w:b w:val="0"/>
      <w:sz w:val="24"/>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ascii="Noto Sans CJK SC" w:hAnsi="Noto Sans CJK SC" w:eastAsia="Noto Sans CJK SC" w:cs="Noto Sans CJK SC"/>
      <w:b/>
      <w:bCs/>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ascii="Noto Sans CJK SC" w:hAnsi="Noto Sans CJK SC" w:eastAsia="Noto Sans CJK SC" w:cs="Noto Sans CJK SC"/>
      <w:b/>
      <w:bCs/>
      <w:sz w:val="28"/>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cs="Noto Sans CJK SC"/>
      <w:b/>
      <w:bCs/>
      <w:sz w:val="24"/>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096C87"/>
    <w:pPr>
      <w:spacing w:after="100" w:line="259" w:lineRule="auto"/>
      <w:ind w:left="220"/>
    </w:pPr>
    <w:rPr>
      <w:rFonts w:asciiTheme="minorHAnsi" w:hAnsiTheme="minorHAnsi" w:cs="Times New Roman"/>
      <w:sz w:val="22"/>
      <w:lang w:eastAsia="zh-CN"/>
    </w:rPr>
  </w:style>
  <w:style w:type="paragraph" w:styleId="TOC1">
    <w:name w:val="toc 1"/>
    <w:basedOn w:val="a1"/>
    <w:next w:val="a1"/>
    <w:autoRedefine/>
    <w:uiPriority w:val="39"/>
    <w:unhideWhenUsed/>
    <w:rsid w:val="00096C87"/>
    <w:pPr>
      <w:spacing w:after="100" w:line="259" w:lineRule="auto"/>
    </w:pPr>
    <w:rPr>
      <w:rFonts w:asciiTheme="minorHAnsi" w:hAnsiTheme="minorHAnsi" w:cs="Times New Roman"/>
      <w:sz w:val="22"/>
      <w:lang w:eastAsia="zh-CN"/>
    </w:rPr>
  </w:style>
  <w:style w:type="paragraph" w:styleId="TOC3">
    <w:name w:val="toc 3"/>
    <w:basedOn w:val="a1"/>
    <w:next w:val="a1"/>
    <w:autoRedefine/>
    <w:uiPriority w:val="39"/>
    <w:unhideWhenUsed/>
    <w:rsid w:val="00096C87"/>
    <w:pPr>
      <w:spacing w:after="100" w:line="259" w:lineRule="auto"/>
      <w:ind w:left="440"/>
    </w:pPr>
    <w:rPr>
      <w:rFonts w:asciiTheme="minorHAnsi" w:hAnsiTheme="minorHAnsi" w:cs="Times New Roman"/>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5" Type="http://schemas.openxmlformats.org/officeDocument/2006/relationships/webSettings" Target="webSettings.xm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6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8" Type="http://schemas.openxmlformats.org/officeDocument/2006/relationships/image" Target="media/image1.png"/><Relationship Id="rId3" Type="http://schemas.openxmlformats.org/officeDocument/2006/relationships/styles" Target="styles.xml"/><Relationship Id="rId164" Type="http://schemas.openxmlformats.org/officeDocument/2006/relationships/header" Target="header61.xml"/><Relationship Id="rId4" Type="http://schemas.openxmlformats.org/officeDocument/2006/relationships/settings" Target="settings.xml"/><Relationship Id="rId165" Type="http://schemas.openxmlformats.org/officeDocument/2006/relationships/footer" Target="footer61.xml"/><Relationship Id="rId168" Type="http://schemas.openxmlformats.org/officeDocument/2006/relationships/header" Target="header62.xml"/><Relationship Id="rId169" Type="http://schemas.openxmlformats.org/officeDocument/2006/relationships/footer" Target="footer6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59</Pages>
  <Words>8389</Words>
  <Characters>47819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基于改进 YOLO11 的印刷电路板缺陷检测研究</dc:title>
  <dc:subject>DeepPCB YOLO11 实测预备结果；10 epoch、320 输入、CPU；仍需扩展正式实验</dc:subject>
  <dc:creator>张雨新</dc:creator>
  <cp:keywords>DeepPCB, YOLO11, PCB, 小目标检测, P2</cp:keywords>
  <dc:description>generated by python-docx</dc:description>
  <cp:lastModifiedBy>张雨新</cp:lastModifiedBy>
  <cp:revision>3</cp:revision>
  <dcterms:created xsi:type="dcterms:W3CDTF">2013-12-23T23:15:00Z</dcterms:created>
  <dcterms:modified xsi:type="dcterms:W3CDTF">2026-10-14T06:16:00Z</dcterms:modified>
  <cp:category/>
</cp:coreProperties>
</file>