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w:t>
      </w:r>
      <w:r w:rsidR="004030AC" w:rsidRPr="00706F03">
        <w:rPr>
          <w:rFonts w:cs="Times New Roman"/>
          <w:szCs w:val="28"/>
        </w:rPr>
        <w:t>多</w:t>
      </w:r>
      <w:r w:rsidRPr="00706F03">
        <w:rPr>
          <w:rFonts w:cs="Times New Roman"/>
          <w:szCs w:val="28"/>
        </w:rPr>
        <w:t>項式逆</w:t>
      </w:r>
      <w:r w:rsidR="00961BBF" w:rsidRPr="00706F03">
        <w:rPr>
          <w:rFonts w:cs="Times New Roman"/>
          <w:szCs w:val="28"/>
        </w:rPr>
        <w:t>迴</w:t>
      </w:r>
      <w:r w:rsidRPr="00706F03">
        <w:rPr>
          <w:rFonts w:cs="Times New Roman"/>
          <w:szCs w:val="28"/>
        </w:rPr>
        <w:t>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w:t>
      </w:r>
      <w:r w:rsidR="004030AC" w:rsidRPr="00706F03">
        <w:rPr>
          <w:rFonts w:cs="Times New Roman"/>
          <w:szCs w:val="28"/>
        </w:rPr>
        <w:t>支</w:t>
      </w:r>
      <w:r w:rsidRPr="00706F03">
        <w:rPr>
          <w:rFonts w:cs="Times New Roman"/>
          <w:szCs w:val="28"/>
        </w:rPr>
        <w:t>持向量機（</w:t>
      </w:r>
      <w:r w:rsidRPr="00706F03">
        <w:rPr>
          <w:rFonts w:cs="Times New Roman"/>
          <w:szCs w:val="28"/>
        </w:rPr>
        <w:t>Support</w:t>
      </w:r>
      <w:r w:rsidR="00525936" w:rsidRPr="00706F03">
        <w:rPr>
          <w:rFonts w:cs="Times New Roman"/>
          <w:szCs w:val="28"/>
        </w:rPr>
        <w:t>V</w:t>
      </w:r>
      <w:r w:rsidRPr="00706F03">
        <w:rPr>
          <w:rFonts w:cs="Times New Roman"/>
          <w:szCs w:val="28"/>
        </w:rPr>
        <w:t>e</w:t>
      </w:r>
      <w:r w:rsidR="004030AC" w:rsidRPr="00706F03">
        <w:rPr>
          <w:rFonts w:cs="Times New Roman"/>
          <w:szCs w:val="28"/>
        </w:rPr>
        <w:t>c</w:t>
      </w:r>
      <w:r w:rsidRPr="00706F03">
        <w:rPr>
          <w:rFonts w:cs="Times New Roman"/>
          <w:szCs w:val="28"/>
        </w:rPr>
        <w:t>tor M</w:t>
      </w:r>
      <w:r w:rsidR="00525936" w:rsidRPr="00706F03">
        <w:rPr>
          <w:rFonts w:cs="Times New Roman"/>
          <w:szCs w:val="28"/>
        </w:rPr>
        <w:t>a</w:t>
      </w:r>
      <w:r w:rsidRPr="00706F03">
        <w:rPr>
          <w:rFonts w:cs="Times New Roman"/>
          <w:szCs w:val="28"/>
        </w:rPr>
        <w:t>chine, SVM</w:t>
      </w:r>
      <w:r w:rsidRPr="00706F03">
        <w:rPr>
          <w:rFonts w:cs="Times New Roman"/>
          <w:szCs w:val="28"/>
        </w:rPr>
        <w:t>）與卡方特徵選擇</w:t>
      </w:r>
      <w:r w:rsidRPr="00706F03">
        <w:rPr>
          <w:rFonts w:cs="Times New Roman"/>
          <w:szCs w:val="28"/>
        </w:rPr>
        <w:t xml:space="preserve"> +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w:t>
      </w:r>
      <w:r w:rsidR="00832F63" w:rsidRPr="00706F03">
        <w:rPr>
          <w:rFonts w:cs="Times New Roman" w:hint="eastAsia"/>
          <w:szCs w:val="28"/>
        </w:rPr>
        <w:t>SVM</w:t>
      </w:r>
      <w:r w:rsidR="00832F63" w:rsidRPr="00706F03">
        <w:rPr>
          <w:rFonts w:cs="Times New Roman" w:hint="eastAsia"/>
          <w:szCs w:val="28"/>
        </w:rPr>
        <w:t>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w:t>
      </w:r>
      <w:r w:rsidRPr="00706F03">
        <w:rPr>
          <w:rFonts w:cs="Times New Roman"/>
          <w:szCs w:val="28"/>
        </w:rPr>
        <w:lastRenderedPageBreak/>
        <w:t>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SVM</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Ch</w:t>
      </w:r>
      <w:r w:rsidR="001E5412" w:rsidRPr="00706F03">
        <w:rPr>
          <w:rFonts w:cs="Times New Roman" w:hint="eastAsia"/>
          <w:szCs w:val="28"/>
        </w:rPr>
        <w:t xml:space="preserve">i-square + MNIR + SVM </w:t>
      </w:r>
      <w:r w:rsidR="001E5412"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BoW</w:t>
      </w:r>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W</w:t>
      </w:r>
      <m:oMath>
        <m:r>
          <w:rPr>
            <w:rFonts w:ascii="Cambria Math" w:hAnsi="Cambria Math" w:cs="Times New Roman"/>
            <w:szCs w:val="28"/>
          </w:rPr>
          <m:t>c</m:t>
        </m:r>
      </m:oMath>
      <w:r w:rsidRPr="00706F03">
        <w:rPr>
          <w:rFonts w:cs="Times New Roman"/>
          <w:szCs w:val="28"/>
        </w:rPr>
        <w:t>in</w:t>
      </w:r>
      <w:r w:rsidRPr="00706F03">
        <w:rPr>
          <w:rFonts w:cs="Times New Roman"/>
          <w:szCs w:val="28"/>
        </w:rPr>
        <w:t>作為目標類別，則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Lose</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lastRenderedPageBreak/>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MNIR</w:t>
      </w:r>
      <w:r w:rsidRPr="009A1188">
        <w:rPr>
          <w:rFonts w:cs="Times New Roman" w:hint="eastAsia"/>
          <w:szCs w:val="28"/>
        </w:rPr>
        <w:t>模型估計、</w:t>
      </w:r>
      <w:r w:rsidRPr="009A1188">
        <w:rPr>
          <w:rFonts w:cs="Times New Roman" w:hint="eastAsia"/>
          <w:szCs w:val="28"/>
        </w:rPr>
        <w:t>SVM</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BoW</w:t>
      </w:r>
      <w:r w:rsidRPr="009A1188">
        <w:rPr>
          <w:rFonts w:cs="Times New Roman" w:hint="eastAsia"/>
          <w:szCs w:val="28"/>
        </w:rPr>
        <w:t>與</w:t>
      </w:r>
      <w:r w:rsidRPr="009A1188">
        <w:rPr>
          <w:rFonts w:cs="Times New Roman" w:hint="eastAsia"/>
          <w:szCs w:val="28"/>
        </w:rPr>
        <w:t>TF</w:t>
      </w:r>
      <w:r w:rsidRPr="009A1188">
        <w:rPr>
          <w:rFonts w:cs="Times New Roman" w:hint="eastAsia"/>
          <w:szCs w:val="28"/>
        </w:rPr>
        <w:t>之詞彙表，以及</w:t>
      </w:r>
      <w:r w:rsidRPr="009A1188">
        <w:rPr>
          <w:rFonts w:cs="Times New Roman" w:hint="eastAsia"/>
          <w:szCs w:val="28"/>
        </w:rPr>
        <w:t>TF-IDF</w:t>
      </w:r>
      <w:r w:rsidRPr="009A1188">
        <w:rPr>
          <w:rFonts w:cs="Times New Roman" w:hint="eastAsia"/>
          <w:szCs w:val="28"/>
        </w:rPr>
        <w:t>之詞彙表與</w:t>
      </w:r>
      <w:r w:rsidRPr="009A1188">
        <w:rPr>
          <w:rFonts w:cs="Times New Roman" w:hint="eastAsia"/>
          <w:szCs w:val="28"/>
        </w:rPr>
        <w:t>IDF</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MNIR</w:t>
      </w:r>
      <w:r w:rsidRPr="009A1188">
        <w:rPr>
          <w:rFonts w:cs="Times New Roman" w:hint="eastAsia"/>
          <w:szCs w:val="28"/>
        </w:rPr>
        <w:t>特徵轉換、</w:t>
      </w:r>
      <w:r w:rsidRPr="009A1188">
        <w:rPr>
          <w:rFonts w:cs="Times New Roman" w:hint="eastAsia"/>
          <w:szCs w:val="28"/>
        </w:rPr>
        <w:t>SVM</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hint="eastAsia"/>
          <w:szCs w:val="28"/>
        </w:rPr>
      </w:pPr>
      <w:r w:rsidRPr="009A1188">
        <w:rPr>
          <w:rFonts w:cs="Times New Roman" w:hint="eastAsia"/>
          <w:szCs w:val="28"/>
        </w:rPr>
        <w:t>由於在相同文字特徵表示下，</w:t>
      </w:r>
      <w:r w:rsidRPr="009A1188">
        <w:rPr>
          <w:rFonts w:cs="Times New Roman" w:hint="eastAsia"/>
          <w:szCs w:val="28"/>
        </w:rPr>
        <w:t>Chi-square + MNIR + SVM</w:t>
      </w:r>
      <w:r w:rsidRPr="009A1188">
        <w:rPr>
          <w:rFonts w:cs="Times New Roman" w:hint="eastAsia"/>
          <w:szCs w:val="28"/>
        </w:rPr>
        <w:t>與</w:t>
      </w:r>
      <w:r w:rsidRPr="009A1188">
        <w:rPr>
          <w:rFonts w:cs="Times New Roman" w:hint="eastAsia"/>
          <w:szCs w:val="28"/>
        </w:rPr>
        <w:t>Chi-square + SVM</w:t>
      </w:r>
      <w:r w:rsidRPr="009A1188">
        <w:rPr>
          <w:rFonts w:cs="Times New Roman" w:hint="eastAsia"/>
          <w:szCs w:val="28"/>
        </w:rPr>
        <w:t>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TF</w:t>
      </w:r>
      <w:r w:rsidRPr="009A1188">
        <w:rPr>
          <w:rFonts w:cs="Times New Roman" w:hint="eastAsia"/>
          <w:szCs w:val="28"/>
        </w:rPr>
        <w:t>與</w:t>
      </w:r>
      <w:r w:rsidRPr="009A1188">
        <w:rPr>
          <w:rFonts w:cs="Times New Roman" w:hint="eastAsia"/>
          <w:szCs w:val="28"/>
        </w:rPr>
        <w:t>TF-IDF</w:t>
      </w:r>
      <w:r w:rsidRPr="009A1188">
        <w:rPr>
          <w:rFonts w:cs="Times New Roman" w:hint="eastAsia"/>
          <w:szCs w:val="28"/>
        </w:rPr>
        <w:t>之特徵建構方式並不完全相同，其中</w:t>
      </w:r>
      <w:r w:rsidRPr="009A1188">
        <w:rPr>
          <w:rFonts w:cs="Times New Roman" w:hint="eastAsia"/>
          <w:szCs w:val="28"/>
        </w:rPr>
        <w:t>TF-IDF</w:t>
      </w:r>
      <w:r w:rsidRPr="009A1188">
        <w:rPr>
          <w:rFonts w:cs="Times New Roman" w:hint="eastAsia"/>
          <w:szCs w:val="28"/>
        </w:rPr>
        <w:t>之</w:t>
      </w:r>
      <w:r w:rsidRPr="009A1188">
        <w:rPr>
          <w:rFonts w:cs="Times New Roman" w:hint="eastAsia"/>
          <w:szCs w:val="28"/>
        </w:rPr>
        <w:t>IDF</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BoW</w:t>
      </w:r>
      <w:r w:rsidRPr="009A1188">
        <w:rPr>
          <w:rFonts w:cs="Times New Roman" w:hint="eastAsia"/>
          <w:szCs w:val="28"/>
        </w:rPr>
        <w:t>、</w:t>
      </w:r>
      <w:r w:rsidRPr="009A1188">
        <w:rPr>
          <w:rFonts w:cs="Times New Roman" w:hint="eastAsia"/>
          <w:szCs w:val="28"/>
        </w:rPr>
        <w:t>TF</w:t>
      </w:r>
      <w:r w:rsidRPr="009A1188">
        <w:rPr>
          <w:rFonts w:cs="Times New Roman" w:hint="eastAsia"/>
          <w:szCs w:val="28"/>
        </w:rPr>
        <w:t>與</w:t>
      </w:r>
      <w:r w:rsidRPr="009A1188">
        <w:rPr>
          <w:rFonts w:cs="Times New Roman" w:hint="eastAsia"/>
          <w:szCs w:val="28"/>
        </w:rPr>
        <w:t>TF-IDF</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w:t>
      </w:r>
      <w:r w:rsidRPr="009A1188">
        <w:rPr>
          <w:rFonts w:cs="Times New Roman" w:hint="eastAsia"/>
          <w:szCs w:val="28"/>
        </w:rPr>
        <w:t>Chi-square + MNIR + SVM</w:t>
      </w:r>
      <w:r w:rsidRPr="009A1188">
        <w:rPr>
          <w:rFonts w:cs="Times New Roman" w:hint="eastAsia"/>
          <w:szCs w:val="28"/>
        </w:rPr>
        <w:t>與</w:t>
      </w:r>
      <w:r w:rsidRPr="009A1188">
        <w:rPr>
          <w:rFonts w:cs="Times New Roman" w:hint="eastAsia"/>
          <w:szCs w:val="28"/>
        </w:rPr>
        <w:t>Chi-square + SVM</w:t>
      </w:r>
      <w:r w:rsidRPr="009A1188">
        <w:rPr>
          <w:rFonts w:cs="Times New Roman" w:hint="eastAsia"/>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w:t>
      </w:r>
      <w:r w:rsidRPr="00706F03">
        <w:rPr>
          <w:rFonts w:cs="Times New Roman"/>
          <w:szCs w:val="28"/>
        </w:rPr>
        <w:lastRenderedPageBreak/>
        <w:t>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w:t>
      </w:r>
      <w:r w:rsidRPr="00706F03">
        <w:rPr>
          <w:rFonts w:cs="Times New Roman"/>
        </w:rPr>
        <w:t xml:space="preserve">Chi-square + SVM </w:t>
      </w:r>
      <w:r w:rsidRPr="00706F03">
        <w:rPr>
          <w:rFonts w:cs="Times New Roman"/>
        </w:rPr>
        <w:t>對比</w:t>
      </w:r>
      <w:r w:rsidRPr="00706F03">
        <w:rPr>
          <w:rFonts w:cs="Times New Roman"/>
        </w:rPr>
        <w:t xml:space="preserve"> Chi-square + MNIR + SVM </w:t>
      </w:r>
      <w:r w:rsidRPr="00706F03">
        <w:rPr>
          <w:rFonts w:cs="Times New Roman"/>
        </w:rPr>
        <w:t>取得較佳分類表現。在本研究資料、文字特徵設定與參數範圍下，</w:t>
      </w:r>
      <w:r w:rsidRPr="00706F03">
        <w:rPr>
          <w:rFonts w:cs="Times New Roman"/>
        </w:rPr>
        <w:t xml:space="preserve">MNIR </w:t>
      </w:r>
      <w:r w:rsidRPr="00706F03">
        <w:rPr>
          <w:rFonts w:cs="Times New Roman"/>
        </w:rPr>
        <w:t>未能提供額外分類</w:t>
      </w:r>
      <w:r w:rsidRPr="00706F03">
        <w:rPr>
          <w:rFonts w:cs="Times New Roman"/>
        </w:rPr>
        <w:lastRenderedPageBreak/>
        <w:t>增益。</w:t>
      </w:r>
      <w:r w:rsidR="00CE420E" w:rsidRPr="00706F03">
        <w:rPr>
          <w:rFonts w:cs="Times New Roman"/>
        </w:rPr>
        <w:t>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548ACE07">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lastRenderedPageBreak/>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可形成一套可執行的智慧財產權判決文本分類流程；然而，在本研究資料、文字特徵設定與參數範圍下，</w:t>
      </w:r>
      <w:r w:rsidRPr="00706F03">
        <w:rPr>
          <w:rFonts w:cs="Times New Roman"/>
        </w:rPr>
        <w:t xml:space="preserve">MNIR </w:t>
      </w:r>
      <w:r w:rsidRPr="00706F03">
        <w:rPr>
          <w:rFonts w:cs="Times New Roman"/>
        </w:rPr>
        <w:t>未能提供額外分類增益。</w:t>
      </w:r>
    </w:p>
    <w:p w14:paraId="51928CDB" w14:textId="77777777"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。在本研究資料、文字特徵設定與參數範圍下，</w:t>
      </w:r>
      <w:r w:rsidRPr="00706F03">
        <w:rPr>
          <w:rFonts w:cs="Times New Roman"/>
          <w:szCs w:val="28"/>
        </w:rPr>
        <w:t xml:space="preserve">MNIR </w:t>
      </w:r>
      <w:r w:rsidRPr="00706F03">
        <w:rPr>
          <w:rFonts w:cs="Times New Roman"/>
          <w:szCs w:val="28"/>
        </w:rPr>
        <w:t>未能提供額外分類增益。相對地，卡方篩選後的高維稀疏詞彙特徵仍具有重要分類價值。因此，本研究對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w:t>
      </w:r>
      <w:r w:rsidRPr="00706F03">
        <w:rPr>
          <w:rFonts w:cs="Times New Roman"/>
          <w:szCs w:val="28"/>
        </w:rPr>
        <w:lastRenderedPageBreak/>
        <w:t>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w:t>
      </w:r>
      <w:r w:rsidR="00F42D9E">
        <w:t>其次，本研究於資料集劃分前建立</w:t>
      </w:r>
      <w:r w:rsidR="00F42D9E">
        <w:t>BoW</w:t>
      </w:r>
      <w:r w:rsidR="00F42D9E">
        <w:t>、</w:t>
      </w:r>
      <w:r w:rsidR="00F42D9E">
        <w:t>TF</w:t>
      </w:r>
      <w:r w:rsidR="00F42D9E">
        <w:t>與</w:t>
      </w:r>
      <w:r w:rsidR="00F42D9E">
        <w:t>TF-IDF</w:t>
      </w:r>
      <w:r w:rsidR="00F42D9E">
        <w:t>之文件－詞項矩陣，因此</w:t>
      </w:r>
      <w:r w:rsidR="00F42D9E">
        <w:t>BoW</w:t>
      </w:r>
      <w:r w:rsidR="00F42D9E">
        <w:t>與</w:t>
      </w:r>
      <w:r w:rsidR="00F42D9E">
        <w:t>TF</w:t>
      </w:r>
      <w:r w:rsidR="00F42D9E">
        <w:t>之詞彙表，以及</w:t>
      </w:r>
      <w:r w:rsidR="00F42D9E">
        <w:t>TF-IDF</w:t>
      </w:r>
      <w:r w:rsidR="00F42D9E">
        <w:t>之詞彙表與</w:t>
      </w:r>
      <w:r w:rsidR="00F42D9E">
        <w:t>IDF</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w:t>
      </w:r>
      <w:r w:rsidRPr="00FF462F">
        <w:rPr>
          <w:rFonts w:cs="Times New Roman" w:hint="eastAsia"/>
          <w:szCs w:val="28"/>
        </w:rPr>
        <w:t>Chi-square + MNIR + SVM</w:t>
      </w:r>
      <w:r w:rsidRPr="00FF462F">
        <w:rPr>
          <w:rFonts w:cs="Times New Roman" w:hint="eastAsia"/>
          <w:szCs w:val="28"/>
        </w:rPr>
        <w:t>與</w:t>
      </w:r>
      <w:r w:rsidRPr="00FF462F">
        <w:rPr>
          <w:rFonts w:cs="Times New Roman" w:hint="eastAsia"/>
          <w:szCs w:val="28"/>
        </w:rPr>
        <w:t>Chi-square + SVM</w:t>
      </w:r>
      <w:r w:rsidRPr="00FF462F">
        <w:rPr>
          <w:rFonts w:cs="Times New Roman" w:hint="eastAsia"/>
          <w:szCs w:val="28"/>
        </w:rPr>
        <w:t>皆使用一致的資料切分與特徵建構方式，因此此一問題較不致改變兩種模型流程之相對比較方向。然而，不同文字特徵表示受到此問題影響的程度可能並不完全一</w:t>
      </w:r>
      <w:r w:rsidRPr="00FF462F">
        <w:rPr>
          <w:rFonts w:cs="Times New Roman" w:hint="eastAsia"/>
          <w:szCs w:val="28"/>
        </w:rPr>
        <w:lastRenderedPageBreak/>
        <w:t>致，尤其</w:t>
      </w:r>
      <w:r w:rsidRPr="00FF462F">
        <w:rPr>
          <w:rFonts w:cs="Times New Roman" w:hint="eastAsia"/>
          <w:szCs w:val="28"/>
        </w:rPr>
        <w:t>TF-IDF</w:t>
      </w:r>
      <w:r w:rsidRPr="00FF462F">
        <w:rPr>
          <w:rFonts w:cs="Times New Roman" w:hint="eastAsia"/>
          <w:szCs w:val="28"/>
        </w:rPr>
        <w:t>之</w:t>
      </w:r>
      <w:r w:rsidRPr="00FF462F">
        <w:rPr>
          <w:rFonts w:cs="Times New Roman" w:hint="eastAsia"/>
          <w:szCs w:val="28"/>
        </w:rPr>
        <w:t>IDF</w:t>
      </w:r>
      <w:r w:rsidRPr="00FF462F">
        <w:rPr>
          <w:rFonts w:cs="Times New Roman" w:hint="eastAsia"/>
          <w:szCs w:val="28"/>
        </w:rPr>
        <w:t>權重係依全部文件之文件頻率計算，因此本研究無法排除</w:t>
      </w:r>
      <w:r w:rsidRPr="00FF462F">
        <w:rPr>
          <w:rFonts w:cs="Times New Roman" w:hint="eastAsia"/>
          <w:szCs w:val="28"/>
        </w:rPr>
        <w:t>BoW</w:t>
      </w:r>
      <w:r w:rsidRPr="00FF462F">
        <w:rPr>
          <w:rFonts w:cs="Times New Roman" w:hint="eastAsia"/>
          <w:szCs w:val="28"/>
        </w:rPr>
        <w:t>、</w:t>
      </w:r>
      <w:r w:rsidRPr="00FF462F">
        <w:rPr>
          <w:rFonts w:cs="Times New Roman" w:hint="eastAsia"/>
          <w:szCs w:val="28"/>
        </w:rPr>
        <w:t>TF</w:t>
      </w:r>
      <w:r w:rsidRPr="00FF462F">
        <w:rPr>
          <w:rFonts w:cs="Times New Roman" w:hint="eastAsia"/>
          <w:szCs w:val="28"/>
        </w:rPr>
        <w:t>與</w:t>
      </w:r>
      <w:r w:rsidRPr="00FF462F">
        <w:rPr>
          <w:rFonts w:cs="Times New Roman" w:hint="eastAsia"/>
          <w:szCs w:val="28"/>
        </w:rPr>
        <w:t>TF-IDF</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IDF</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Lose</w:t>
      </w:r>
      <w:r w:rsidRPr="00D32995">
        <w:rPr>
          <w:rFonts w:cs="Times New Roman"/>
          <w:szCs w:val="28"/>
        </w:rPr>
        <w:t>、</w:t>
      </w:r>
      <w:r w:rsidRPr="00D32995">
        <w:rPr>
          <w:rFonts w:cs="Times New Roman"/>
          <w:szCs w:val="28"/>
        </w:rPr>
        <w:t>Mixed</w:t>
      </w:r>
      <w:r w:rsidRPr="00D32995">
        <w:rPr>
          <w:rFonts w:cs="Times New Roman"/>
          <w:szCs w:val="28"/>
        </w:rPr>
        <w:t>與</w:t>
      </w:r>
      <w:r w:rsidRPr="00D32995">
        <w:rPr>
          <w:rFonts w:cs="Times New Roman"/>
          <w:szCs w:val="28"/>
        </w:rPr>
        <w:t>Win</w:t>
      </w:r>
      <w:r w:rsidRPr="00D32995">
        <w:rPr>
          <w:rFonts w:cs="Times New Roman"/>
          <w:szCs w:val="28"/>
        </w:rPr>
        <w:t>三類。然而，</w:t>
      </w:r>
      <w:r w:rsidRPr="00D32995">
        <w:rPr>
          <w:rFonts w:cs="Times New Roman"/>
          <w:szCs w:val="28"/>
        </w:rPr>
        <w:t>Mixed</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Mixed</w:t>
      </w:r>
      <w:r w:rsidRPr="00D32995">
        <w:rPr>
          <w:rFonts w:cs="Times New Roman"/>
          <w:szCs w:val="28"/>
        </w:rPr>
        <w:t>，但其法律意義與文本特徵未必一致，因此可能具有較高的類別內異質性。模型對</w:t>
      </w:r>
      <w:r w:rsidRPr="00D32995">
        <w:rPr>
          <w:rFonts w:cs="Times New Roman"/>
          <w:szCs w:val="28"/>
        </w:rPr>
        <w:t>Mixed</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w:t>
      </w:r>
      <w:r w:rsidRPr="00706F03">
        <w:rPr>
          <w:rFonts w:cs="Times New Roman"/>
          <w:szCs w:val="28"/>
        </w:rPr>
        <w:lastRenderedPageBreak/>
        <w:t>特定理由段落進行分析。這表示文本中仍可能保留部分間接結果線索。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BoW</w:t>
      </w:r>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r w:rsidRPr="00C10485">
        <w:rPr>
          <w:rFonts w:cs="Times New Roman" w:hint="eastAsia"/>
          <w:szCs w:val="28"/>
        </w:rPr>
        <w:t>BoW</w:t>
      </w:r>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。在本研究資料、文字特徵設定與參數範圍下，</w:t>
      </w:r>
      <w:r w:rsidRPr="00706F03">
        <w:rPr>
          <w:rFonts w:cs="Times New Roman"/>
          <w:szCs w:val="28"/>
        </w:rPr>
        <w:t xml:space="preserve">MNIR </w:t>
      </w:r>
      <w:r w:rsidRPr="00706F03">
        <w:rPr>
          <w:rFonts w:cs="Times New Roman"/>
          <w:szCs w:val="28"/>
        </w:rPr>
        <w:t>未能提供額外分類增益。此結果應限縮理解為：在本研究已先透過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AF6D319"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hint="eastAsia"/>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w:t>
      </w:r>
      <w:r w:rsidRPr="00706F03">
        <w:rPr>
          <w:rFonts w:cs="Times New Roman"/>
          <w:szCs w:val="28"/>
        </w:rPr>
        <w:lastRenderedPageBreak/>
        <w:t>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2025b</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https://www.judicial.gov.tw/tw/cp-165-29-b955a-1.html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5"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6"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7"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8" w:history="1">
        <w:r w:rsidRPr="00706F03">
          <w:rPr>
            <w:rStyle w:val="Hyperlink"/>
            <w:rFonts w:cs="Times New Roman"/>
            <w:color w:val="auto"/>
          </w:rPr>
          <w:t>https://doi.org/10.1016/j.knosys.2021.107960</w:t>
        </w:r>
      </w:hyperlink>
    </w:p>
    <w:sectPr w:rsidR="004C1AE9" w:rsidRPr="00706F03" w:rsidSect="0004071A">
      <w:headerReference w:type="even" r:id="rId49"/>
      <w:headerReference w:type="default" r:id="rId50"/>
      <w:headerReference w:type="first" r:id="rId51"/>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D125E2" w14:textId="77777777" w:rsidR="00701A38" w:rsidRDefault="00701A38" w:rsidP="00204DC5">
      <w:pPr>
        <w:spacing w:after="0" w:line="240" w:lineRule="auto"/>
      </w:pPr>
      <w:r>
        <w:separator/>
      </w:r>
    </w:p>
  </w:endnote>
  <w:endnote w:type="continuationSeparator" w:id="0">
    <w:p w14:paraId="3E18DAD4" w14:textId="77777777" w:rsidR="00701A38" w:rsidRDefault="00701A38"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6C5CE2" w14:textId="77777777" w:rsidR="00701A38" w:rsidRDefault="00701A38" w:rsidP="00204DC5">
      <w:pPr>
        <w:spacing w:after="0" w:line="240" w:lineRule="auto"/>
      </w:pPr>
      <w:r>
        <w:separator/>
      </w:r>
    </w:p>
  </w:footnote>
  <w:footnote w:type="continuationSeparator" w:id="0">
    <w:p w14:paraId="7F87DF38" w14:textId="77777777" w:rsidR="00701A38" w:rsidRDefault="00701A38"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701A38">
    <w:pPr>
      <w:pStyle w:val="Header"/>
    </w:pPr>
    <w:r>
      <w:rPr>
        <w:noProof/>
      </w:rPr>
      <w:pict w14:anchorId="245D88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701A38">
    <w:pPr>
      <w:pStyle w:val="Header"/>
    </w:pPr>
    <w:r>
      <w:rPr>
        <w:noProof/>
      </w:rPr>
      <w:pict w14:anchorId="0F4CEC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701A38">
    <w:pPr>
      <w:pStyle w:val="Header"/>
    </w:pPr>
    <w:r>
      <w:rPr>
        <w:noProof/>
      </w:rPr>
      <w:pict w14:anchorId="6BE0A8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8653/v1/2025.emnlp-main.179"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doi.org/10.1145/2018358.201837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016/j.knosys.2021.107960" TargetMode="Externa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73</Pages>
  <Words>11407</Words>
  <Characters>65025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51</cp:revision>
  <cp:lastPrinted>2026-06-16T12:21:00Z</cp:lastPrinted>
  <dcterms:created xsi:type="dcterms:W3CDTF">2026-07-04T13:22:00Z</dcterms:created>
  <dcterms:modified xsi:type="dcterms:W3CDTF">2026-07-15T12:22:00Z</dcterms:modified>
</cp:coreProperties>
</file>