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w:t>
      </w:r>
      <w:r w:rsidR="004030AC" w:rsidRPr="00706F03">
        <w:rPr>
          <w:rFonts w:cs="Times New Roman"/>
          <w:szCs w:val="28"/>
        </w:rPr>
        <w:t>+</w:t>
      </w:r>
      <w:r w:rsidRPr="00706F03">
        <w:rPr>
          <w:rFonts w:cs="Times New Roman"/>
          <w:szCs w:val="28"/>
        </w:rPr>
        <w:t> 多項</w:t>
      </w:r>
      <w:r w:rsidR="00961BBF" w:rsidRPr="00706F03">
        <w:rPr>
          <w:rFonts w:cs="Times New Roman"/>
          <w:szCs w:val="28"/>
        </w:rPr>
        <w:t>式</w:t>
      </w:r>
      <w:r w:rsidRPr="00706F03">
        <w:rPr>
          <w:rFonts w:cs="Times New Roman"/>
          <w:szCs w:val="28"/>
        </w:rPr>
        <w:t>逆迴</w:t>
      </w:r>
      <w:r w:rsidRPr="00706F03">
        <w:rPr>
          <w:rFonts w:cs="Times New Roman"/>
          <w:szCs w:val="28"/>
        </w:rPr>
        <w:t>歸（Multinomial Inverse Regression, MN</w:t>
      </w:r>
      <w:r w:rsidRPr="00706F03">
        <w:rPr>
          <w:rFonts w:cs="Times New Roman"/>
          <w:szCs w:val="28"/>
        </w:rPr>
        <w:t>I</w:t>
      </w:r>
      <w:r w:rsidR="004030AC" w:rsidRPr="00706F03">
        <w:rPr>
          <w:rFonts w:cs="Times New Roman"/>
          <w:szCs w:val="28"/>
        </w:rPr>
        <w:t>R</w:t>
      </w:r>
      <w:r w:rsidR="004030AC" w:rsidRPr="00706F03">
        <w:rPr>
          <w:rFonts w:cs="Times New Roman"/>
          <w:szCs w:val="28"/>
        </w:rPr>
        <w:t>）</w:t>
      </w:r>
      <w:r w:rsidRPr="00706F03">
        <w:rPr>
          <w:rFonts w:cs="Times New Roman"/>
          <w:szCs w:val="28"/>
        </w:rPr>
        <w:t> + 支持</w:t>
      </w:r>
      <w:r w:rsidRPr="00706F03">
        <w:rPr>
          <w:rFonts w:cs="Times New Roman"/>
          <w:szCs w:val="28"/>
        </w:rPr>
        <w:t>向量機（Sup</w:t>
      </w:r>
      <w:r w:rsidR="00525936" w:rsidRPr="00706F03">
        <w:rPr>
          <w:rFonts w:cs="Times New Roman"/>
          <w:szCs w:val="28"/>
        </w:rPr>
        <w:t>p</w:t>
      </w:r>
      <w:r w:rsidRPr="00706F03">
        <w:rPr>
          <w:rFonts w:cs="Times New Roman"/>
          <w:szCs w:val="28"/>
        </w:rPr>
        <w:t>o</w:t>
      </w:r>
      <w:r w:rsidR="004030AC" w:rsidRPr="00706F03">
        <w:rPr>
          <w:rFonts w:cs="Times New Roman"/>
          <w:szCs w:val="28"/>
        </w:rPr>
        <w:t>r</w:t>
      </w:r>
      <w:r w:rsidRPr="00706F03">
        <w:rPr>
          <w:rFonts w:cs="Times New Roman"/>
          <w:szCs w:val="28"/>
        </w:rPr>
        <w:t>t Vec</w:t>
      </w:r>
      <w:r w:rsidR="00525936" w:rsidRPr="00706F03">
        <w:rPr>
          <w:rFonts w:cs="Times New Roman"/>
          <w:szCs w:val="28"/>
        </w:rPr>
        <w:t>t</w:t>
      </w:r>
      <w:r w:rsidRPr="00706F03">
        <w:rPr>
          <w:rFonts w:cs="Times New Roman"/>
          <w:szCs w:val="28"/>
        </w:rPr>
        <w:t>or Machine</w:t>
      </w:r>
      <w:r w:rsidRPr="00706F03">
        <w:rPr>
          <w:rFonts w:cs="Times New Roman"/>
          <w:szCs w:val="28"/>
        </w:rPr>
        <w:t>, SVM）與卡</w:t>
      </w:r>
      <w:r w:rsidRPr="00706F03">
        <w:rPr>
          <w:rFonts w:cs="Times New Roman"/>
          <w:szCs w:val="28"/>
        </w:rPr>
        <w:t xml:space="preserve">方特徵選擇 +</w:t>
      </w:r>
      <w:r w:rsidRPr="00706F03">
        <w:rPr>
          <w:rFonts w:cs="Times New Roman"/>
          <w:szCs w:val="28"/>
        </w:rPr>
        <w:t> SVM 兩種流</w:t>
      </w:r>
      <w:r w:rsidRPr="00706F03">
        <w:rPr>
          <w:rFonts w:cs="Times New Roman"/>
          <w:szCs w:val="28"/>
        </w:rPr>
        <w:t xml:space="preserve">程，以檢驗 </w:t>
      </w:r>
      <w:r w:rsidRPr="00706F03">
        <w:rPr>
          <w:rFonts w:cs="Times New Roman"/>
          <w:szCs w:val="28"/>
        </w:rPr>
        <w:t>MNIR 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w:t>
      </w:r>
      <w:r w:rsidR="00832F63" w:rsidRPr="00706F03">
        <w:rPr>
          <w:rFonts w:cs="Times New Roman" w:hint="eastAsia"/>
          <w:szCs w:val="28"/>
        </w:rPr>
        <w:t>SVM</w:t>
      </w:r>
      <w:r w:rsidR="00832F63" w:rsidRPr="00706F03">
        <w:rPr>
          <w:rFonts w:cs="Times New Roman" w:hint="eastAsia"/>
          <w:szCs w:val="28"/>
        </w:rPr>
        <w:t>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w:t>
      </w:r>
      <w:r w:rsidRPr="00706F03">
        <w:rPr>
          <w:rFonts w:cs="Times New Roman"/>
          <w:szCs w:val="28"/>
        </w:rPr>
        <w:lastRenderedPageBreak/>
        <w:t>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SVM</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Ch</w:t>
      </w:r>
      <w:r w:rsidR="001E5412" w:rsidRPr="00706F03">
        <w:rPr>
          <w:rFonts w:cs="Times New Roman" w:hint="eastAsia"/>
          <w:szCs w:val="28"/>
        </w:rPr>
        <w:t xml:space="preserve">i-square + MNIR + SVM </w:t>
      </w:r>
      <w:r w:rsidR="001E5412"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BoW</w:t>
      </w:r>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2024</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方法（s</w:t>
      </w:r>
      <w:r w:rsidR="00377F68" w:rsidRPr="00706F03">
        <w:rPr>
          <w:rFonts w:cs="Times New Roman"/>
        </w:rPr>
        <w:t xml:space="preserve">ciki</w:t>
      </w:r>
      <w:r w:rsidR="00377F68" w:rsidRPr="00706F03">
        <w:rPr>
          <w:rFonts w:cs="Times New Roman"/>
        </w:rPr>
        <w:t>t</w:t>
      </w:r>
      <w:r w:rsidR="00377F68" w:rsidRPr="00706F03">
        <w:rPr>
          <w:rFonts w:cs="Times New Roman"/>
        </w:rPr>
        <w:t xml:space="preserve">-le</w:t>
      </w:r>
      <w:r w:rsidR="00377F68" w:rsidRPr="00706F03">
        <w:rPr>
          <w:rFonts w:cs="Times New Roman"/>
        </w:rPr>
        <w:t>a</w:t>
      </w:r>
      <w:r w:rsidR="00377F68" w:rsidRPr="00706F03">
        <w:rPr>
          <w:rFonts w:cs="Times New Roman"/>
        </w:rPr>
        <w:t xml:space="preserve">rn devel</w:t>
      </w:r>
      <w:r w:rsidR="00377F68" w:rsidRPr="00706F03">
        <w:rPr>
          <w:rFonts w:cs="Times New Roman"/>
        </w:rPr>
        <w:t>opers, n.d.-a），對 BoW、TF 與 TF-IDF 等非負文字特徵</w:t>
      </w:r>
      <w:r w:rsidR="00377F68" w:rsidRPr="00706F03">
        <w:rPr>
          <w:rFonts w:cs="Times New Roman"/>
        </w:rPr>
        <w:t xml:space="preserve">計算其</w:t>
      </w:r>
      <w:r w:rsidR="00377F68" w:rsidRPr="00706F03">
        <w:rPr>
          <w:rFonts w:cs="Times New Roman"/>
        </w:rPr>
        <w:t>與裁判結果</w:t>
      </w:r>
      <w:r w:rsidRPr="00706F03">
        <w:rPr>
          <w:rFonts w:cs="Times New Roman"/>
        </w:rPr>
        <w:t>標籤之關聯程度，並依卡方統計量由高至低排序，選取前 K 個詞彙特徵。</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BoW</w:t>
      </w:r>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W</w:t>
      </w:r>
      <m:oMath>
        <m:r>
          <w:rPr>
            <w:rFonts w:ascii="Cambria Math" w:hAnsi="Cambria Math" w:cs="Times New Roman"/>
            <w:szCs w:val="28"/>
          </w:rPr>
          <m:t>c</m:t>
        </m:r>
      </m:oMath>
      <w:r w:rsidRPr="00706F03">
        <w:rPr>
          <w:rFonts w:cs="Times New Roman"/>
          <w:szCs w:val="28"/>
        </w:rPr>
        <w:t>in</w:t>
      </w:r>
      <w:r w:rsidRPr="00706F03">
        <w:rPr>
          <w:rFonts w:cs="Times New Roman"/>
          <w:szCs w:val="28"/>
        </w:rPr>
        <w:t>作為目標類別，則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Lose</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lastRenderedPageBreak/>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MNIR</w:t>
      </w:r>
      <w:r w:rsidRPr="009A1188">
        <w:rPr>
          <w:rFonts w:cs="Times New Roman" w:hint="eastAsia"/>
          <w:szCs w:val="28"/>
        </w:rPr>
        <w:t>模型估計、</w:t>
      </w:r>
      <w:r w:rsidRPr="009A1188">
        <w:rPr>
          <w:rFonts w:cs="Times New Roman" w:hint="eastAsia"/>
          <w:szCs w:val="28"/>
        </w:rPr>
        <w:t>SVM</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BoW</w:t>
      </w:r>
      <w:r w:rsidRPr="009A1188">
        <w:rPr>
          <w:rFonts w:cs="Times New Roman" w:hint="eastAsia"/>
          <w:szCs w:val="28"/>
        </w:rPr>
        <w:t>與</w:t>
      </w:r>
      <w:r w:rsidRPr="009A1188">
        <w:rPr>
          <w:rFonts w:cs="Times New Roman" w:hint="eastAsia"/>
          <w:szCs w:val="28"/>
        </w:rPr>
        <w:t>TF</w:t>
      </w:r>
      <w:r w:rsidRPr="009A1188">
        <w:rPr>
          <w:rFonts w:cs="Times New Roman" w:hint="eastAsia"/>
          <w:szCs w:val="28"/>
        </w:rPr>
        <w:t>之詞彙表，以及</w:t>
      </w:r>
      <w:r w:rsidRPr="009A1188">
        <w:rPr>
          <w:rFonts w:cs="Times New Roman" w:hint="eastAsia"/>
          <w:szCs w:val="28"/>
        </w:rPr>
        <w:t>TF-IDF</w:t>
      </w:r>
      <w:r w:rsidRPr="009A1188">
        <w:rPr>
          <w:rFonts w:cs="Times New Roman" w:hint="eastAsia"/>
          <w:szCs w:val="28"/>
        </w:rPr>
        <w:t>之詞彙表與</w:t>
      </w:r>
      <w:r w:rsidRPr="009A1188">
        <w:rPr>
          <w:rFonts w:cs="Times New Roman" w:hint="eastAsia"/>
          <w:szCs w:val="28"/>
        </w:rPr>
        <w:t>IDF</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MNIR</w:t>
      </w:r>
      <w:r w:rsidRPr="009A1188">
        <w:rPr>
          <w:rFonts w:cs="Times New Roman" w:hint="eastAsia"/>
          <w:szCs w:val="28"/>
        </w:rPr>
        <w:t>特徵轉換、</w:t>
      </w:r>
      <w:r w:rsidRPr="009A1188">
        <w:rPr>
          <w:rFonts w:cs="Times New Roman" w:hint="eastAsia"/>
          <w:szCs w:val="28"/>
        </w:rPr>
        <w:t>SVM</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szCs w:val="28"/>
        </w:rPr>
      </w:pPr>
      <w:r w:rsidRPr="009A1188">
        <w:rPr>
          <w:rFonts w:cs="Times New Roman" w:hint="eastAsia"/>
          <w:szCs w:val="28"/>
        </w:rPr>
        <w:t>由於在相同文字特徵表示下，</w:t>
      </w:r>
      <w:r w:rsidRPr="009A1188">
        <w:rPr>
          <w:rFonts w:cs="Times New Roman" w:hint="eastAsia"/>
          <w:szCs w:val="28"/>
        </w:rPr>
        <w:t>Chi-square + MNIR + SVM</w:t>
      </w:r>
      <w:r w:rsidRPr="009A1188">
        <w:rPr>
          <w:rFonts w:cs="Times New Roman" w:hint="eastAsia"/>
          <w:szCs w:val="28"/>
        </w:rPr>
        <w:t>與</w:t>
      </w:r>
      <w:r w:rsidRPr="009A1188">
        <w:rPr>
          <w:rFonts w:cs="Times New Roman" w:hint="eastAsia"/>
          <w:szCs w:val="28"/>
        </w:rPr>
        <w:t>Chi-square + SVM</w:t>
      </w:r>
      <w:r w:rsidRPr="009A1188">
        <w:rPr>
          <w:rFonts w:cs="Times New Roman" w:hint="eastAsia"/>
          <w:szCs w:val="28"/>
        </w:rPr>
        <w:t>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TF</w:t>
      </w:r>
      <w:r w:rsidRPr="009A1188">
        <w:rPr>
          <w:rFonts w:cs="Times New Roman" w:hint="eastAsia"/>
          <w:szCs w:val="28"/>
        </w:rPr>
        <w:t>與</w:t>
      </w:r>
      <w:r w:rsidRPr="009A1188">
        <w:rPr>
          <w:rFonts w:cs="Times New Roman" w:hint="eastAsia"/>
          <w:szCs w:val="28"/>
        </w:rPr>
        <w:t>TF-IDF</w:t>
      </w:r>
      <w:r w:rsidRPr="009A1188">
        <w:rPr>
          <w:rFonts w:cs="Times New Roman" w:hint="eastAsia"/>
          <w:szCs w:val="28"/>
        </w:rPr>
        <w:t>之特徵建構方式並不完全相同，其中</w:t>
      </w:r>
      <w:r w:rsidRPr="009A1188">
        <w:rPr>
          <w:rFonts w:cs="Times New Roman" w:hint="eastAsia"/>
          <w:szCs w:val="28"/>
        </w:rPr>
        <w:t>TF-IDF</w:t>
      </w:r>
      <w:r w:rsidRPr="009A1188">
        <w:rPr>
          <w:rFonts w:cs="Times New Roman" w:hint="eastAsia"/>
          <w:szCs w:val="28"/>
        </w:rPr>
        <w:t>之</w:t>
      </w:r>
      <w:r w:rsidRPr="009A1188">
        <w:rPr>
          <w:rFonts w:cs="Times New Roman" w:hint="eastAsia"/>
          <w:szCs w:val="28"/>
        </w:rPr>
        <w:t>IDF</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BoW</w:t>
      </w:r>
      <w:r w:rsidRPr="009A1188">
        <w:rPr>
          <w:rFonts w:cs="Times New Roman" w:hint="eastAsia"/>
          <w:szCs w:val="28"/>
        </w:rPr>
        <w:t>、</w:t>
      </w:r>
      <w:r w:rsidRPr="009A1188">
        <w:rPr>
          <w:rFonts w:cs="Times New Roman" w:hint="eastAsia"/>
          <w:szCs w:val="28"/>
        </w:rPr>
        <w:t>TF</w:t>
      </w:r>
      <w:r w:rsidRPr="009A1188">
        <w:rPr>
          <w:rFonts w:cs="Times New Roman" w:hint="eastAsia"/>
          <w:szCs w:val="28"/>
        </w:rPr>
        <w:t>與</w:t>
      </w:r>
      <w:r w:rsidRPr="009A1188">
        <w:rPr>
          <w:rFonts w:cs="Times New Roman" w:hint="eastAsia"/>
          <w:szCs w:val="28"/>
        </w:rPr>
        <w:t>TF-IDF</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w:t>
      </w:r>
      <w:r w:rsidRPr="009A1188">
        <w:rPr>
          <w:rFonts w:cs="Times New Roman" w:hint="eastAsia"/>
          <w:szCs w:val="28"/>
        </w:rPr>
        <w:t>Chi-square + MNIR + SVM</w:t>
      </w:r>
      <w:r w:rsidRPr="009A1188">
        <w:rPr>
          <w:rFonts w:cs="Times New Roman" w:hint="eastAsia"/>
          <w:szCs w:val="28"/>
        </w:rPr>
        <w:t>與</w:t>
      </w:r>
      <w:r w:rsidRPr="009A1188">
        <w:rPr>
          <w:rFonts w:cs="Times New Roman" w:hint="eastAsia"/>
          <w:szCs w:val="28"/>
        </w:rPr>
        <w:t>Chi-square + SVM</w:t>
      </w:r>
      <w:r w:rsidRPr="009A1188">
        <w:rPr>
          <w:rFonts w:cs="Times New Roman" w:hint="eastAsia"/>
          <w:szCs w:val="28"/>
        </w:rPr>
        <w:t>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w:t>
      </w:r>
      <w:r w:rsidRPr="00706F03">
        <w:rPr>
          <w:rFonts w:cs="Times New Roman"/>
          <w:szCs w:val="28"/>
        </w:rPr>
        <w:lastRenderedPageBreak/>
        <w:t>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w:t>
      </w:r>
      <w:r w:rsidRPr="00706F03">
        <w:rPr>
          <w:rFonts w:cs="Times New Roman"/>
        </w:rPr>
        <w:t xml:space="preserve">Chi-square + SVM </w:t>
      </w:r>
      <w:r w:rsidRPr="00706F03">
        <w:rPr>
          <w:rFonts w:cs="Times New Roman"/>
        </w:rPr>
        <w:t>對比</w:t>
      </w:r>
      <w:r w:rsidRPr="00706F03">
        <w:rPr>
          <w:rFonts w:cs="Times New Roman"/>
        </w:rPr>
        <w:t xml:space="preserve"> Chi-square + MNIR + SVM </w:t>
      </w:r>
      <w:r w:rsidRPr="00706F03">
        <w:rPr>
          <w:rFonts w:cs="Times New Roman"/>
        </w:rPr>
        <w:t>取得較佳分類表現。在本研究資料、文字特徵設定與參數範圍下，</w:t>
      </w:r>
      <w:r w:rsidRPr="00706F03">
        <w:rPr>
          <w:rFonts w:cs="Times New Roman"/>
        </w:rPr>
        <w:t xml:space="preserve">MNIR </w:t>
      </w:r>
      <w:r w:rsidRPr="00706F03">
        <w:rPr>
          <w:rFonts w:cs="Times New Roman"/>
        </w:rPr>
        <w:t>未能提供額外分類</w:t>
      </w:r>
      <w:r w:rsidRPr="00706F03">
        <w:rPr>
          <w:rFonts w:cs="Times New Roman"/>
        </w:rPr>
        <w:lastRenderedPageBreak/>
        <w:t>增益。</w:t>
      </w:r>
      <w:r w:rsidR="00CE420E" w:rsidRPr="00706F03">
        <w:rPr>
          <w:rFonts w:cs="Times New Roman"/>
        </w:rPr>
        <w:t>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3F188F07">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lastRenderedPageBreak/>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可形成一套可執行的智慧財產權判決文本分類流程；然而，在本研究資料、文字特徵設定與參數範圍下，</w:t>
      </w:r>
      <w:r w:rsidRPr="00706F03">
        <w:rPr>
          <w:rFonts w:cs="Times New Roman"/>
        </w:rPr>
        <w:t xml:space="preserve">MNIR </w:t>
      </w:r>
      <w:r w:rsidRPr="00706F03">
        <w:rPr>
          <w:rFonts w:cs="Times New Roman"/>
        </w:rPr>
        <w:t>未能提供額外分類增益。</w:t>
      </w:r>
    </w:p>
    <w:p w14:paraId="51928CDB" w14:textId="77777777"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366CA0D8"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。在本研究資料、文字特徵設定與參數範圍下，</w:t>
      </w:r>
      <w:r w:rsidRPr="00706F03">
        <w:rPr>
          <w:rFonts w:cs="Times New Roman"/>
          <w:szCs w:val="28"/>
        </w:rPr>
        <w:t xml:space="preserve">MNIR </w:t>
      </w:r>
      <w:r w:rsidRPr="00706F03">
        <w:rPr>
          <w:rFonts w:cs="Times New Roman"/>
          <w:szCs w:val="28"/>
        </w:rPr>
        <w:t>未能提供額外分類增益。</w:t>
      </w:r>
      <w:r w:rsidR="00191768" w:rsidRPr="00191768">
        <w:rPr>
          <w:rFonts w:cs="Times New Roman"/>
          <w:szCs w:val="28"/>
        </w:rPr>
        <w:t>相對地，卡方篩選後的高維稀疏詞彙特徵仍具有重要分類價值。此一結果進一步顯示，在法律長文本分類情境下，經特徵篩選後之傳統稀疏文字特徵仍具有重要基準價值，不一定需透過額外的監督式降維，才能獲得較佳的分類效果。換言之，當法律文本中的分類訊號分散於多個法律用語、程序用語、請求類型與裁判理由詞彙時，保留經篩選後的高維稀疏特徵，可能有助於維持較完整的分類資訊。因此，本研究不僅對</w:t>
      </w:r>
      <w:r w:rsidR="00191768" w:rsidRPr="00191768">
        <w:rPr>
          <w:rFonts w:cs="Times New Roman"/>
          <w:szCs w:val="28"/>
        </w:rPr>
        <w:t>MNIR</w:t>
      </w:r>
      <w:r w:rsidR="00191768" w:rsidRPr="00191768">
        <w:rPr>
          <w:rFonts w:cs="Times New Roman"/>
          <w:szCs w:val="28"/>
        </w:rPr>
        <w:t>在中文智慧財產權判決文本分類中的適用條件與限制提供具體經驗證據，也說明較複雜的特徵轉換或額外降維，並不必然帶來較佳的法律文本分類效果。</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6A853A94" w:rsidR="002E2F39" w:rsidRPr="00706F03" w:rsidRDefault="00E9799B" w:rsidP="002E2F39">
      <w:pPr>
        <w:widowControl/>
        <w:spacing w:line="276" w:lineRule="auto"/>
        <w:rPr>
          <w:rFonts w:cs="Times New Roman" w:hint="eastAsia"/>
          <w:szCs w:val="28"/>
        </w:rPr>
      </w:pPr>
      <w:r w:rsidRPr="00E9799B">
        <w:rPr>
          <w:rFonts w:cs="Times New Roman"/>
          <w:szCs w:val="28"/>
        </w:rPr>
        <w:t>第三，在實務貢獻方面，本研究可作為智慧財產權裁判書分類與初步案件分析之參考。公開裁判書數量龐大，若完全仰賴人工閱讀與標記，將耗費大量時間與人力。本研究建立之分類流程，可協助研究者或實務工作者對大量智慧財產權裁判書進行初步分類與整理，並掌握不同案件類型與裁判結果之分布。此外，模型所建立之文字特徵與分類結果，亦可作為類案檢索、研究樣本篩選、後續人工審查及法律科技系統開發之輔助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5B6842E5" w:rsidR="00704996" w:rsidRPr="00706F03" w:rsidRDefault="00E9799B" w:rsidP="007B138D">
      <w:pPr>
        <w:widowControl/>
        <w:spacing w:line="276" w:lineRule="auto"/>
        <w:rPr>
          <w:rFonts w:cs="Times New Roman"/>
          <w:szCs w:val="28"/>
        </w:rPr>
      </w:pPr>
      <w:r w:rsidRPr="00E9799B">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裁判書分類、類案檢索、初步案件分析、研究樣本整理及法律科技系統開發之輔助工具，不宜直接作為司法裁判、個案勝敗判斷或法律決策之依據。</w:t>
      </w:r>
    </w:p>
    <w:p w14:paraId="130A9FD5" w14:textId="47CD9C92"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w:t>
      </w:r>
      <w:r w:rsidR="00191768" w:rsidRPr="00191768">
        <w:rPr>
          <w:rFonts w:cs="Times New Roman"/>
          <w:szCs w:val="28"/>
        </w:rPr>
        <w:t>理論上，本研究說明不同文字特徵表示與</w:t>
      </w:r>
      <w:r w:rsidR="00191768" w:rsidRPr="00191768">
        <w:rPr>
          <w:rFonts w:cs="Times New Roman"/>
          <w:szCs w:val="28"/>
        </w:rPr>
        <w:t>MNIR</w:t>
      </w:r>
      <w:r w:rsidR="00191768" w:rsidRPr="00191768">
        <w:rPr>
          <w:rFonts w:cs="Times New Roman"/>
          <w:szCs w:val="28"/>
        </w:rPr>
        <w:t>監督式特徵轉換在法律文本分類中的適用差異，並指出經特徵篩選後之傳統稀疏文字特徵，在法律長文本分類中仍具有重要基準價值。</w:t>
      </w:r>
      <w:r w:rsidRPr="00706F03">
        <w:rPr>
          <w:rFonts w:cs="Times New Roman"/>
          <w:szCs w:val="28"/>
        </w:rPr>
        <w:t>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w:t>
      </w:r>
      <w:r w:rsidRPr="00FF462F">
        <w:rPr>
          <w:rFonts w:cs="Times New Roman" w:hint="eastAsia"/>
          <w:szCs w:val="28"/>
        </w:rPr>
        <w:lastRenderedPageBreak/>
        <w:t>法律文本中仍可能保留間接反映裁判結果的線索，例如語境、請求類型、程序狀態或裁判理由結構。</w:t>
      </w:r>
      <w:r w:rsidR="00F42D9E">
        <w:t>其次，本研究於資料集劃分前建立</w:t>
      </w:r>
      <w:r w:rsidR="00F42D9E">
        <w:t>BoW</w:t>
      </w:r>
      <w:r w:rsidR="00F42D9E">
        <w:t>、</w:t>
      </w:r>
      <w:r w:rsidR="00F42D9E">
        <w:t>TF</w:t>
      </w:r>
      <w:r w:rsidR="00F42D9E">
        <w:t>與</w:t>
      </w:r>
      <w:r w:rsidR="00F42D9E">
        <w:t>TF-IDF</w:t>
      </w:r>
      <w:r w:rsidR="00F42D9E">
        <w:t>之文件－詞項矩陣，因此</w:t>
      </w:r>
      <w:r w:rsidR="00F42D9E">
        <w:t>BoW</w:t>
      </w:r>
      <w:r w:rsidR="00F42D9E">
        <w:t>與</w:t>
      </w:r>
      <w:r w:rsidR="00F42D9E">
        <w:t>TF</w:t>
      </w:r>
      <w:r w:rsidR="00F42D9E">
        <w:t>之詞彙表，以及</w:t>
      </w:r>
      <w:r w:rsidR="00F42D9E">
        <w:t>TF-IDF</w:t>
      </w:r>
      <w:r w:rsidR="00F42D9E">
        <w:t>之詞彙表與</w:t>
      </w:r>
      <w:r w:rsidR="00F42D9E">
        <w:t>IDF</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w:t>
      </w:r>
      <w:r w:rsidRPr="00FF462F">
        <w:rPr>
          <w:rFonts w:cs="Times New Roman" w:hint="eastAsia"/>
          <w:szCs w:val="28"/>
        </w:rPr>
        <w:t>Chi-square + MNIR + SVM</w:t>
      </w:r>
      <w:r w:rsidRPr="00FF462F">
        <w:rPr>
          <w:rFonts w:cs="Times New Roman" w:hint="eastAsia"/>
          <w:szCs w:val="28"/>
        </w:rPr>
        <w:t>與</w:t>
      </w:r>
      <w:r w:rsidRPr="00FF462F">
        <w:rPr>
          <w:rFonts w:cs="Times New Roman" w:hint="eastAsia"/>
          <w:szCs w:val="28"/>
        </w:rPr>
        <w:t>Chi-square + SVM</w:t>
      </w:r>
      <w:r w:rsidRPr="00FF462F">
        <w:rPr>
          <w:rFonts w:cs="Times New Roman" w:hint="eastAsia"/>
          <w:szCs w:val="28"/>
        </w:rPr>
        <w:t>皆使用一致的資料切分與特徵建構方式，因此此一問題較不致改變兩種模型流程之相對比較方向。然而，不同文字特徵表示受到此問題影響的程度可能並不完全一致，尤其</w:t>
      </w:r>
      <w:r w:rsidRPr="00FF462F">
        <w:rPr>
          <w:rFonts w:cs="Times New Roman" w:hint="eastAsia"/>
          <w:szCs w:val="28"/>
        </w:rPr>
        <w:t>TF-IDF</w:t>
      </w:r>
      <w:r w:rsidRPr="00FF462F">
        <w:rPr>
          <w:rFonts w:cs="Times New Roman" w:hint="eastAsia"/>
          <w:szCs w:val="28"/>
        </w:rPr>
        <w:t>之</w:t>
      </w:r>
      <w:r w:rsidRPr="00FF462F">
        <w:rPr>
          <w:rFonts w:cs="Times New Roman" w:hint="eastAsia"/>
          <w:szCs w:val="28"/>
        </w:rPr>
        <w:t>IDF</w:t>
      </w:r>
      <w:r w:rsidRPr="00FF462F">
        <w:rPr>
          <w:rFonts w:cs="Times New Roman" w:hint="eastAsia"/>
          <w:szCs w:val="28"/>
        </w:rPr>
        <w:t>權重係依全部文件之文件頻率計算，因此本研究無法排除</w:t>
      </w:r>
      <w:r w:rsidRPr="00FF462F">
        <w:rPr>
          <w:rFonts w:cs="Times New Roman" w:hint="eastAsia"/>
          <w:szCs w:val="28"/>
        </w:rPr>
        <w:t>BoW</w:t>
      </w:r>
      <w:r w:rsidRPr="00FF462F">
        <w:rPr>
          <w:rFonts w:cs="Times New Roman" w:hint="eastAsia"/>
          <w:szCs w:val="28"/>
        </w:rPr>
        <w:t>、</w:t>
      </w:r>
      <w:r w:rsidRPr="00FF462F">
        <w:rPr>
          <w:rFonts w:cs="Times New Roman" w:hint="eastAsia"/>
          <w:szCs w:val="28"/>
        </w:rPr>
        <w:t>TF</w:t>
      </w:r>
      <w:r w:rsidRPr="00FF462F">
        <w:rPr>
          <w:rFonts w:cs="Times New Roman" w:hint="eastAsia"/>
          <w:szCs w:val="28"/>
        </w:rPr>
        <w:t>與</w:t>
      </w:r>
      <w:r w:rsidRPr="00FF462F">
        <w:rPr>
          <w:rFonts w:cs="Times New Roman" w:hint="eastAsia"/>
          <w:szCs w:val="28"/>
        </w:rPr>
        <w:t>TF-IDF</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IDF</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Lose</w:t>
      </w:r>
      <w:r w:rsidRPr="00D32995">
        <w:rPr>
          <w:rFonts w:cs="Times New Roman"/>
          <w:szCs w:val="28"/>
        </w:rPr>
        <w:t>、</w:t>
      </w:r>
      <w:r w:rsidRPr="00D32995">
        <w:rPr>
          <w:rFonts w:cs="Times New Roman"/>
          <w:szCs w:val="28"/>
        </w:rPr>
        <w:t>Mixed</w:t>
      </w:r>
      <w:r w:rsidRPr="00D32995">
        <w:rPr>
          <w:rFonts w:cs="Times New Roman"/>
          <w:szCs w:val="28"/>
        </w:rPr>
        <w:t>與</w:t>
      </w:r>
      <w:r w:rsidRPr="00D32995">
        <w:rPr>
          <w:rFonts w:cs="Times New Roman"/>
          <w:szCs w:val="28"/>
        </w:rPr>
        <w:t>Win</w:t>
      </w:r>
      <w:r w:rsidRPr="00D32995">
        <w:rPr>
          <w:rFonts w:cs="Times New Roman"/>
          <w:szCs w:val="28"/>
        </w:rPr>
        <w:t>三類。然而，</w:t>
      </w:r>
      <w:r w:rsidRPr="00D32995">
        <w:rPr>
          <w:rFonts w:cs="Times New Roman"/>
          <w:szCs w:val="28"/>
        </w:rPr>
        <w:t>Mixed</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Mixed</w:t>
      </w:r>
      <w:r w:rsidRPr="00D32995">
        <w:rPr>
          <w:rFonts w:cs="Times New Roman"/>
          <w:szCs w:val="28"/>
        </w:rPr>
        <w:t>，但其法律意義與文本特徵未必一致，因此可能具有較高的類別內異質性。模型對</w:t>
      </w:r>
      <w:r w:rsidRPr="00D32995">
        <w:rPr>
          <w:rFonts w:cs="Times New Roman"/>
          <w:szCs w:val="28"/>
        </w:rPr>
        <w:t>Mixed</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w:t>
      </w:r>
      <w:r w:rsidRPr="00383AAC">
        <w:rPr>
          <w:rFonts w:cs="Times New Roman"/>
          <w:szCs w:val="28"/>
        </w:rPr>
        <w:lastRenderedPageBreak/>
        <w:t>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BoW</w:t>
      </w:r>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r w:rsidRPr="00C10485">
        <w:rPr>
          <w:rFonts w:cs="Times New Roman" w:hint="eastAsia"/>
          <w:szCs w:val="28"/>
        </w:rPr>
        <w:t>BoW</w:t>
      </w:r>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w:t>
      </w:r>
      <w:r w:rsidRPr="00706F03">
        <w:rPr>
          <w:rFonts w:cs="Times New Roman"/>
          <w:szCs w:val="28"/>
        </w:rPr>
        <w:lastRenderedPageBreak/>
        <w:t>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 xml:space="preserve">Chi-square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。在本研究資料、文字特徵設定與參數範圍下，</w:t>
      </w:r>
      <w:r w:rsidRPr="00706F03">
        <w:rPr>
          <w:rFonts w:cs="Times New Roman"/>
          <w:szCs w:val="28"/>
        </w:rPr>
        <w:t xml:space="preserve">MNIR </w:t>
      </w:r>
      <w:r w:rsidRPr="00706F03">
        <w:rPr>
          <w:rFonts w:cs="Times New Roman"/>
          <w:szCs w:val="28"/>
        </w:rPr>
        <w:t>未能提供額外分類增益。此結果應限縮理解為：在本研究已先透過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w:t>
      </w:r>
      <w:r w:rsidRPr="00706F03">
        <w:rPr>
          <w:rFonts w:cs="Times New Roman"/>
          <w:szCs w:val="28"/>
        </w:rPr>
        <w:lastRenderedPageBreak/>
        <w:t>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AF6D319"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lastRenderedPageBreak/>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w:t>
      </w:r>
      <w:r w:rsidRPr="00706F03">
        <w:rPr>
          <w:rFonts w:cs="Times New Roman"/>
          <w:szCs w:val="28"/>
        </w:rPr>
        <w:lastRenderedPageBreak/>
        <w:t>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18" w:history="1">
        <w:r w:rsidRPr="00706F03">
          <w:rPr>
            <w:rStyle w:val="Hyperlink"/>
            <w:rFonts w:cs="Times New Roman"/>
            <w:color w:val="auto"/>
          </w:rPr>
          <w:t>https://www.judicial.gov.tw/tw/cp-165-28-683b6-1.html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2025b</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21" w:history="1">
        <w:r w:rsidRPr="007D3EE3">
          <w:rPr>
            <w:rStyle w:val="Hyperlink"/>
          </w:rPr>
          <w:t>https://www.judicial.gov.tw/tw/cp-165-29-b955a-1.html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 xml:space="preserve">月 </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 xml:space="preserve">7 </w:t>
      </w:r>
      <w:r w:rsidRPr="00F47BAC">
        <w:rPr>
          <w:rFonts w:cs="Times New Roman" w:hint="eastAsia"/>
        </w:rPr>
        <w:t xml:space="preserve">月 </w:t>
      </w:r>
      <w:r w:rsidRPr="00F47BAC">
        <w:rPr>
          <w:rFonts w:cs="Times New Roman" w:hint="eastAsia"/>
        </w:rPr>
        <w:t xml:space="preserve">29 </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-b</w:t>
      </w:r>
      <w:r w:rsidRPr="00706F03">
        <w:rPr>
          <w:rFonts w:cs="Times New Roman"/>
        </w:rPr>
        <w:t xml:space="preserve">). </w:t>
      </w:r>
      <w:r w:rsidRPr="00706F03">
        <w:rPr>
          <w:rFonts w:cs="Times New Roman"/>
          <w:i/>
          <w:iCs/>
        </w:rPr>
        <w:t>sklearn.feature_extraction.text.TfidfVectorizer</w:t>
      </w:r>
      <w:r w:rsidRPr="00706F03">
        <w:rPr>
          <w:rFonts w:cs="Times New Roman"/>
          <w:i w:val="0"/>
        </w:rPr>
        <w:t xml:space="preserve">. scikit-learn. Retrieved May 10, 2026, from </w:t>
      </w:r>
      <w:hyperlink r:id="rId54" w:history="1">
        <w:r w:rsidRPr="00706F03">
          <w:rPr>
            <w:rStyle w:val="Hyperlink"/>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5"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6"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7"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8" w:history="1">
        <w:r w:rsidRPr="00706F03">
          <w:rPr>
            <w:rStyle w:val="Hyperlink"/>
            <w:rFonts w:cs="Times New Roman"/>
            <w:color w:val="auto"/>
          </w:rPr>
          <w:t>https://doi.org/10.1016/j.knosys.2021.107960</w:t>
        </w:r>
      </w:hyperlink>
    </w:p>
    <w:sectPr w:rsidR="004C1AE9" w:rsidRPr="00706F03" w:rsidSect="0004071A">
      <w:headerReference w:type="even" r:id="rId49"/>
      <w:headerReference w:type="default" r:id="rId50"/>
      <w:headerReference w:type="first" r:id="rId51"/>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D1C86F" w14:textId="77777777" w:rsidR="00AA5904" w:rsidRDefault="00AA5904" w:rsidP="00204DC5">
      <w:pPr>
        <w:spacing w:after="0" w:line="240" w:lineRule="auto"/>
      </w:pPr>
      <w:r>
        <w:separator/>
      </w:r>
    </w:p>
  </w:endnote>
  <w:endnote w:type="continuationSeparator" w:id="0">
    <w:p w14:paraId="0D61B588" w14:textId="77777777" w:rsidR="00AA5904" w:rsidRDefault="00AA5904"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iti TC">
    <w:altName w:val="Cambria"/>
    <w:panose1 w:val="020000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EA71EB" w14:textId="77777777" w:rsidR="00AA5904" w:rsidRDefault="00AA5904" w:rsidP="00204DC5">
      <w:pPr>
        <w:spacing w:after="0" w:line="240" w:lineRule="auto"/>
      </w:pPr>
      <w:r>
        <w:separator/>
      </w:r>
    </w:p>
  </w:footnote>
  <w:footnote w:type="continuationSeparator" w:id="0">
    <w:p w14:paraId="66583F78" w14:textId="77777777" w:rsidR="00AA5904" w:rsidRDefault="00AA5904"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AA5904">
    <w:pPr>
      <w:pStyle w:val="Header"/>
    </w:pPr>
    <w:r>
      <w:rPr>
        <w:noProof/>
      </w:rPr>
      <w:pict w14:anchorId="0CDE08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AA5904">
    <w:pPr>
      <w:pStyle w:val="Header"/>
    </w:pPr>
    <w:r>
      <w:rPr>
        <w:noProof/>
      </w:rPr>
      <w:pict w14:anchorId="746A4A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AA5904">
    <w:pPr>
      <w:pStyle w:val="Header"/>
    </w:pPr>
    <w:r>
      <w:rPr>
        <w:noProof/>
      </w:rPr>
      <w:pict w14:anchorId="58506A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768"/>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5904"/>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9799B"/>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9-b955a-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8653/v1/2025.emnlp-main.179" TargetMode="External"/><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doi.org/10.1145/2018358.201837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016/j.knosys.2021.107960" TargetMode="Externa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eader" Target="header1.xml"/><Relationship Id="rId54" Type="http://schemas.openxmlformats.org/officeDocument/2006/relationships/hyperlink" Target="https://scikit-learn.org/stable/modules/generated/sklearn.feature_extraction.text.TfidfVectorizer.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73</Pages>
  <Words>11445</Words>
  <Characters>65240</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52</cp:revision>
  <cp:lastPrinted>2026-06-16T12:21:00Z</cp:lastPrinted>
  <dcterms:created xsi:type="dcterms:W3CDTF">2026-07-04T13:22:00Z</dcterms:created>
  <dcterms:modified xsi:type="dcterms:W3CDTF">2026-07-15T12:41:00Z</dcterms:modified>
</cp:coreProperties>
</file>