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2D810034"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AA0771">
        <w:rPr>
          <w:rFonts w:ascii="Times New Roman" w:eastAsia="標楷體" w:hAnsi="Times New Roman" w:cs="Times New Roman" w:hint="eastAsia"/>
          <w:color w:val="auto"/>
          <w:sz w:val="48"/>
          <w:szCs w:val="28"/>
        </w:rPr>
        <w:t>台</w:t>
      </w:r>
      <w:bookmarkStart w:id="0" w:name="_GoBack"/>
      <w:bookmarkEnd w:id="0"/>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18365456"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004C533F">
        <w:rPr>
          <w:rFonts w:ascii="Times New Roman" w:eastAsia="標楷體" w:hAnsi="Times New Roman" w:cs="Times New Roman" w:hint="eastAsia"/>
          <w:b w:val="0"/>
          <w:color w:val="auto"/>
          <w:sz w:val="44"/>
          <w:szCs w:val="28"/>
        </w:rPr>
        <w:t xml:space="preserve"> </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004C533F">
        <w:rPr>
          <w:rFonts w:ascii="Times New Roman" w:eastAsia="標楷體" w:hAnsi="Times New Roman" w:cs="Times New Roman" w:hint="eastAsia"/>
          <w:b w:val="0"/>
          <w:color w:val="auto"/>
          <w:sz w:val="44"/>
          <w:szCs w:val="28"/>
        </w:rPr>
        <w:t xml:space="preserve"> </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實證結果顯示，</w:t>
      </w:r>
      <w:r w:rsidRPr="00706F03">
        <w:rPr>
          <w:rFonts w:cs="Times New Roman"/>
        </w:rPr>
        <w:t xml:space="preserve">Chi-square + SVM </w:t>
      </w:r>
      <w:r w:rsidRPr="00706F03">
        <w:rPr>
          <w:rFonts w:cs="Times New Roman"/>
        </w:rPr>
        <w:t>在四類案件資料集中的宏平均</w:t>
      </w:r>
      <w:r w:rsidRPr="00706F03">
        <w:rPr>
          <w:rFonts w:cs="Times New Roman"/>
        </w:rPr>
        <w:t xml:space="preserve"> F1 </w:t>
      </w:r>
      <w:r w:rsidRPr="00706F03">
        <w:rPr>
          <w:rFonts w:cs="Times New Roman"/>
        </w:rPr>
        <w:t>分數（</w:t>
      </w:r>
      <w:r w:rsidRPr="00706F03">
        <w:rPr>
          <w:rFonts w:cs="Times New Roman"/>
        </w:rPr>
        <w:t>Macro F1</w:t>
      </w:r>
      <w:r w:rsidRPr="00706F03">
        <w:rPr>
          <w:rFonts w:cs="Times New Roman"/>
        </w:rPr>
        <w:t>）皆高於</w:t>
      </w:r>
      <w:r w:rsidRPr="00706F03">
        <w:rPr>
          <w:rFonts w:cs="Times New Roman"/>
        </w:rPr>
        <w:t xml:space="preserve"> Chi-square + MNIR + SVM</w:t>
      </w:r>
      <w:r w:rsidRPr="00706F03">
        <w:rPr>
          <w:rFonts w:cs="Times New Roman"/>
        </w:rPr>
        <w:t>。在本研究資料、文字特徵設定與參數範圍下，</w:t>
      </w:r>
      <w:r w:rsidRPr="00706F03">
        <w:rPr>
          <w:rFonts w:cs="Times New Roman"/>
        </w:rPr>
        <w:t xml:space="preserve">MNIR </w:t>
      </w:r>
      <w:r w:rsidRPr="00706F03">
        <w:rPr>
          <w:rFonts w:cs="Times New Roman"/>
        </w:rPr>
        <w:t>未能提供額外分類增益。較合理的解讀為，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(BoW), Term Frequency (TF), and Term Frequency-Inverse Document Frequency (TF-IDF).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(MNIR) + Support Vector Machine (SVM), and Chi-square + SVM. The former examines whether supervised MNIR feature transformation can improve high-dimensional legal text classification, while the latter serves as a comparison pipeline without MNIR transformation. The empirical results show that Chi-square + SVM achieves a higher macro-averaged F1 score (Macro F1) than Chi-square + MNIR + SVM across all four case-type datasets. This indicates that, under the data, text feature settings, and parameter ranges examined in this study, MNIR did not provide additional classification gains. A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摘要</w:t>
      </w:r>
      <w:r>
        <w:rPr>
          <w:rFonts w:ascii="Times New Roman" w:eastAsia="標楷體" w:hAnsi="Times New Roman" w:cs="Times New Roman"/>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Abstract</w:t>
      </w:r>
      <w:r>
        <w:rPr>
          <w:rFonts w:ascii="Times New Roman" w:eastAsia="標楷體" w:hAnsi="Times New Roman" w:cs="Times New Roman"/>
          <w:b w:val="0"/>
          <w:color w:val="auto"/>
          <w:sz w:val="24"/>
          <w:szCs w:val="28"/>
        </w:rPr>
        <w:tab/>
        <w:t>3</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表目錄</w:t>
      </w:r>
      <w:r>
        <w:rPr>
          <w:rFonts w:ascii="Times New Roman" w:eastAsia="標楷體" w:hAnsi="Times New Roman" w:cs="Times New Roman"/>
          <w:b w:val="0"/>
          <w:color w:val="auto"/>
          <w:sz w:val="24"/>
          <w:szCs w:val="28"/>
        </w:rPr>
        <w:tab/>
        <w:t>7</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圖目錄</w:t>
      </w:r>
      <w:r>
        <w:rPr>
          <w:rFonts w:ascii="Times New Roman" w:eastAsia="標楷體" w:hAnsi="Times New Roman" w:cs="Times New Roman"/>
          <w:b w:val="0"/>
          <w:color w:val="auto"/>
          <w:sz w:val="24"/>
          <w:szCs w:val="28"/>
        </w:rPr>
        <w:tab/>
        <w:t>8</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第一章</w:t>
      </w:r>
      <w:r>
        <w:rPr>
          <w:rFonts w:ascii="Times New Roman" w:eastAsia="標楷體" w:hAnsi="Times New Roman" w:cs="Times New Roman"/>
          <w:b w:val="0"/>
          <w:color w:val="auto"/>
          <w:sz w:val="24"/>
          <w:szCs w:val="28"/>
        </w:rPr>
        <w:t xml:space="preserve"> </w:t>
      </w:r>
      <w:r>
        <w:rPr>
          <w:rFonts w:ascii="Times New Roman" w:eastAsia="標楷體" w:hAnsi="Times New Roman" w:cs="Times New Roman"/>
          <w:b w:val="0"/>
          <w:color w:val="auto"/>
          <w:sz w:val="24"/>
          <w:szCs w:val="28"/>
        </w:rPr>
        <w:t>緒論</w:t>
      </w:r>
      <w:r>
        <w:rPr>
          <w:rFonts w:ascii="Times New Roman" w:eastAsia="標楷體" w:hAnsi="Times New Roman" w:cs="Times New Roman"/>
          <w:b w:val="0"/>
          <w:color w:val="auto"/>
          <w:sz w:val="24"/>
          <w:szCs w:val="28"/>
        </w:rPr>
        <w:tab/>
        <w:t>9</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1.1 </w:t>
      </w:r>
      <w:r>
        <w:rPr>
          <w:rFonts w:ascii="Times New Roman" w:eastAsia="標楷體" w:hAnsi="Times New Roman" w:cs="Times New Roman"/>
          <w:b w:val="0"/>
          <w:color w:val="auto"/>
          <w:sz w:val="24"/>
          <w:szCs w:val="28"/>
        </w:rPr>
        <w:t>研究背景與動機</w:t>
      </w:r>
      <w:r>
        <w:rPr>
          <w:rFonts w:ascii="Times New Roman" w:eastAsia="標楷體" w:hAnsi="Times New Roman" w:cs="Times New Roman"/>
          <w:b w:val="0"/>
          <w:color w:val="auto"/>
          <w:sz w:val="24"/>
          <w:szCs w:val="28"/>
        </w:rPr>
        <w:tab/>
        <w:t>9</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1.2 </w:t>
      </w:r>
      <w:r>
        <w:rPr>
          <w:rFonts w:ascii="Times New Roman" w:eastAsia="標楷體" w:hAnsi="Times New Roman" w:cs="Times New Roman"/>
          <w:b w:val="0"/>
          <w:color w:val="auto"/>
          <w:sz w:val="24"/>
          <w:szCs w:val="28"/>
        </w:rPr>
        <w:t>研究目的</w:t>
      </w:r>
      <w:r>
        <w:rPr>
          <w:rFonts w:ascii="Times New Roman" w:eastAsia="標楷體" w:hAnsi="Times New Roman" w:cs="Times New Roman"/>
          <w:b w:val="0"/>
          <w:color w:val="auto"/>
          <w:sz w:val="24"/>
          <w:szCs w:val="28"/>
        </w:rPr>
        <w:tab/>
        <w:t>11</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1.3 </w:t>
      </w:r>
      <w:r>
        <w:rPr>
          <w:rFonts w:ascii="Times New Roman" w:eastAsia="標楷體" w:hAnsi="Times New Roman" w:cs="Times New Roman"/>
          <w:b w:val="0"/>
          <w:color w:val="auto"/>
          <w:sz w:val="24"/>
          <w:szCs w:val="28"/>
        </w:rPr>
        <w:t>研究問題</w:t>
      </w:r>
      <w:r>
        <w:rPr>
          <w:rFonts w:ascii="Times New Roman" w:eastAsia="標楷體" w:hAnsi="Times New Roman" w:cs="Times New Roman"/>
          <w:b w:val="0"/>
          <w:color w:val="auto"/>
          <w:sz w:val="24"/>
          <w:szCs w:val="28"/>
        </w:rPr>
        <w:tab/>
        <w:t>12</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1.4 </w:t>
      </w:r>
      <w:r>
        <w:rPr>
          <w:rFonts w:ascii="Times New Roman" w:eastAsia="標楷體" w:hAnsi="Times New Roman" w:cs="Times New Roman"/>
          <w:b w:val="0"/>
          <w:color w:val="auto"/>
          <w:sz w:val="24"/>
          <w:szCs w:val="28"/>
        </w:rPr>
        <w:t>研究定位與論文架構</w:t>
      </w:r>
      <w:r>
        <w:rPr>
          <w:rFonts w:ascii="Times New Roman" w:eastAsia="標楷體" w:hAnsi="Times New Roman" w:cs="Times New Roman"/>
          <w:b w:val="0"/>
          <w:color w:val="auto"/>
          <w:sz w:val="24"/>
          <w:szCs w:val="28"/>
        </w:rPr>
        <w:tab/>
        <w:t>12</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第二章</w:t>
      </w:r>
      <w:r>
        <w:rPr>
          <w:rFonts w:ascii="Times New Roman" w:eastAsia="標楷體" w:hAnsi="Times New Roman" w:cs="Times New Roman"/>
          <w:b w:val="0"/>
          <w:color w:val="auto"/>
          <w:sz w:val="24"/>
          <w:szCs w:val="28"/>
        </w:rPr>
        <w:t xml:space="preserve"> </w:t>
      </w:r>
      <w:r>
        <w:rPr>
          <w:rFonts w:ascii="Times New Roman" w:eastAsia="標楷體" w:hAnsi="Times New Roman" w:cs="Times New Roman"/>
          <w:b w:val="0"/>
          <w:color w:val="auto"/>
          <w:sz w:val="24"/>
          <w:szCs w:val="28"/>
        </w:rPr>
        <w:t>文獻回顧</w:t>
      </w:r>
      <w:r>
        <w:rPr>
          <w:rFonts w:ascii="Times New Roman" w:eastAsia="標楷體" w:hAnsi="Times New Roman" w:cs="Times New Roman"/>
          <w:b w:val="0"/>
          <w:color w:val="auto"/>
          <w:sz w:val="24"/>
          <w:szCs w:val="28"/>
        </w:rPr>
        <w:tab/>
        <w:t>13</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2.1 </w:t>
      </w:r>
      <w:r>
        <w:rPr>
          <w:rFonts w:ascii="Times New Roman" w:eastAsia="標楷體" w:hAnsi="Times New Roman" w:cs="Times New Roman"/>
          <w:b w:val="0"/>
          <w:color w:val="auto"/>
          <w:sz w:val="24"/>
          <w:szCs w:val="28"/>
        </w:rPr>
        <w:t>前言</w:t>
      </w:r>
      <w:r>
        <w:rPr>
          <w:rFonts w:ascii="Times New Roman" w:eastAsia="標楷體" w:hAnsi="Times New Roman" w:cs="Times New Roman"/>
          <w:b w:val="0"/>
          <w:color w:val="auto"/>
          <w:sz w:val="24"/>
          <w:szCs w:val="28"/>
        </w:rPr>
        <w:tab/>
        <w:t>13</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2.2 </w:t>
      </w:r>
      <w:r>
        <w:rPr>
          <w:rFonts w:ascii="Times New Roman" w:eastAsia="標楷體" w:hAnsi="Times New Roman" w:cs="Times New Roman"/>
          <w:b w:val="0"/>
          <w:color w:val="auto"/>
          <w:sz w:val="24"/>
          <w:szCs w:val="28"/>
        </w:rPr>
        <w:t>實證法律研究與量化分析的發展</w:t>
      </w:r>
      <w:r>
        <w:rPr>
          <w:rFonts w:ascii="Times New Roman" w:eastAsia="標楷體" w:hAnsi="Times New Roman" w:cs="Times New Roman"/>
          <w:b w:val="0"/>
          <w:color w:val="auto"/>
          <w:sz w:val="24"/>
          <w:szCs w:val="28"/>
        </w:rPr>
        <w:tab/>
        <w:t>13</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2.3 </w:t>
      </w:r>
      <w:r>
        <w:rPr>
          <w:rFonts w:ascii="Times New Roman" w:eastAsia="標楷體" w:hAnsi="Times New Roman" w:cs="Times New Roman"/>
          <w:b w:val="0"/>
          <w:color w:val="auto"/>
          <w:sz w:val="24"/>
          <w:szCs w:val="28"/>
        </w:rPr>
        <w:t>法律文本之特徵表示：</w:t>
      </w:r>
      <w:r>
        <w:rPr>
          <w:rFonts w:ascii="Times New Roman" w:eastAsia="標楷體" w:hAnsi="Times New Roman" w:cs="Times New Roman"/>
          <w:b w:val="0"/>
          <w:color w:val="auto"/>
          <w:sz w:val="24"/>
          <w:szCs w:val="28"/>
        </w:rPr>
        <w:t>BoW</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 xml:space="preserve">TF </w:t>
      </w:r>
      <w:r>
        <w:rPr>
          <w:rFonts w:ascii="Times New Roman" w:eastAsia="標楷體" w:hAnsi="Times New Roman" w:cs="Times New Roman"/>
          <w:b w:val="0"/>
          <w:color w:val="auto"/>
          <w:sz w:val="24"/>
          <w:szCs w:val="28"/>
        </w:rPr>
        <w:t>與</w:t>
      </w:r>
      <w:r>
        <w:rPr>
          <w:rFonts w:ascii="Times New Roman" w:eastAsia="標楷體" w:hAnsi="Times New Roman" w:cs="Times New Roman"/>
          <w:b w:val="0"/>
          <w:color w:val="auto"/>
          <w:sz w:val="24"/>
          <w:szCs w:val="28"/>
        </w:rPr>
        <w:t xml:space="preserve"> TF-IDF</w:t>
      </w:r>
      <w:r>
        <w:rPr>
          <w:rFonts w:ascii="Times New Roman" w:eastAsia="標楷體" w:hAnsi="Times New Roman" w:cs="Times New Roman"/>
          <w:b w:val="0"/>
          <w:color w:val="auto"/>
          <w:sz w:val="24"/>
          <w:szCs w:val="28"/>
        </w:rPr>
        <w:tab/>
        <w:t>14</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2.4 </w:t>
      </w:r>
      <w:r>
        <w:rPr>
          <w:rFonts w:ascii="Times New Roman" w:eastAsia="標楷體" w:hAnsi="Times New Roman" w:cs="Times New Roman"/>
          <w:b w:val="0"/>
          <w:color w:val="auto"/>
          <w:sz w:val="24"/>
          <w:szCs w:val="28"/>
        </w:rPr>
        <w:t>預測模型建構與可解釋性之必要性</w:t>
      </w:r>
      <w:r>
        <w:rPr>
          <w:rFonts w:ascii="Times New Roman" w:eastAsia="標楷體" w:hAnsi="Times New Roman" w:cs="Times New Roman"/>
          <w:b w:val="0"/>
          <w:color w:val="auto"/>
          <w:sz w:val="24"/>
          <w:szCs w:val="28"/>
        </w:rPr>
        <w:tab/>
        <w:t>15</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2.5 MNIR </w:t>
      </w:r>
      <w:r>
        <w:rPr>
          <w:rFonts w:ascii="Times New Roman" w:eastAsia="標楷體" w:hAnsi="Times New Roman" w:cs="Times New Roman"/>
          <w:b w:val="0"/>
          <w:color w:val="auto"/>
          <w:sz w:val="24"/>
          <w:szCs w:val="28"/>
        </w:rPr>
        <w:t>監督式特徵轉換與本研究定位</w:t>
      </w:r>
      <w:r>
        <w:rPr>
          <w:rFonts w:ascii="Times New Roman" w:eastAsia="標楷體" w:hAnsi="Times New Roman" w:cs="Times New Roman"/>
          <w:b w:val="0"/>
          <w:color w:val="auto"/>
          <w:sz w:val="24"/>
          <w:szCs w:val="28"/>
        </w:rPr>
        <w:tab/>
        <w:t>16</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2.6 </w:t>
      </w:r>
      <w:r>
        <w:rPr>
          <w:rFonts w:ascii="Times New Roman" w:eastAsia="標楷體" w:hAnsi="Times New Roman" w:cs="Times New Roman"/>
          <w:b w:val="0"/>
          <w:color w:val="auto"/>
          <w:sz w:val="24"/>
          <w:szCs w:val="28"/>
        </w:rPr>
        <w:t>總結與研究缺口</w:t>
      </w:r>
      <w:r>
        <w:rPr>
          <w:rFonts w:ascii="Times New Roman" w:eastAsia="標楷體" w:hAnsi="Times New Roman" w:cs="Times New Roman"/>
          <w:b w:val="0"/>
          <w:color w:val="auto"/>
          <w:sz w:val="24"/>
          <w:szCs w:val="28"/>
        </w:rPr>
        <w:tab/>
        <w:t>17</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第三章</w:t>
      </w:r>
      <w:r>
        <w:rPr>
          <w:rFonts w:ascii="Times New Roman" w:eastAsia="標楷體" w:hAnsi="Times New Roman" w:cs="Times New Roman"/>
          <w:b w:val="0"/>
          <w:color w:val="auto"/>
          <w:sz w:val="24"/>
          <w:szCs w:val="28"/>
        </w:rPr>
        <w:t xml:space="preserve"> </w:t>
      </w:r>
      <w:r>
        <w:rPr>
          <w:rFonts w:ascii="Times New Roman" w:eastAsia="標楷體" w:hAnsi="Times New Roman" w:cs="Times New Roman"/>
          <w:b w:val="0"/>
          <w:color w:val="auto"/>
          <w:sz w:val="24"/>
          <w:szCs w:val="28"/>
        </w:rPr>
        <w:t>研究方法與資料</w:t>
      </w:r>
      <w:r>
        <w:rPr>
          <w:rFonts w:ascii="Times New Roman" w:eastAsia="標楷體" w:hAnsi="Times New Roman" w:cs="Times New Roman"/>
          <w:b w:val="0"/>
          <w:color w:val="auto"/>
          <w:sz w:val="24"/>
          <w:szCs w:val="28"/>
        </w:rPr>
        <w:tab/>
        <w:t>19</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3.1 </w:t>
      </w:r>
      <w:r>
        <w:rPr>
          <w:rFonts w:ascii="Times New Roman" w:eastAsia="標楷體" w:hAnsi="Times New Roman" w:cs="Times New Roman"/>
          <w:b w:val="0"/>
          <w:color w:val="auto"/>
          <w:sz w:val="24"/>
          <w:szCs w:val="28"/>
        </w:rPr>
        <w:t>研究流程</w:t>
      </w:r>
      <w:r>
        <w:rPr>
          <w:rFonts w:ascii="Times New Roman" w:eastAsia="標楷體" w:hAnsi="Times New Roman" w:cs="Times New Roman"/>
          <w:b w:val="0"/>
          <w:color w:val="auto"/>
          <w:sz w:val="24"/>
          <w:szCs w:val="28"/>
        </w:rPr>
        <w:tab/>
        <w:t>19</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3.2 </w:t>
      </w:r>
      <w:r>
        <w:rPr>
          <w:rFonts w:ascii="Times New Roman" w:eastAsia="標楷體" w:hAnsi="Times New Roman" w:cs="Times New Roman"/>
          <w:b w:val="0"/>
          <w:color w:val="auto"/>
          <w:sz w:val="24"/>
          <w:szCs w:val="28"/>
        </w:rPr>
        <w:t>資料獲取與前處理</w:t>
      </w:r>
      <w:r>
        <w:rPr>
          <w:rFonts w:ascii="Times New Roman" w:eastAsia="標楷體" w:hAnsi="Times New Roman" w:cs="Times New Roman"/>
          <w:b w:val="0"/>
          <w:color w:val="auto"/>
          <w:sz w:val="24"/>
          <w:szCs w:val="28"/>
        </w:rPr>
        <w:tab/>
        <w:t>20</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3.3 </w:t>
      </w:r>
      <w:r>
        <w:rPr>
          <w:rFonts w:ascii="Times New Roman" w:eastAsia="標楷體" w:hAnsi="Times New Roman" w:cs="Times New Roman"/>
          <w:b w:val="0"/>
          <w:color w:val="auto"/>
          <w:sz w:val="24"/>
          <w:szCs w:val="28"/>
        </w:rPr>
        <w:t>智慧財產權案件篩選與文本前處理</w:t>
      </w:r>
      <w:r>
        <w:rPr>
          <w:rFonts w:ascii="Times New Roman" w:eastAsia="標楷體" w:hAnsi="Times New Roman" w:cs="Times New Roman"/>
          <w:b w:val="0"/>
          <w:color w:val="auto"/>
          <w:sz w:val="24"/>
          <w:szCs w:val="28"/>
        </w:rPr>
        <w:tab/>
        <w:t>20</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3.4 </w:t>
      </w:r>
      <w:r>
        <w:rPr>
          <w:rFonts w:ascii="Times New Roman" w:eastAsia="標楷體" w:hAnsi="Times New Roman" w:cs="Times New Roman"/>
          <w:b w:val="0"/>
          <w:color w:val="auto"/>
          <w:sz w:val="24"/>
          <w:szCs w:val="28"/>
        </w:rPr>
        <w:t>樣本篩選、標籤整理與樣本分布</w:t>
      </w:r>
      <w:r>
        <w:rPr>
          <w:rFonts w:ascii="Times New Roman" w:eastAsia="標楷體" w:hAnsi="Times New Roman" w:cs="Times New Roman"/>
          <w:b w:val="0"/>
          <w:color w:val="auto"/>
          <w:sz w:val="24"/>
          <w:szCs w:val="28"/>
        </w:rPr>
        <w:tab/>
        <w:t>21</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3.4.1 </w:t>
      </w:r>
      <w:r>
        <w:rPr>
          <w:rFonts w:ascii="Times New Roman" w:eastAsia="標楷體" w:hAnsi="Times New Roman" w:cs="Times New Roman"/>
          <w:b w:val="0"/>
          <w:color w:val="auto"/>
          <w:sz w:val="24"/>
          <w:szCs w:val="28"/>
        </w:rPr>
        <w:t>案件類型之法律性質</w:t>
      </w:r>
      <w:r>
        <w:rPr>
          <w:rFonts w:ascii="Times New Roman" w:eastAsia="標楷體" w:hAnsi="Times New Roman" w:cs="Times New Roman"/>
          <w:b w:val="0"/>
          <w:color w:val="auto"/>
          <w:sz w:val="24"/>
          <w:szCs w:val="28"/>
        </w:rPr>
        <w:tab/>
        <w:t>21</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3.4.2 </w:t>
      </w:r>
      <w:r>
        <w:rPr>
          <w:rFonts w:ascii="Times New Roman" w:eastAsia="標楷體" w:hAnsi="Times New Roman" w:cs="Times New Roman"/>
          <w:b w:val="0"/>
          <w:color w:val="auto"/>
          <w:sz w:val="24"/>
          <w:szCs w:val="28"/>
        </w:rPr>
        <w:t>樣本篩選與標籤整理</w:t>
      </w:r>
      <w:r>
        <w:rPr>
          <w:rFonts w:ascii="Times New Roman" w:eastAsia="標楷體" w:hAnsi="Times New Roman" w:cs="Times New Roman"/>
          <w:b w:val="0"/>
          <w:color w:val="auto"/>
          <w:sz w:val="24"/>
          <w:szCs w:val="28"/>
        </w:rPr>
        <w:tab/>
        <w:t>22</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3.4.3 </w:t>
      </w:r>
      <w:r>
        <w:rPr>
          <w:rFonts w:ascii="Times New Roman" w:eastAsia="標楷體" w:hAnsi="Times New Roman" w:cs="Times New Roman"/>
          <w:b w:val="0"/>
          <w:color w:val="auto"/>
          <w:sz w:val="24"/>
          <w:szCs w:val="28"/>
        </w:rPr>
        <w:t>樣本分布</w:t>
      </w:r>
      <w:r>
        <w:rPr>
          <w:rFonts w:ascii="Times New Roman" w:eastAsia="標楷體" w:hAnsi="Times New Roman" w:cs="Times New Roman"/>
          <w:b w:val="0"/>
          <w:color w:val="auto"/>
          <w:sz w:val="24"/>
          <w:szCs w:val="28"/>
        </w:rPr>
        <w:tab/>
        <w:t>24</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3.4.4 </w:t>
      </w:r>
      <w:r>
        <w:rPr>
          <w:rFonts w:ascii="Times New Roman" w:eastAsia="標楷體" w:hAnsi="Times New Roman" w:cs="Times New Roman"/>
          <w:b w:val="0"/>
          <w:color w:val="auto"/>
          <w:sz w:val="24"/>
          <w:szCs w:val="28"/>
        </w:rPr>
        <w:t>不同案件類型之代表性詞彙分布</w:t>
      </w:r>
      <w:r>
        <w:rPr>
          <w:rFonts w:ascii="Times New Roman" w:eastAsia="標楷體" w:hAnsi="Times New Roman" w:cs="Times New Roman"/>
          <w:b w:val="0"/>
          <w:color w:val="auto"/>
          <w:sz w:val="24"/>
          <w:szCs w:val="28"/>
        </w:rPr>
        <w:tab/>
        <w:t>27</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3.5 </w:t>
      </w:r>
      <w:r>
        <w:rPr>
          <w:rFonts w:ascii="Times New Roman" w:eastAsia="標楷體" w:hAnsi="Times New Roman" w:cs="Times New Roman"/>
          <w:b w:val="0"/>
          <w:color w:val="auto"/>
          <w:sz w:val="24"/>
          <w:szCs w:val="28"/>
        </w:rPr>
        <w:t>文字特徵建構</w:t>
      </w:r>
      <w:r>
        <w:rPr>
          <w:rFonts w:ascii="Times New Roman" w:eastAsia="標楷體" w:hAnsi="Times New Roman" w:cs="Times New Roman"/>
          <w:b w:val="0"/>
          <w:color w:val="auto"/>
          <w:sz w:val="24"/>
          <w:szCs w:val="28"/>
        </w:rPr>
        <w:tab/>
        <w:t>27</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3.5.1 </w:t>
      </w:r>
      <w:r>
        <w:rPr>
          <w:rFonts w:ascii="Times New Roman" w:eastAsia="標楷體" w:hAnsi="Times New Roman" w:cs="Times New Roman"/>
          <w:b w:val="0"/>
          <w:color w:val="auto"/>
          <w:sz w:val="24"/>
          <w:szCs w:val="28"/>
        </w:rPr>
        <w:t>詞袋模型（</w:t>
      </w:r>
      <w:r>
        <w:rPr>
          <w:rFonts w:ascii="Times New Roman" w:eastAsia="標楷體" w:hAnsi="Times New Roman" w:cs="Times New Roman"/>
          <w:b w:val="0"/>
          <w:color w:val="auto"/>
          <w:sz w:val="24"/>
          <w:szCs w:val="28"/>
        </w:rPr>
        <w:t>BoW</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ab/>
        <w:t>28</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3.5.2 </w:t>
      </w:r>
      <w:r>
        <w:rPr>
          <w:rFonts w:ascii="Times New Roman" w:eastAsia="標楷體" w:hAnsi="Times New Roman" w:cs="Times New Roman"/>
          <w:b w:val="0"/>
          <w:color w:val="auto"/>
          <w:sz w:val="24"/>
          <w:szCs w:val="28"/>
        </w:rPr>
        <w:t>詞頻表示（</w:t>
      </w:r>
      <w:r>
        <w:rPr>
          <w:rFonts w:ascii="Times New Roman" w:eastAsia="標楷體" w:hAnsi="Times New Roman" w:cs="Times New Roman"/>
          <w:b w:val="0"/>
          <w:color w:val="auto"/>
          <w:sz w:val="24"/>
          <w:szCs w:val="28"/>
        </w:rPr>
        <w:t>TF</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ab/>
        <w:t>28</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3.5.3 </w:t>
      </w:r>
      <w:r>
        <w:rPr>
          <w:rFonts w:ascii="Times New Roman" w:eastAsia="標楷體" w:hAnsi="Times New Roman" w:cs="Times New Roman"/>
          <w:b w:val="0"/>
          <w:color w:val="auto"/>
          <w:sz w:val="24"/>
          <w:szCs w:val="28"/>
        </w:rPr>
        <w:t>詞頻－逆文件頻率（</w:t>
      </w:r>
      <w:r>
        <w:rPr>
          <w:rFonts w:ascii="Times New Roman" w:eastAsia="標楷體" w:hAnsi="Times New Roman" w:cs="Times New Roman"/>
          <w:b w:val="0"/>
          <w:color w:val="auto"/>
          <w:sz w:val="24"/>
          <w:szCs w:val="28"/>
        </w:rPr>
        <w:t>TF-IDF</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ab/>
        <w:t>29</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3.6 </w:t>
      </w:r>
      <w:r>
        <w:rPr>
          <w:rFonts w:ascii="Times New Roman" w:eastAsia="標楷體" w:hAnsi="Times New Roman" w:cs="Times New Roman"/>
          <w:b w:val="0"/>
          <w:color w:val="auto"/>
          <w:sz w:val="24"/>
          <w:szCs w:val="28"/>
        </w:rPr>
        <w:t>卡方特徵選擇</w:t>
      </w:r>
      <w:r>
        <w:rPr>
          <w:rFonts w:ascii="Times New Roman" w:eastAsia="標楷體" w:hAnsi="Times New Roman" w:cs="Times New Roman"/>
          <w:b w:val="0"/>
          <w:color w:val="auto"/>
          <w:sz w:val="24"/>
          <w:szCs w:val="28"/>
        </w:rPr>
        <w:tab/>
        <w:t>30</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3.7 MNIR </w:t>
      </w:r>
      <w:r>
        <w:rPr>
          <w:rFonts w:ascii="Times New Roman" w:eastAsia="標楷體" w:hAnsi="Times New Roman" w:cs="Times New Roman"/>
          <w:b w:val="0"/>
          <w:color w:val="auto"/>
          <w:sz w:val="24"/>
          <w:szCs w:val="28"/>
        </w:rPr>
        <w:t>監督式特徵轉換</w:t>
      </w:r>
      <w:r>
        <w:rPr>
          <w:rFonts w:ascii="Times New Roman" w:eastAsia="標楷體" w:hAnsi="Times New Roman" w:cs="Times New Roman"/>
          <w:b w:val="0"/>
          <w:color w:val="auto"/>
          <w:sz w:val="24"/>
          <w:szCs w:val="28"/>
        </w:rPr>
        <w:tab/>
        <w:t>32</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3.7.1 MNIR </w:t>
      </w:r>
      <w:r>
        <w:rPr>
          <w:rFonts w:ascii="Times New Roman" w:eastAsia="標楷體" w:hAnsi="Times New Roman" w:cs="Times New Roman"/>
          <w:b w:val="0"/>
          <w:color w:val="auto"/>
          <w:sz w:val="24"/>
          <w:szCs w:val="28"/>
        </w:rPr>
        <w:t>之模型設定與</w:t>
      </w:r>
      <w:r>
        <w:rPr>
          <w:rFonts w:ascii="Times New Roman" w:eastAsia="標楷體" w:hAnsi="Times New Roman" w:cs="Times New Roman"/>
          <w:b w:val="0"/>
          <w:color w:val="auto"/>
          <w:sz w:val="24"/>
          <w:szCs w:val="28"/>
        </w:rPr>
        <w:t xml:space="preserve"> inverse regression</w:t>
      </w:r>
      <w:r>
        <w:rPr>
          <w:rFonts w:ascii="Times New Roman" w:eastAsia="標楷體" w:hAnsi="Times New Roman" w:cs="Times New Roman"/>
          <w:b w:val="0"/>
          <w:color w:val="auto"/>
          <w:sz w:val="24"/>
          <w:szCs w:val="28"/>
        </w:rPr>
        <w:tab/>
        <w:t>33</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3.7.2 Gamma-Lasso </w:t>
      </w:r>
      <w:r>
        <w:rPr>
          <w:rFonts w:ascii="Times New Roman" w:eastAsia="標楷體" w:hAnsi="Times New Roman" w:cs="Times New Roman"/>
          <w:b w:val="0"/>
          <w:color w:val="auto"/>
          <w:sz w:val="24"/>
          <w:szCs w:val="28"/>
        </w:rPr>
        <w:t>估計法與正則化</w:t>
      </w:r>
      <w:r>
        <w:rPr>
          <w:rFonts w:ascii="Times New Roman" w:eastAsia="標楷體" w:hAnsi="Times New Roman" w:cs="Times New Roman"/>
          <w:b w:val="0"/>
          <w:color w:val="auto"/>
          <w:sz w:val="24"/>
          <w:szCs w:val="28"/>
        </w:rPr>
        <w:tab/>
        <w:t>34</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3.7.3 </w:t>
      </w:r>
      <w:r>
        <w:rPr>
          <w:rFonts w:ascii="Times New Roman" w:eastAsia="標楷體" w:hAnsi="Times New Roman" w:cs="Times New Roman"/>
          <w:b w:val="0"/>
          <w:color w:val="auto"/>
          <w:sz w:val="24"/>
          <w:szCs w:val="28"/>
        </w:rPr>
        <w:t>充分縮減分數與降維邏輯</w:t>
      </w:r>
      <w:r>
        <w:rPr>
          <w:rFonts w:ascii="Times New Roman" w:eastAsia="標楷體" w:hAnsi="Times New Roman" w:cs="Times New Roman"/>
          <w:b w:val="0"/>
          <w:color w:val="auto"/>
          <w:sz w:val="24"/>
          <w:szCs w:val="28"/>
        </w:rPr>
        <w:tab/>
        <w:t>35</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3.8 </w:t>
      </w:r>
      <w:r>
        <w:rPr>
          <w:rFonts w:ascii="Times New Roman" w:eastAsia="標楷體" w:hAnsi="Times New Roman" w:cs="Times New Roman"/>
          <w:b w:val="0"/>
          <w:color w:val="auto"/>
          <w:sz w:val="24"/>
          <w:szCs w:val="28"/>
        </w:rPr>
        <w:t>模型流程設計</w:t>
      </w:r>
      <w:r>
        <w:rPr>
          <w:rFonts w:ascii="Times New Roman" w:eastAsia="標楷體" w:hAnsi="Times New Roman" w:cs="Times New Roman"/>
          <w:b w:val="0"/>
          <w:color w:val="auto"/>
          <w:sz w:val="24"/>
          <w:szCs w:val="28"/>
        </w:rPr>
        <w:tab/>
        <w:t>36</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lastRenderedPageBreak/>
        <w:t xml:space="preserve">3.8.1 SVM </w:t>
      </w:r>
      <w:r>
        <w:rPr>
          <w:rFonts w:ascii="Times New Roman" w:eastAsia="標楷體" w:hAnsi="Times New Roman" w:cs="Times New Roman"/>
          <w:b w:val="0"/>
          <w:color w:val="auto"/>
          <w:sz w:val="24"/>
          <w:szCs w:val="28"/>
        </w:rPr>
        <w:t>分類器設定</w:t>
      </w:r>
      <w:r>
        <w:rPr>
          <w:rFonts w:ascii="Times New Roman" w:eastAsia="標楷體" w:hAnsi="Times New Roman" w:cs="Times New Roman"/>
          <w:b w:val="0"/>
          <w:color w:val="auto"/>
          <w:sz w:val="24"/>
          <w:szCs w:val="28"/>
        </w:rPr>
        <w:tab/>
        <w:t>36</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3.8.2 Chi-square + MNIR + SVM </w:t>
      </w:r>
      <w:r>
        <w:rPr>
          <w:rFonts w:ascii="Times New Roman" w:eastAsia="標楷體" w:hAnsi="Times New Roman" w:cs="Times New Roman"/>
          <w:b w:val="0"/>
          <w:color w:val="auto"/>
          <w:sz w:val="24"/>
          <w:szCs w:val="28"/>
        </w:rPr>
        <w:t>流程</w:t>
      </w:r>
      <w:r>
        <w:rPr>
          <w:rFonts w:ascii="Times New Roman" w:eastAsia="標楷體" w:hAnsi="Times New Roman" w:cs="Times New Roman"/>
          <w:b w:val="0"/>
          <w:color w:val="auto"/>
          <w:sz w:val="24"/>
          <w:szCs w:val="28"/>
        </w:rPr>
        <w:tab/>
        <w:t>38</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3.8.3 Chi-square + SVM </w:t>
      </w:r>
      <w:r>
        <w:rPr>
          <w:rFonts w:ascii="Times New Roman" w:eastAsia="標楷體" w:hAnsi="Times New Roman" w:cs="Times New Roman"/>
          <w:b w:val="0"/>
          <w:color w:val="auto"/>
          <w:sz w:val="24"/>
          <w:szCs w:val="28"/>
        </w:rPr>
        <w:t>對照流程</w:t>
      </w:r>
      <w:r>
        <w:rPr>
          <w:rFonts w:ascii="Times New Roman" w:eastAsia="標楷體" w:hAnsi="Times New Roman" w:cs="Times New Roman"/>
          <w:b w:val="0"/>
          <w:color w:val="auto"/>
          <w:sz w:val="24"/>
          <w:szCs w:val="28"/>
        </w:rPr>
        <w:tab/>
        <w:t>39</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3.8.4 Majority Class baseline</w:t>
      </w:r>
      <w:r>
        <w:rPr>
          <w:rFonts w:ascii="Times New Roman" w:eastAsia="標楷體" w:hAnsi="Times New Roman" w:cs="Times New Roman"/>
          <w:b w:val="0"/>
          <w:color w:val="auto"/>
          <w:sz w:val="24"/>
          <w:szCs w:val="28"/>
        </w:rPr>
        <w:tab/>
        <w:t>39</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3.8.5 </w:t>
      </w:r>
      <w:r>
        <w:rPr>
          <w:rFonts w:ascii="Times New Roman" w:eastAsia="標楷體" w:hAnsi="Times New Roman" w:cs="Times New Roman"/>
          <w:b w:val="0"/>
          <w:color w:val="auto"/>
          <w:sz w:val="24"/>
          <w:szCs w:val="28"/>
        </w:rPr>
        <w:t>模型評估方式</w:t>
      </w:r>
      <w:r>
        <w:rPr>
          <w:rFonts w:ascii="Times New Roman" w:eastAsia="標楷體" w:hAnsi="Times New Roman" w:cs="Times New Roman"/>
          <w:b w:val="0"/>
          <w:color w:val="auto"/>
          <w:sz w:val="24"/>
          <w:szCs w:val="28"/>
        </w:rPr>
        <w:tab/>
        <w:t>40</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3.8.6 </w:t>
      </w:r>
      <w:r>
        <w:rPr>
          <w:rFonts w:ascii="Times New Roman" w:eastAsia="標楷體" w:hAnsi="Times New Roman" w:cs="Times New Roman"/>
          <w:b w:val="0"/>
          <w:color w:val="auto"/>
          <w:sz w:val="24"/>
          <w:szCs w:val="28"/>
        </w:rPr>
        <w:t>本研究各方法之功能與流程比較</w:t>
      </w:r>
      <w:r>
        <w:rPr>
          <w:rFonts w:ascii="Times New Roman" w:eastAsia="標楷體" w:hAnsi="Times New Roman" w:cs="Times New Roman"/>
          <w:b w:val="0"/>
          <w:color w:val="auto"/>
          <w:sz w:val="24"/>
          <w:szCs w:val="28"/>
        </w:rPr>
        <w:tab/>
        <w:t>42</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3.9 </w:t>
      </w:r>
      <w:r>
        <w:rPr>
          <w:rFonts w:ascii="Times New Roman" w:eastAsia="標楷體" w:hAnsi="Times New Roman" w:cs="Times New Roman"/>
          <w:b w:val="0"/>
          <w:color w:val="auto"/>
          <w:sz w:val="24"/>
          <w:szCs w:val="28"/>
        </w:rPr>
        <w:t>資料集劃分與參數選擇</w:t>
      </w:r>
      <w:r>
        <w:rPr>
          <w:rFonts w:ascii="Times New Roman" w:eastAsia="標楷體" w:hAnsi="Times New Roman" w:cs="Times New Roman"/>
          <w:b w:val="0"/>
          <w:color w:val="auto"/>
          <w:sz w:val="24"/>
          <w:szCs w:val="28"/>
        </w:rPr>
        <w:tab/>
        <w:t>43</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3.10 </w:t>
      </w:r>
      <w:r>
        <w:rPr>
          <w:rFonts w:ascii="Times New Roman" w:eastAsia="標楷體" w:hAnsi="Times New Roman" w:cs="Times New Roman"/>
          <w:b w:val="0"/>
          <w:color w:val="auto"/>
          <w:sz w:val="24"/>
          <w:szCs w:val="28"/>
        </w:rPr>
        <w:t>小結</w:t>
      </w:r>
      <w:r>
        <w:rPr>
          <w:rFonts w:ascii="Times New Roman" w:eastAsia="標楷體" w:hAnsi="Times New Roman" w:cs="Times New Roman"/>
          <w:b w:val="0"/>
          <w:color w:val="auto"/>
          <w:sz w:val="24"/>
          <w:szCs w:val="28"/>
        </w:rPr>
        <w:tab/>
        <w:t>45</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第四章</w:t>
      </w:r>
      <w:r>
        <w:rPr>
          <w:rFonts w:ascii="Times New Roman" w:eastAsia="標楷體" w:hAnsi="Times New Roman" w:cs="Times New Roman"/>
          <w:b w:val="0"/>
          <w:color w:val="auto"/>
          <w:sz w:val="24"/>
          <w:szCs w:val="28"/>
        </w:rPr>
        <w:t xml:space="preserve"> </w:t>
      </w:r>
      <w:r>
        <w:rPr>
          <w:rFonts w:ascii="Times New Roman" w:eastAsia="標楷體" w:hAnsi="Times New Roman" w:cs="Times New Roman"/>
          <w:b w:val="0"/>
          <w:color w:val="auto"/>
          <w:sz w:val="24"/>
          <w:szCs w:val="28"/>
        </w:rPr>
        <w:t>研究結果與分析</w:t>
      </w:r>
      <w:r>
        <w:rPr>
          <w:rFonts w:ascii="Times New Roman" w:eastAsia="標楷體" w:hAnsi="Times New Roman" w:cs="Times New Roman"/>
          <w:b w:val="0"/>
          <w:color w:val="auto"/>
          <w:sz w:val="24"/>
          <w:szCs w:val="28"/>
        </w:rPr>
        <w:tab/>
        <w:t>47</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4.1 </w:t>
      </w:r>
      <w:r>
        <w:rPr>
          <w:rFonts w:ascii="Times New Roman" w:eastAsia="標楷體" w:hAnsi="Times New Roman" w:cs="Times New Roman"/>
          <w:b w:val="0"/>
          <w:color w:val="auto"/>
          <w:sz w:val="24"/>
          <w:szCs w:val="28"/>
        </w:rPr>
        <w:t>實驗設定與評估邏輯</w:t>
      </w:r>
      <w:r>
        <w:rPr>
          <w:rFonts w:ascii="Times New Roman" w:eastAsia="標楷體" w:hAnsi="Times New Roman" w:cs="Times New Roman"/>
          <w:b w:val="0"/>
          <w:color w:val="auto"/>
          <w:sz w:val="24"/>
          <w:szCs w:val="28"/>
        </w:rPr>
        <w:tab/>
        <w:t>47</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4.2 Chi-square + MNIR + SVM </w:t>
      </w:r>
      <w:r>
        <w:rPr>
          <w:rFonts w:ascii="Times New Roman" w:eastAsia="標楷體" w:hAnsi="Times New Roman" w:cs="Times New Roman"/>
          <w:b w:val="0"/>
          <w:color w:val="auto"/>
          <w:sz w:val="24"/>
          <w:szCs w:val="28"/>
        </w:rPr>
        <w:t>核心流程之模型表現</w:t>
      </w:r>
      <w:r>
        <w:rPr>
          <w:rFonts w:ascii="Times New Roman" w:eastAsia="標楷體" w:hAnsi="Times New Roman" w:cs="Times New Roman"/>
          <w:b w:val="0"/>
          <w:color w:val="auto"/>
          <w:sz w:val="24"/>
          <w:szCs w:val="28"/>
        </w:rPr>
        <w:tab/>
        <w:t>47</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4.3 Chi-square + SVM </w:t>
      </w:r>
      <w:r>
        <w:rPr>
          <w:rFonts w:ascii="Times New Roman" w:eastAsia="標楷體" w:hAnsi="Times New Roman" w:cs="Times New Roman"/>
          <w:b w:val="0"/>
          <w:color w:val="auto"/>
          <w:sz w:val="24"/>
          <w:szCs w:val="28"/>
        </w:rPr>
        <w:t>對照流程之模型表現</w:t>
      </w:r>
      <w:r>
        <w:rPr>
          <w:rFonts w:ascii="Times New Roman" w:eastAsia="標楷體" w:hAnsi="Times New Roman" w:cs="Times New Roman"/>
          <w:b w:val="0"/>
          <w:color w:val="auto"/>
          <w:sz w:val="24"/>
          <w:szCs w:val="28"/>
        </w:rPr>
        <w:tab/>
        <w:t>48</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4.4 Chi-square + MNIR + SVM </w:t>
      </w:r>
      <w:r>
        <w:rPr>
          <w:rFonts w:ascii="Times New Roman" w:eastAsia="標楷體" w:hAnsi="Times New Roman" w:cs="Times New Roman"/>
          <w:b w:val="0"/>
          <w:color w:val="auto"/>
          <w:sz w:val="24"/>
          <w:szCs w:val="28"/>
        </w:rPr>
        <w:t>與</w:t>
      </w:r>
      <w:r>
        <w:rPr>
          <w:rFonts w:ascii="Times New Roman" w:eastAsia="標楷體" w:hAnsi="Times New Roman" w:cs="Times New Roman"/>
          <w:b w:val="0"/>
          <w:color w:val="auto"/>
          <w:sz w:val="24"/>
          <w:szCs w:val="28"/>
        </w:rPr>
        <w:t xml:space="preserve"> Chi-square + SVM </w:t>
      </w:r>
      <w:r>
        <w:rPr>
          <w:rFonts w:ascii="Times New Roman" w:eastAsia="標楷體" w:hAnsi="Times New Roman" w:cs="Times New Roman"/>
          <w:b w:val="0"/>
          <w:color w:val="auto"/>
          <w:sz w:val="24"/>
          <w:szCs w:val="28"/>
        </w:rPr>
        <w:t>之整體流程比較</w:t>
      </w:r>
      <w:r>
        <w:rPr>
          <w:rFonts w:ascii="Times New Roman" w:eastAsia="標楷體" w:hAnsi="Times New Roman" w:cs="Times New Roman"/>
          <w:b w:val="0"/>
          <w:color w:val="auto"/>
          <w:sz w:val="24"/>
          <w:szCs w:val="28"/>
        </w:rPr>
        <w:tab/>
        <w:t>49</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4.5 </w:t>
      </w:r>
      <w:r>
        <w:rPr>
          <w:rFonts w:ascii="Times New Roman" w:eastAsia="標楷體" w:hAnsi="Times New Roman" w:cs="Times New Roman"/>
          <w:b w:val="0"/>
          <w:color w:val="auto"/>
          <w:sz w:val="24"/>
          <w:szCs w:val="28"/>
        </w:rPr>
        <w:t>不同文字特徵表示之影響</w:t>
      </w:r>
      <w:r>
        <w:rPr>
          <w:rFonts w:ascii="Times New Roman" w:eastAsia="標楷體" w:hAnsi="Times New Roman" w:cs="Times New Roman"/>
          <w:b w:val="0"/>
          <w:color w:val="auto"/>
          <w:sz w:val="24"/>
          <w:szCs w:val="28"/>
        </w:rPr>
        <w:tab/>
        <w:t>52</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4.6 </w:t>
      </w:r>
      <w:r>
        <w:rPr>
          <w:rFonts w:ascii="Times New Roman" w:eastAsia="標楷體" w:hAnsi="Times New Roman" w:cs="Times New Roman"/>
          <w:b w:val="0"/>
          <w:color w:val="auto"/>
          <w:sz w:val="24"/>
          <w:szCs w:val="28"/>
        </w:rPr>
        <w:t>參數選擇與驗證集表現</w:t>
      </w:r>
      <w:r>
        <w:rPr>
          <w:rFonts w:ascii="Times New Roman" w:eastAsia="標楷體" w:hAnsi="Times New Roman" w:cs="Times New Roman"/>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4.7 </w:t>
      </w:r>
      <w:r>
        <w:rPr>
          <w:rFonts w:ascii="Times New Roman" w:eastAsia="標楷體" w:hAnsi="Times New Roman" w:cs="Times New Roman"/>
          <w:b w:val="0"/>
          <w:color w:val="auto"/>
          <w:sz w:val="24"/>
          <w:szCs w:val="28"/>
        </w:rPr>
        <w:t>錯誤分析與少數類別限制</w:t>
      </w:r>
      <w:r>
        <w:rPr>
          <w:rFonts w:ascii="Times New Roman" w:eastAsia="標楷體" w:hAnsi="Times New Roman" w:cs="Times New Roman"/>
          <w:b w:val="0"/>
          <w:color w:val="auto"/>
          <w:sz w:val="24"/>
          <w:szCs w:val="28"/>
        </w:rPr>
        <w:tab/>
        <w:t>55</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4.8 </w:t>
      </w:r>
      <w:r>
        <w:rPr>
          <w:rFonts w:ascii="Times New Roman" w:eastAsia="標楷體" w:hAnsi="Times New Roman" w:cs="Times New Roman"/>
          <w:b w:val="0"/>
          <w:color w:val="auto"/>
          <w:sz w:val="24"/>
          <w:szCs w:val="28"/>
        </w:rPr>
        <w:t>小結</w:t>
      </w:r>
      <w:r>
        <w:rPr>
          <w:rFonts w:ascii="Times New Roman" w:eastAsia="標楷體" w:hAnsi="Times New Roman" w:cs="Times New Roman"/>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第五章</w:t>
      </w:r>
      <w:r>
        <w:rPr>
          <w:rFonts w:ascii="Times New Roman" w:eastAsia="標楷體" w:hAnsi="Times New Roman" w:cs="Times New Roman"/>
          <w:b w:val="0"/>
          <w:color w:val="auto"/>
          <w:sz w:val="24"/>
          <w:szCs w:val="28"/>
        </w:rPr>
        <w:t xml:space="preserve"> </w:t>
      </w:r>
      <w:r>
        <w:rPr>
          <w:rFonts w:ascii="Times New Roman" w:eastAsia="標楷體" w:hAnsi="Times New Roman" w:cs="Times New Roman"/>
          <w:b w:val="0"/>
          <w:color w:val="auto"/>
          <w:sz w:val="24"/>
          <w:szCs w:val="28"/>
        </w:rPr>
        <w:t>結論與建議</w:t>
      </w:r>
      <w:r>
        <w:rPr>
          <w:rFonts w:ascii="Times New Roman" w:eastAsia="標楷體" w:hAnsi="Times New Roman" w:cs="Times New Roman"/>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5.1 </w:t>
      </w:r>
      <w:r>
        <w:rPr>
          <w:rFonts w:ascii="Times New Roman" w:eastAsia="標楷體" w:hAnsi="Times New Roman" w:cs="Times New Roman"/>
          <w:b w:val="0"/>
          <w:color w:val="auto"/>
          <w:sz w:val="24"/>
          <w:szCs w:val="28"/>
        </w:rPr>
        <w:t>研究結論</w:t>
      </w:r>
      <w:r>
        <w:rPr>
          <w:rFonts w:ascii="Times New Roman" w:eastAsia="標楷體" w:hAnsi="Times New Roman" w:cs="Times New Roman"/>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5.2 </w:t>
      </w:r>
      <w:r>
        <w:rPr>
          <w:rFonts w:ascii="Times New Roman" w:eastAsia="標楷體" w:hAnsi="Times New Roman" w:cs="Times New Roman"/>
          <w:b w:val="0"/>
          <w:color w:val="auto"/>
          <w:sz w:val="24"/>
          <w:szCs w:val="28"/>
        </w:rPr>
        <w:t>研究貢獻</w:t>
      </w:r>
      <w:r>
        <w:rPr>
          <w:rFonts w:ascii="Times New Roman" w:eastAsia="標楷體" w:hAnsi="Times New Roman" w:cs="Times New Roman"/>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5.3 </w:t>
      </w:r>
      <w:r>
        <w:rPr>
          <w:rFonts w:ascii="Times New Roman" w:eastAsia="標楷體" w:hAnsi="Times New Roman" w:cs="Times New Roman"/>
          <w:b w:val="0"/>
          <w:color w:val="auto"/>
          <w:sz w:val="24"/>
          <w:szCs w:val="28"/>
        </w:rPr>
        <w:t>研究限制</w:t>
      </w:r>
      <w:r>
        <w:rPr>
          <w:rFonts w:ascii="Times New Roman" w:eastAsia="標楷體" w:hAnsi="Times New Roman" w:cs="Times New Roman"/>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5.4 </w:t>
      </w:r>
      <w:r>
        <w:rPr>
          <w:rFonts w:ascii="Times New Roman" w:eastAsia="標楷體" w:hAnsi="Times New Roman" w:cs="Times New Roman"/>
          <w:b w:val="0"/>
          <w:color w:val="auto"/>
          <w:sz w:val="24"/>
          <w:szCs w:val="28"/>
        </w:rPr>
        <w:t>研究結果之建議</w:t>
      </w:r>
      <w:r>
        <w:rPr>
          <w:rFonts w:ascii="Times New Roman" w:eastAsia="標楷體" w:hAnsi="Times New Roman" w:cs="Times New Roman"/>
          <w:b w:val="0"/>
          <w:color w:val="auto"/>
          <w:sz w:val="24"/>
          <w:szCs w:val="28"/>
        </w:rPr>
        <w:tab/>
        <w:t>65</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5.4.1 </w:t>
      </w:r>
      <w:r>
        <w:rPr>
          <w:rFonts w:ascii="Times New Roman" w:eastAsia="標楷體" w:hAnsi="Times New Roman" w:cs="Times New Roman"/>
          <w:b w:val="0"/>
          <w:color w:val="auto"/>
          <w:sz w:val="24"/>
          <w:szCs w:val="28"/>
        </w:rPr>
        <w:t>對模型與特徵表示選擇之建議</w:t>
      </w:r>
      <w:r>
        <w:rPr>
          <w:rFonts w:ascii="Times New Roman" w:eastAsia="標楷體" w:hAnsi="Times New Roman" w:cs="Times New Roman"/>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5.4.2 </w:t>
      </w:r>
      <w:r>
        <w:rPr>
          <w:rFonts w:ascii="Times New Roman" w:eastAsia="標楷體" w:hAnsi="Times New Roman" w:cs="Times New Roman"/>
          <w:b w:val="0"/>
          <w:color w:val="auto"/>
          <w:sz w:val="24"/>
          <w:szCs w:val="28"/>
        </w:rPr>
        <w:t>對不同資料情境之模型選擇建議</w:t>
      </w:r>
      <w:r>
        <w:rPr>
          <w:rFonts w:ascii="Times New Roman" w:eastAsia="標楷體" w:hAnsi="Times New Roman" w:cs="Times New Roman"/>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5.4.3 </w:t>
      </w:r>
      <w:r>
        <w:rPr>
          <w:rFonts w:ascii="Times New Roman" w:eastAsia="標楷體" w:hAnsi="Times New Roman" w:cs="Times New Roman"/>
          <w:b w:val="0"/>
          <w:color w:val="auto"/>
          <w:sz w:val="24"/>
          <w:szCs w:val="28"/>
        </w:rPr>
        <w:t>對後續研究與實務應用之建議</w:t>
      </w:r>
      <w:r>
        <w:rPr>
          <w:rFonts w:ascii="Times New Roman" w:eastAsia="標楷體" w:hAnsi="Times New Roman" w:cs="Times New Roman"/>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 xml:space="preserve">5.5 </w:t>
      </w:r>
      <w:r>
        <w:rPr>
          <w:rFonts w:ascii="Times New Roman" w:eastAsia="標楷體" w:hAnsi="Times New Roman" w:cs="Times New Roman"/>
          <w:b w:val="0"/>
          <w:color w:val="auto"/>
          <w:sz w:val="24"/>
          <w:szCs w:val="28"/>
        </w:rPr>
        <w:t>總結</w:t>
      </w:r>
      <w:r>
        <w:rPr>
          <w:rFonts w:ascii="Times New Roman" w:eastAsia="標楷體" w:hAnsi="Times New Roman" w:cs="Times New Roman"/>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中文文獻</w:t>
      </w:r>
      <w:r>
        <w:rPr>
          <w:rFonts w:ascii="Times New Roman" w:eastAsia="標楷體" w:hAnsi="Times New Roman" w:cs="Times New Roman"/>
          <w:b w:val="0"/>
          <w:color w:val="auto"/>
          <w:sz w:val="24"/>
          <w:szCs w:val="28"/>
        </w:rPr>
        <w:tab/>
        <w:t>69</w:t>
      </w:r>
    </w:p>
    <w:p w14:paraId="2B639415"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英文文獻</w:t>
      </w:r>
      <w:r>
        <w:rPr>
          <w:rFonts w:ascii="Times New Roman" w:eastAsia="標楷體" w:hAnsi="Times New Roman" w:cs="Times New Roman"/>
          <w:b w:val="0"/>
          <w:color w:val="auto"/>
          <w:sz w:val="24"/>
          <w:szCs w:val="28"/>
        </w:rPr>
        <w:tab/>
        <w:t>71</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3-1 </w:t>
      </w:r>
      <w:r>
        <w:rPr>
          <w:rFonts w:ascii="Times New Roman" w:eastAsia="標楷體" w:hAnsi="Times New Roman" w:cs="Times New Roman"/>
          <w:b w:val="0"/>
          <w:color w:val="auto"/>
          <w:sz w:val="24"/>
          <w:szCs w:val="28"/>
        </w:rPr>
        <w:t>原始資料欄位說明</w:t>
      </w:r>
      <w:r>
        <w:rPr>
          <w:rFonts w:ascii="Times New Roman" w:eastAsia="標楷體" w:hAnsi="Times New Roman" w:cs="Times New Roman"/>
          <w:b w:val="0"/>
          <w:color w:val="auto"/>
          <w:sz w:val="24"/>
          <w:szCs w:val="28"/>
        </w:rPr>
        <w:tab/>
        <w:t>20</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3-2 </w:t>
      </w:r>
      <w:r>
        <w:rPr>
          <w:rFonts w:ascii="Times New Roman" w:eastAsia="標楷體" w:hAnsi="Times New Roman" w:cs="Times New Roman"/>
          <w:b w:val="0"/>
          <w:color w:val="auto"/>
          <w:sz w:val="24"/>
          <w:szCs w:val="28"/>
        </w:rPr>
        <w:t>案件類型之法律性質與例示</w:t>
      </w:r>
      <w:r>
        <w:rPr>
          <w:rFonts w:ascii="Times New Roman" w:eastAsia="標楷體" w:hAnsi="Times New Roman" w:cs="Times New Roman"/>
          <w:b w:val="0"/>
          <w:color w:val="auto"/>
          <w:sz w:val="24"/>
          <w:szCs w:val="28"/>
        </w:rPr>
        <w:tab/>
        <w:t>22</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3-3 </w:t>
      </w:r>
      <w:r>
        <w:rPr>
          <w:rFonts w:ascii="Times New Roman" w:eastAsia="標楷體" w:hAnsi="Times New Roman" w:cs="Times New Roman"/>
          <w:b w:val="0"/>
          <w:color w:val="auto"/>
          <w:sz w:val="24"/>
          <w:szCs w:val="28"/>
        </w:rPr>
        <w:t>各案件類型與裁判結果標籤之對應原則</w:t>
      </w:r>
      <w:r>
        <w:rPr>
          <w:rFonts w:ascii="Times New Roman" w:eastAsia="標楷體" w:hAnsi="Times New Roman" w:cs="Times New Roman"/>
          <w:b w:val="0"/>
          <w:color w:val="auto"/>
          <w:sz w:val="24"/>
          <w:szCs w:val="28"/>
        </w:rPr>
        <w:tab/>
        <w:t>23</w:t>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3-4 </w:t>
      </w:r>
      <w:r>
        <w:rPr>
          <w:rFonts w:ascii="Times New Roman" w:eastAsia="標楷體" w:hAnsi="Times New Roman" w:cs="Times New Roman"/>
          <w:b w:val="0"/>
          <w:color w:val="auto"/>
          <w:sz w:val="24"/>
          <w:szCs w:val="28"/>
        </w:rPr>
        <w:t>案件類型與裁判結果分布</w:t>
      </w:r>
      <w:r>
        <w:rPr>
          <w:rFonts w:ascii="Times New Roman" w:eastAsia="標楷體" w:hAnsi="Times New Roman" w:cs="Times New Roman"/>
          <w:b w:val="0"/>
          <w:color w:val="auto"/>
          <w:sz w:val="24"/>
          <w:szCs w:val="28"/>
        </w:rPr>
        <w:tab/>
        <w:t>24</w:t>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3-5 </w:t>
      </w:r>
      <w:r>
        <w:rPr>
          <w:rFonts w:ascii="Times New Roman" w:eastAsia="標楷體" w:hAnsi="Times New Roman" w:cs="Times New Roman"/>
          <w:b w:val="0"/>
          <w:color w:val="auto"/>
          <w:sz w:val="24"/>
          <w:szCs w:val="28"/>
        </w:rPr>
        <w:t>年度區間與案件類型分布</w:t>
      </w:r>
      <w:r>
        <w:rPr>
          <w:rFonts w:ascii="Times New Roman" w:eastAsia="標楷體" w:hAnsi="Times New Roman" w:cs="Times New Roman"/>
          <w:b w:val="0"/>
          <w:color w:val="auto"/>
          <w:sz w:val="24"/>
          <w:szCs w:val="28"/>
        </w:rPr>
        <w:tab/>
        <w:t>25</w:t>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3-6 </w:t>
      </w:r>
      <w:r>
        <w:rPr>
          <w:rFonts w:ascii="Times New Roman" w:eastAsia="標楷體" w:hAnsi="Times New Roman" w:cs="Times New Roman"/>
          <w:b w:val="0"/>
          <w:color w:val="auto"/>
          <w:sz w:val="24"/>
          <w:szCs w:val="28"/>
        </w:rPr>
        <w:t>年度區間與裁判結果比例</w:t>
      </w:r>
      <w:r>
        <w:rPr>
          <w:rFonts w:ascii="Times New Roman" w:eastAsia="標楷體" w:hAnsi="Times New Roman" w:cs="Times New Roman"/>
          <w:b w:val="0"/>
          <w:color w:val="auto"/>
          <w:sz w:val="24"/>
          <w:szCs w:val="28"/>
        </w:rPr>
        <w:tab/>
        <w:t>26</w:t>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3-7 TP</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FP</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FN</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 xml:space="preserve">TN </w:t>
      </w:r>
      <w:r>
        <w:rPr>
          <w:rFonts w:ascii="Times New Roman" w:eastAsia="標楷體" w:hAnsi="Times New Roman" w:cs="Times New Roman"/>
          <w:b w:val="0"/>
          <w:color w:val="auto"/>
          <w:sz w:val="24"/>
          <w:szCs w:val="28"/>
        </w:rPr>
        <w:t>判斷示意表</w:t>
      </w:r>
      <w:r>
        <w:rPr>
          <w:rFonts w:ascii="Times New Roman" w:eastAsia="標楷體" w:hAnsi="Times New Roman" w:cs="Times New Roman"/>
          <w:b w:val="0"/>
          <w:color w:val="auto"/>
          <w:sz w:val="24"/>
          <w:szCs w:val="28"/>
        </w:rPr>
        <w:tab/>
        <w:t>40</w:t>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3-8 </w:t>
      </w:r>
      <w:r>
        <w:rPr>
          <w:rFonts w:ascii="Times New Roman" w:eastAsia="標楷體" w:hAnsi="Times New Roman" w:cs="Times New Roman"/>
          <w:b w:val="0"/>
          <w:color w:val="auto"/>
          <w:sz w:val="24"/>
          <w:szCs w:val="28"/>
        </w:rPr>
        <w:t>本研究各方法之功能與流程比較</w:t>
      </w:r>
      <w:r>
        <w:rPr>
          <w:rFonts w:ascii="Times New Roman" w:eastAsia="標楷體" w:hAnsi="Times New Roman" w:cs="Times New Roman"/>
          <w:b w:val="0"/>
          <w:color w:val="auto"/>
          <w:sz w:val="24"/>
          <w:szCs w:val="28"/>
        </w:rPr>
        <w:tab/>
        <w:t>43</w:t>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4-1 Chi-square </w:t>
      </w:r>
      <w:r>
        <w:rPr>
          <w:rFonts w:ascii="Times New Roman" w:eastAsia="標楷體" w:hAnsi="Times New Roman" w:cs="Times New Roman"/>
          <w:b w:val="0"/>
          <w:color w:val="auto"/>
          <w:sz w:val="24"/>
          <w:szCs w:val="28"/>
        </w:rPr>
        <w:t>特徵選擇與</w:t>
      </w:r>
      <w:r>
        <w:rPr>
          <w:rFonts w:ascii="Times New Roman" w:eastAsia="標楷體" w:hAnsi="Times New Roman" w:cs="Times New Roman"/>
          <w:b w:val="0"/>
          <w:color w:val="auto"/>
          <w:sz w:val="24"/>
          <w:szCs w:val="28"/>
        </w:rPr>
        <w:t xml:space="preserve"> MNIR </w:t>
      </w:r>
      <w:r>
        <w:rPr>
          <w:rFonts w:ascii="Times New Roman" w:eastAsia="標楷體" w:hAnsi="Times New Roman" w:cs="Times New Roman"/>
          <w:b w:val="0"/>
          <w:color w:val="auto"/>
          <w:sz w:val="24"/>
          <w:szCs w:val="28"/>
        </w:rPr>
        <w:t>轉換後之特徵維度</w:t>
      </w:r>
      <w:r>
        <w:rPr>
          <w:rFonts w:ascii="Times New Roman" w:eastAsia="標楷體" w:hAnsi="Times New Roman" w:cs="Times New Roman"/>
          <w:b w:val="0"/>
          <w:color w:val="auto"/>
          <w:sz w:val="24"/>
          <w:szCs w:val="28"/>
        </w:rPr>
        <w:tab/>
        <w:t>48</w:t>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4-2 Chi-square + MNIR + SVM </w:t>
      </w:r>
      <w:r>
        <w:rPr>
          <w:rFonts w:ascii="Times New Roman" w:eastAsia="標楷體" w:hAnsi="Times New Roman" w:cs="Times New Roman"/>
          <w:b w:val="0"/>
          <w:color w:val="auto"/>
          <w:sz w:val="24"/>
          <w:szCs w:val="28"/>
        </w:rPr>
        <w:t>於各資料集之最佳表現</w:t>
      </w:r>
      <w:r>
        <w:rPr>
          <w:rFonts w:ascii="Times New Roman" w:eastAsia="標楷體" w:hAnsi="Times New Roman" w:cs="Times New Roman"/>
          <w:b w:val="0"/>
          <w:color w:val="auto"/>
          <w:sz w:val="24"/>
          <w:szCs w:val="28"/>
        </w:rPr>
        <w:tab/>
        <w:t>48</w:t>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4-3 Chi-square + SVM </w:t>
      </w:r>
      <w:r>
        <w:rPr>
          <w:rFonts w:ascii="Times New Roman" w:eastAsia="標楷體" w:hAnsi="Times New Roman" w:cs="Times New Roman"/>
          <w:b w:val="0"/>
          <w:color w:val="auto"/>
          <w:sz w:val="24"/>
          <w:szCs w:val="28"/>
        </w:rPr>
        <w:t>於各資料集之最佳表現</w:t>
      </w:r>
      <w:r>
        <w:rPr>
          <w:rFonts w:ascii="Times New Roman" w:eastAsia="標楷體" w:hAnsi="Times New Roman" w:cs="Times New Roman"/>
          <w:b w:val="0"/>
          <w:color w:val="auto"/>
          <w:sz w:val="24"/>
          <w:szCs w:val="28"/>
        </w:rPr>
        <w:tab/>
        <w:t>49</w:t>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4-4 Chi-square + SVM </w:t>
      </w:r>
      <w:r>
        <w:rPr>
          <w:rFonts w:ascii="Times New Roman" w:eastAsia="標楷體" w:hAnsi="Times New Roman" w:cs="Times New Roman"/>
          <w:b w:val="0"/>
          <w:color w:val="auto"/>
          <w:sz w:val="24"/>
          <w:szCs w:val="28"/>
        </w:rPr>
        <w:t>與</w:t>
      </w:r>
      <w:r>
        <w:rPr>
          <w:rFonts w:ascii="Times New Roman" w:eastAsia="標楷體" w:hAnsi="Times New Roman" w:cs="Times New Roman"/>
          <w:b w:val="0"/>
          <w:color w:val="auto"/>
          <w:sz w:val="24"/>
          <w:szCs w:val="28"/>
        </w:rPr>
        <w:t xml:space="preserve"> Chi-square + MNIR + SVM </w:t>
      </w:r>
      <w:r>
        <w:rPr>
          <w:rFonts w:ascii="Times New Roman" w:eastAsia="標楷體" w:hAnsi="Times New Roman" w:cs="Times New Roman"/>
          <w:b w:val="0"/>
          <w:color w:val="auto"/>
          <w:sz w:val="24"/>
          <w:szCs w:val="28"/>
        </w:rPr>
        <w:t>之</w:t>
      </w:r>
      <w:r>
        <w:rPr>
          <w:rFonts w:ascii="Times New Roman" w:eastAsia="標楷體" w:hAnsi="Times New Roman" w:cs="Times New Roman"/>
          <w:b w:val="0"/>
          <w:color w:val="auto"/>
          <w:sz w:val="24"/>
          <w:szCs w:val="28"/>
        </w:rPr>
        <w:t xml:space="preserve"> Macro F1 </w:t>
      </w:r>
      <w:r>
        <w:rPr>
          <w:rFonts w:ascii="Times New Roman" w:eastAsia="標楷體" w:hAnsi="Times New Roman" w:cs="Times New Roman"/>
          <w:b w:val="0"/>
          <w:color w:val="auto"/>
          <w:sz w:val="24"/>
          <w:szCs w:val="28"/>
        </w:rPr>
        <w:t>比較</w:t>
      </w:r>
      <w:r>
        <w:rPr>
          <w:rFonts w:ascii="Times New Roman" w:eastAsia="標楷體" w:hAnsi="Times New Roman" w:cs="Times New Roman"/>
          <w:b w:val="0"/>
          <w:color w:val="auto"/>
          <w:sz w:val="24"/>
          <w:szCs w:val="28"/>
        </w:rPr>
        <w:tab/>
        <w:t>50</w:t>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4-5 Chi-square + SVM </w:t>
      </w:r>
      <w:r>
        <w:rPr>
          <w:rFonts w:ascii="Times New Roman" w:eastAsia="標楷體" w:hAnsi="Times New Roman" w:cs="Times New Roman"/>
          <w:b w:val="0"/>
          <w:color w:val="auto"/>
          <w:sz w:val="24"/>
          <w:szCs w:val="28"/>
        </w:rPr>
        <w:t>下</w:t>
      </w:r>
      <w:r>
        <w:rPr>
          <w:rFonts w:ascii="Times New Roman" w:eastAsia="標楷體" w:hAnsi="Times New Roman" w:cs="Times New Roman"/>
          <w:b w:val="0"/>
          <w:color w:val="auto"/>
          <w:sz w:val="24"/>
          <w:szCs w:val="28"/>
        </w:rPr>
        <w:t xml:space="preserve"> BoW</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TF</w:t>
      </w:r>
      <w:r>
        <w:rPr>
          <w:rFonts w:ascii="Times New Roman" w:eastAsia="標楷體" w:hAnsi="Times New Roman" w:cs="Times New Roman"/>
          <w:b w:val="0"/>
          <w:color w:val="auto"/>
          <w:sz w:val="24"/>
          <w:szCs w:val="28"/>
        </w:rPr>
        <w:t>、</w:t>
      </w:r>
      <w:r>
        <w:rPr>
          <w:rFonts w:ascii="Times New Roman" w:eastAsia="標楷體" w:hAnsi="Times New Roman" w:cs="Times New Roman"/>
          <w:b w:val="0"/>
          <w:color w:val="auto"/>
          <w:sz w:val="24"/>
          <w:szCs w:val="28"/>
        </w:rPr>
        <w:t xml:space="preserve">TF-IDF </w:t>
      </w:r>
      <w:r>
        <w:rPr>
          <w:rFonts w:ascii="Times New Roman" w:eastAsia="標楷體" w:hAnsi="Times New Roman" w:cs="Times New Roman"/>
          <w:b w:val="0"/>
          <w:color w:val="auto"/>
          <w:sz w:val="24"/>
          <w:szCs w:val="28"/>
        </w:rPr>
        <w:t>之</w:t>
      </w:r>
      <w:r>
        <w:rPr>
          <w:rFonts w:ascii="Times New Roman" w:eastAsia="標楷體" w:hAnsi="Times New Roman" w:cs="Times New Roman"/>
          <w:b w:val="0"/>
          <w:color w:val="auto"/>
          <w:sz w:val="24"/>
          <w:szCs w:val="28"/>
        </w:rPr>
        <w:t xml:space="preserve"> Macro F1</w:t>
      </w:r>
      <w:r>
        <w:rPr>
          <w:rFonts w:ascii="Times New Roman" w:eastAsia="標楷體" w:hAnsi="Times New Roman" w:cs="Times New Roman"/>
          <w:b w:val="0"/>
          <w:color w:val="auto"/>
          <w:sz w:val="24"/>
          <w:szCs w:val="28"/>
        </w:rPr>
        <w:tab/>
        <w:t>52</w:t>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4-6 </w:t>
      </w:r>
      <w:r>
        <w:rPr>
          <w:rFonts w:ascii="Times New Roman" w:eastAsia="標楷體" w:hAnsi="Times New Roman" w:cs="Times New Roman"/>
          <w:b w:val="0"/>
          <w:color w:val="auto"/>
          <w:sz w:val="24"/>
          <w:szCs w:val="28"/>
        </w:rPr>
        <w:t>各資料集最佳</w:t>
      </w:r>
      <w:r>
        <w:rPr>
          <w:rFonts w:ascii="Times New Roman" w:eastAsia="標楷體" w:hAnsi="Times New Roman" w:cs="Times New Roman"/>
          <w:b w:val="0"/>
          <w:color w:val="auto"/>
          <w:sz w:val="24"/>
          <w:szCs w:val="28"/>
        </w:rPr>
        <w:t xml:space="preserve"> Chi-square + SVM </w:t>
      </w:r>
      <w:r>
        <w:rPr>
          <w:rFonts w:ascii="Times New Roman" w:eastAsia="標楷體" w:hAnsi="Times New Roman" w:cs="Times New Roman"/>
          <w:b w:val="0"/>
          <w:color w:val="auto"/>
          <w:sz w:val="24"/>
          <w:szCs w:val="28"/>
        </w:rPr>
        <w:t>模型之參數選擇摘要</w:t>
      </w:r>
      <w:r>
        <w:rPr>
          <w:rFonts w:ascii="Times New Roman" w:eastAsia="標楷體" w:hAnsi="Times New Roman" w:cs="Times New Roman"/>
          <w:b w:val="0"/>
          <w:color w:val="auto"/>
          <w:sz w:val="24"/>
          <w:szCs w:val="28"/>
        </w:rPr>
        <w:tab/>
        <w:t>54</w:t>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4-7 </w:t>
      </w:r>
      <w:r>
        <w:rPr>
          <w:rFonts w:ascii="Times New Roman" w:eastAsia="標楷體" w:hAnsi="Times New Roman" w:cs="Times New Roman"/>
          <w:b w:val="0"/>
          <w:color w:val="auto"/>
          <w:sz w:val="24"/>
          <w:szCs w:val="28"/>
        </w:rPr>
        <w:t>民事案件最佳</w:t>
      </w:r>
      <w:r>
        <w:rPr>
          <w:rFonts w:ascii="Times New Roman" w:eastAsia="標楷體" w:hAnsi="Times New Roman" w:cs="Times New Roman"/>
          <w:b w:val="0"/>
          <w:color w:val="auto"/>
          <w:sz w:val="24"/>
          <w:szCs w:val="28"/>
        </w:rPr>
        <w:t xml:space="preserve"> Chi-square + SVM </w:t>
      </w:r>
      <w:r>
        <w:rPr>
          <w:rFonts w:ascii="Times New Roman" w:eastAsia="標楷體" w:hAnsi="Times New Roman" w:cs="Times New Roman"/>
          <w:b w:val="0"/>
          <w:color w:val="auto"/>
          <w:sz w:val="24"/>
          <w:szCs w:val="28"/>
        </w:rPr>
        <w:t>模型之測試集混淆矩陣</w:t>
      </w:r>
      <w:r>
        <w:rPr>
          <w:rFonts w:ascii="Times New Roman" w:eastAsia="標楷體" w:hAnsi="Times New Roman" w:cs="Times New Roman"/>
          <w:b w:val="0"/>
          <w:color w:val="auto"/>
          <w:sz w:val="24"/>
          <w:szCs w:val="28"/>
        </w:rPr>
        <w:tab/>
        <w:t>55</w:t>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4-8 </w:t>
      </w:r>
      <w:r>
        <w:rPr>
          <w:rFonts w:ascii="Times New Roman" w:eastAsia="標楷體" w:hAnsi="Times New Roman" w:cs="Times New Roman"/>
          <w:b w:val="0"/>
          <w:color w:val="auto"/>
          <w:sz w:val="24"/>
          <w:szCs w:val="28"/>
        </w:rPr>
        <w:t>民事案件最佳</w:t>
      </w:r>
      <w:r>
        <w:rPr>
          <w:rFonts w:ascii="Times New Roman" w:eastAsia="標楷體" w:hAnsi="Times New Roman" w:cs="Times New Roman"/>
          <w:b w:val="0"/>
          <w:color w:val="auto"/>
          <w:sz w:val="24"/>
          <w:szCs w:val="28"/>
        </w:rPr>
        <w:t xml:space="preserve"> Chi-square + SVM </w:t>
      </w:r>
      <w:r>
        <w:rPr>
          <w:rFonts w:ascii="Times New Roman" w:eastAsia="標楷體" w:hAnsi="Times New Roman" w:cs="Times New Roman"/>
          <w:b w:val="0"/>
          <w:color w:val="auto"/>
          <w:sz w:val="24"/>
          <w:szCs w:val="28"/>
        </w:rPr>
        <w:t>模型之分類報告</w:t>
      </w:r>
      <w:r>
        <w:rPr>
          <w:rFonts w:ascii="Times New Roman" w:eastAsia="標楷體" w:hAnsi="Times New Roman" w:cs="Times New Roman"/>
          <w:b w:val="0"/>
          <w:color w:val="auto"/>
          <w:sz w:val="24"/>
          <w:szCs w:val="28"/>
        </w:rPr>
        <w:tab/>
        <w:t>55</w:t>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4-9 </w:t>
      </w:r>
      <w:r>
        <w:rPr>
          <w:rFonts w:ascii="Times New Roman" w:eastAsia="標楷體" w:hAnsi="Times New Roman" w:cs="Times New Roman"/>
          <w:b w:val="0"/>
          <w:color w:val="auto"/>
          <w:sz w:val="24"/>
          <w:szCs w:val="28"/>
        </w:rPr>
        <w:t>民事案件最佳</w:t>
      </w:r>
      <w:r>
        <w:rPr>
          <w:rFonts w:ascii="Times New Roman" w:eastAsia="標楷體" w:hAnsi="Times New Roman" w:cs="Times New Roman"/>
          <w:b w:val="0"/>
          <w:color w:val="auto"/>
          <w:sz w:val="24"/>
          <w:szCs w:val="28"/>
        </w:rPr>
        <w:t xml:space="preserve"> Chi-square + SVM </w:t>
      </w:r>
      <w:r>
        <w:rPr>
          <w:rFonts w:ascii="Times New Roman" w:eastAsia="標楷體" w:hAnsi="Times New Roman" w:cs="Times New Roman"/>
          <w:b w:val="0"/>
          <w:color w:val="auto"/>
          <w:sz w:val="24"/>
          <w:szCs w:val="28"/>
        </w:rPr>
        <w:t>模型之主要錯誤分類型態</w:t>
      </w:r>
      <w:r>
        <w:rPr>
          <w:rFonts w:ascii="Times New Roman" w:eastAsia="標楷體" w:hAnsi="Times New Roman" w:cs="Times New Roman"/>
          <w:b w:val="0"/>
          <w:color w:val="auto"/>
          <w:sz w:val="24"/>
          <w:szCs w:val="28"/>
        </w:rPr>
        <w:tab/>
        <w:t>56</w:t>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4-10 </w:t>
      </w:r>
      <w:r>
        <w:rPr>
          <w:rFonts w:ascii="Times New Roman" w:eastAsia="標楷體" w:hAnsi="Times New Roman" w:cs="Times New Roman"/>
          <w:b w:val="0"/>
          <w:color w:val="auto"/>
          <w:sz w:val="24"/>
          <w:szCs w:val="28"/>
        </w:rPr>
        <w:t>各資料集最佳</w:t>
      </w:r>
      <w:r>
        <w:rPr>
          <w:rFonts w:ascii="Times New Roman" w:eastAsia="標楷體" w:hAnsi="Times New Roman" w:cs="Times New Roman"/>
          <w:b w:val="0"/>
          <w:color w:val="auto"/>
          <w:sz w:val="24"/>
          <w:szCs w:val="28"/>
        </w:rPr>
        <w:t xml:space="preserve"> Chi-square + SVM </w:t>
      </w:r>
      <w:r>
        <w:rPr>
          <w:rFonts w:ascii="Times New Roman" w:eastAsia="標楷體" w:hAnsi="Times New Roman" w:cs="Times New Roman"/>
          <w:b w:val="0"/>
          <w:color w:val="auto"/>
          <w:sz w:val="24"/>
          <w:szCs w:val="28"/>
        </w:rPr>
        <w:t>模型之類別</w:t>
      </w:r>
      <w:r>
        <w:rPr>
          <w:rFonts w:ascii="Times New Roman" w:eastAsia="標楷體" w:hAnsi="Times New Roman" w:cs="Times New Roman"/>
          <w:b w:val="0"/>
          <w:color w:val="auto"/>
          <w:sz w:val="24"/>
          <w:szCs w:val="28"/>
        </w:rPr>
        <w:t xml:space="preserve"> F1 </w:t>
      </w:r>
      <w:r>
        <w:rPr>
          <w:rFonts w:ascii="Times New Roman" w:eastAsia="標楷體" w:hAnsi="Times New Roman" w:cs="Times New Roman"/>
          <w:b w:val="0"/>
          <w:color w:val="auto"/>
          <w:sz w:val="24"/>
          <w:szCs w:val="28"/>
        </w:rPr>
        <w:t>摘要</w:t>
      </w:r>
      <w:r>
        <w:rPr>
          <w:rFonts w:ascii="Times New Roman" w:eastAsia="標楷體" w:hAnsi="Times New Roman" w:cs="Times New Roman"/>
          <w:b w:val="0"/>
          <w:color w:val="auto"/>
          <w:sz w:val="24"/>
          <w:szCs w:val="28"/>
        </w:rPr>
        <w:tab/>
        <w:t>57</w:t>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表</w:t>
      </w:r>
      <w:r>
        <w:rPr>
          <w:rFonts w:ascii="Times New Roman" w:eastAsia="標楷體" w:hAnsi="Times New Roman" w:cs="Times New Roman"/>
          <w:b w:val="0"/>
          <w:color w:val="auto"/>
          <w:sz w:val="24"/>
          <w:szCs w:val="28"/>
        </w:rPr>
        <w:t xml:space="preserve"> 5-1 </w:t>
      </w:r>
      <w:r>
        <w:rPr>
          <w:rFonts w:ascii="Times New Roman" w:eastAsia="標楷體" w:hAnsi="Times New Roman" w:cs="Times New Roman"/>
          <w:b w:val="0"/>
          <w:color w:val="auto"/>
          <w:sz w:val="24"/>
          <w:szCs w:val="28"/>
        </w:rPr>
        <w:t>不同案件類型下可優先考慮之文字特徵與模型流程</w:t>
      </w:r>
      <w:r>
        <w:rPr>
          <w:rFonts w:ascii="Times New Roman" w:eastAsia="標楷體" w:hAnsi="Times New Roman" w:cs="Times New Roman"/>
          <w:b w:val="0"/>
          <w:color w:val="auto"/>
          <w:sz w:val="24"/>
          <w:szCs w:val="28"/>
        </w:rPr>
        <w:tab/>
        <w:t>66</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3-1 </w:t>
      </w:r>
      <w:r>
        <w:rPr>
          <w:rFonts w:ascii="Times New Roman" w:eastAsia="標楷體" w:hAnsi="Times New Roman" w:cs="Times New Roman"/>
          <w:b w:val="0"/>
          <w:color w:val="auto"/>
          <w:sz w:val="24"/>
          <w:szCs w:val="28"/>
        </w:rPr>
        <w:t>研究流程</w:t>
      </w:r>
      <w:r>
        <w:rPr>
          <w:rFonts w:ascii="Times New Roman" w:eastAsia="標楷體" w:hAnsi="Times New Roman" w:cs="Times New Roman"/>
          <w:b w:val="0"/>
          <w:color w:val="auto"/>
          <w:sz w:val="24"/>
          <w:szCs w:val="28"/>
        </w:rPr>
        <w:tab/>
        <w:t>19</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3-2 </w:t>
      </w:r>
      <w:r>
        <w:rPr>
          <w:rFonts w:ascii="Times New Roman" w:eastAsia="標楷體" w:hAnsi="Times New Roman" w:cs="Times New Roman"/>
          <w:b w:val="0"/>
          <w:color w:val="auto"/>
          <w:sz w:val="24"/>
          <w:szCs w:val="28"/>
        </w:rPr>
        <w:t>案件類型與裁判結果分布圖</w:t>
      </w:r>
      <w:r>
        <w:rPr>
          <w:rFonts w:ascii="Times New Roman" w:eastAsia="標楷體" w:hAnsi="Times New Roman" w:cs="Times New Roman"/>
          <w:b w:val="0"/>
          <w:color w:val="auto"/>
          <w:sz w:val="24"/>
          <w:szCs w:val="28"/>
        </w:rPr>
        <w:tab/>
        <w:t>24</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3-3 </w:t>
      </w:r>
      <w:r>
        <w:rPr>
          <w:rFonts w:ascii="Times New Roman" w:eastAsia="標楷體" w:hAnsi="Times New Roman" w:cs="Times New Roman"/>
          <w:b w:val="0"/>
          <w:color w:val="auto"/>
          <w:sz w:val="24"/>
          <w:szCs w:val="28"/>
        </w:rPr>
        <w:t>年度區間與案件類型分布圖</w:t>
      </w:r>
      <w:r>
        <w:rPr>
          <w:rFonts w:ascii="Times New Roman" w:eastAsia="標楷體" w:hAnsi="Times New Roman" w:cs="Times New Roman"/>
          <w:b w:val="0"/>
          <w:color w:val="auto"/>
          <w:sz w:val="24"/>
          <w:szCs w:val="28"/>
        </w:rPr>
        <w:tab/>
        <w:t>25</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3-4 </w:t>
      </w:r>
      <w:r>
        <w:rPr>
          <w:rFonts w:ascii="Times New Roman" w:eastAsia="標楷體" w:hAnsi="Times New Roman" w:cs="Times New Roman"/>
          <w:b w:val="0"/>
          <w:color w:val="auto"/>
          <w:sz w:val="24"/>
          <w:szCs w:val="28"/>
        </w:rPr>
        <w:t>各案件類型高</w:t>
      </w:r>
      <w:r>
        <w:rPr>
          <w:rFonts w:ascii="Times New Roman" w:eastAsia="標楷體" w:hAnsi="Times New Roman" w:cs="Times New Roman"/>
          <w:b w:val="0"/>
          <w:color w:val="auto"/>
          <w:sz w:val="24"/>
          <w:szCs w:val="28"/>
        </w:rPr>
        <w:t xml:space="preserve"> TF-IDF </w:t>
      </w:r>
      <w:r>
        <w:rPr>
          <w:rFonts w:ascii="Times New Roman" w:eastAsia="標楷體" w:hAnsi="Times New Roman" w:cs="Times New Roman"/>
          <w:b w:val="0"/>
          <w:color w:val="auto"/>
          <w:sz w:val="24"/>
          <w:szCs w:val="28"/>
        </w:rPr>
        <w:t>詞彙分布</w:t>
      </w:r>
      <w:r>
        <w:rPr>
          <w:rFonts w:ascii="Times New Roman" w:eastAsia="標楷體" w:hAnsi="Times New Roman" w:cs="Times New Roman"/>
          <w:b w:val="0"/>
          <w:color w:val="auto"/>
          <w:sz w:val="24"/>
          <w:szCs w:val="28"/>
        </w:rPr>
        <w:tab/>
        <w:t>27</w:t>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3-5 SVM </w:t>
      </w:r>
      <w:r>
        <w:rPr>
          <w:rFonts w:ascii="Times New Roman" w:eastAsia="標楷體" w:hAnsi="Times New Roman" w:cs="Times New Roman"/>
          <w:b w:val="0"/>
          <w:color w:val="auto"/>
          <w:sz w:val="24"/>
          <w:szCs w:val="28"/>
        </w:rPr>
        <w:t>三類分類概念示意圖</w:t>
      </w:r>
      <w:r>
        <w:rPr>
          <w:rFonts w:ascii="Times New Roman" w:eastAsia="標楷體" w:hAnsi="Times New Roman" w:cs="Times New Roman"/>
          <w:b w:val="0"/>
          <w:color w:val="auto"/>
          <w:sz w:val="24"/>
          <w:szCs w:val="28"/>
        </w:rPr>
        <w:tab/>
        <w:t>37</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4-1 Chi-square + SVM </w:t>
      </w:r>
      <w:r>
        <w:rPr>
          <w:rFonts w:ascii="Times New Roman" w:eastAsia="標楷體" w:hAnsi="Times New Roman" w:cs="Times New Roman"/>
          <w:b w:val="0"/>
          <w:color w:val="auto"/>
          <w:sz w:val="24"/>
          <w:szCs w:val="28"/>
        </w:rPr>
        <w:t>與</w:t>
      </w:r>
      <w:r>
        <w:rPr>
          <w:rFonts w:ascii="Times New Roman" w:eastAsia="標楷體" w:hAnsi="Times New Roman" w:cs="Times New Roman"/>
          <w:b w:val="0"/>
          <w:color w:val="auto"/>
          <w:sz w:val="24"/>
          <w:szCs w:val="28"/>
        </w:rPr>
        <w:t xml:space="preserve"> Chi-square + MNIR + SVM </w:t>
      </w:r>
      <w:r>
        <w:rPr>
          <w:rFonts w:ascii="Times New Roman" w:eastAsia="標楷體" w:hAnsi="Times New Roman" w:cs="Times New Roman"/>
          <w:b w:val="0"/>
          <w:color w:val="auto"/>
          <w:sz w:val="24"/>
          <w:szCs w:val="28"/>
        </w:rPr>
        <w:t>之</w:t>
      </w:r>
      <w:r>
        <w:rPr>
          <w:rFonts w:ascii="Times New Roman" w:eastAsia="標楷體" w:hAnsi="Times New Roman" w:cs="Times New Roman"/>
          <w:b w:val="0"/>
          <w:color w:val="auto"/>
          <w:sz w:val="24"/>
          <w:szCs w:val="28"/>
        </w:rPr>
        <w:t xml:space="preserve"> Macro F1 </w:t>
      </w:r>
      <w:r>
        <w:rPr>
          <w:rFonts w:ascii="Times New Roman" w:eastAsia="標楷體" w:hAnsi="Times New Roman" w:cs="Times New Roman"/>
          <w:b w:val="0"/>
          <w:color w:val="auto"/>
          <w:sz w:val="24"/>
          <w:szCs w:val="28"/>
        </w:rPr>
        <w:t>比較</w:t>
      </w:r>
      <w:r>
        <w:rPr>
          <w:rFonts w:ascii="Times New Roman" w:eastAsia="標楷體" w:hAnsi="Times New Roman" w:cs="Times New Roman"/>
          <w:b w:val="0"/>
          <w:color w:val="auto"/>
          <w:sz w:val="24"/>
          <w:szCs w:val="28"/>
        </w:rPr>
        <w:tab/>
        <w:t>50</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4-2 </w:t>
      </w:r>
      <w:r>
        <w:rPr>
          <w:rFonts w:ascii="Times New Roman" w:eastAsia="標楷體" w:hAnsi="Times New Roman" w:cs="Times New Roman"/>
          <w:b w:val="0"/>
          <w:color w:val="auto"/>
          <w:sz w:val="24"/>
          <w:szCs w:val="28"/>
        </w:rPr>
        <w:t>不同文字特徵表示之</w:t>
      </w:r>
      <w:r>
        <w:rPr>
          <w:rFonts w:ascii="Times New Roman" w:eastAsia="標楷體" w:hAnsi="Times New Roman" w:cs="Times New Roman"/>
          <w:b w:val="0"/>
          <w:color w:val="auto"/>
          <w:sz w:val="24"/>
          <w:szCs w:val="28"/>
        </w:rPr>
        <w:t xml:space="preserve"> Macro F1 </w:t>
      </w:r>
      <w:r>
        <w:rPr>
          <w:rFonts w:ascii="Times New Roman" w:eastAsia="標楷體" w:hAnsi="Times New Roman" w:cs="Times New Roman"/>
          <w:b w:val="0"/>
          <w:color w:val="auto"/>
          <w:sz w:val="24"/>
          <w:szCs w:val="28"/>
        </w:rPr>
        <w:t>比較</w:t>
      </w:r>
      <w:r>
        <w:rPr>
          <w:rFonts w:ascii="Times New Roman" w:eastAsia="標楷體" w:hAnsi="Times New Roman" w:cs="Times New Roman"/>
          <w:b w:val="0"/>
          <w:color w:val="auto"/>
          <w:sz w:val="24"/>
          <w:szCs w:val="28"/>
        </w:rPr>
        <w:tab/>
        <w:t>52</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Pr>
          <w:rFonts w:ascii="Times New Roman" w:eastAsia="標楷體" w:hAnsi="Times New Roman" w:cs="Times New Roman"/>
          <w:b w:val="0"/>
          <w:color w:val="auto"/>
          <w:sz w:val="24"/>
          <w:szCs w:val="28"/>
        </w:rPr>
        <w:t>圖</w:t>
      </w:r>
      <w:r>
        <w:rPr>
          <w:rFonts w:ascii="Times New Roman" w:eastAsia="標楷體" w:hAnsi="Times New Roman" w:cs="Times New Roman"/>
          <w:b w:val="0"/>
          <w:color w:val="auto"/>
          <w:sz w:val="24"/>
          <w:szCs w:val="28"/>
        </w:rPr>
        <w:t xml:space="preserve"> 4-3 Chi-square + SVM </w:t>
      </w:r>
      <w:r>
        <w:rPr>
          <w:rFonts w:ascii="Times New Roman" w:eastAsia="標楷體" w:hAnsi="Times New Roman" w:cs="Times New Roman"/>
          <w:b w:val="0"/>
          <w:color w:val="auto"/>
          <w:sz w:val="24"/>
          <w:szCs w:val="28"/>
        </w:rPr>
        <w:t>之</w:t>
      </w:r>
      <w:r>
        <w:rPr>
          <w:rFonts w:ascii="Times New Roman" w:eastAsia="標楷體" w:hAnsi="Times New Roman" w:cs="Times New Roman"/>
          <w:b w:val="0"/>
          <w:color w:val="auto"/>
          <w:sz w:val="24"/>
          <w:szCs w:val="28"/>
        </w:rPr>
        <w:t xml:space="preserve"> K × C </w:t>
      </w:r>
      <w:r>
        <w:rPr>
          <w:rFonts w:ascii="Times New Roman" w:eastAsia="標楷體" w:hAnsi="Times New Roman" w:cs="Times New Roman"/>
          <w:b w:val="0"/>
          <w:color w:val="auto"/>
          <w:sz w:val="24"/>
          <w:szCs w:val="28"/>
        </w:rPr>
        <w:t>驗證集</w:t>
      </w:r>
      <w:r>
        <w:rPr>
          <w:rFonts w:ascii="Times New Roman" w:eastAsia="標楷體" w:hAnsi="Times New Roman" w:cs="Times New Roman"/>
          <w:b w:val="0"/>
          <w:color w:val="auto"/>
          <w:sz w:val="24"/>
          <w:szCs w:val="28"/>
        </w:rPr>
        <w:t xml:space="preserve"> Macro F1 </w:t>
      </w:r>
      <w:r>
        <w:rPr>
          <w:rFonts w:ascii="Times New Roman" w:eastAsia="標楷體" w:hAnsi="Times New Roman" w:cs="Times New Roman"/>
          <w:b w:val="0"/>
          <w:color w:val="auto"/>
          <w:sz w:val="24"/>
          <w:szCs w:val="28"/>
        </w:rPr>
        <w:t>熱力圖</w:t>
      </w:r>
      <w:r>
        <w:rPr>
          <w:rFonts w:ascii="Times New Roman" w:eastAsia="標楷體" w:hAnsi="Times New Roman" w:cs="Times New Roman"/>
          <w:b w:val="0"/>
          <w:color w:val="auto"/>
          <w:sz w:val="24"/>
          <w:szCs w:val="28"/>
        </w:rPr>
        <w:tab/>
        <w:t>54</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與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Chi-square + MNIR + SVM </w:t>
      </w:r>
      <w:r w:rsidRPr="00706F03">
        <w:rPr>
          <w:rFonts w:cs="Times New Roman"/>
          <w:szCs w:val="28"/>
        </w:rPr>
        <w:t>與</w:t>
      </w:r>
      <w:r w:rsidRPr="00706F03">
        <w:rPr>
          <w:rFonts w:cs="Times New Roman"/>
          <w:szCs w:val="28"/>
        </w:rPr>
        <w:t xml:space="preserve"> Chi-square + SVM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6E56609A"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r w:rsidR="00DF79AD" w:rsidRPr="00DF79AD">
        <w:rPr>
          <w:rFonts w:cs="Times New Roman"/>
          <w:szCs w:val="28"/>
        </w:rPr>
        <w:t>基於此，本研究針對行政、民事、刑事與刑事附帶民事四類案件，以及敗訴、部分勝訴與勝訴三類裁判結果建立分類流程，以檢驗不同案件類型下模型的辨識能力。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）同時考量詞彙在單篇裁判書中的出現程度及其在整體語料中的普遍程度，以降低常見詞彙的權重。在模型流程方面，本研究先以</w:t>
      </w:r>
      <w:r w:rsidR="00832F63" w:rsidRPr="00706F03">
        <w:rPr>
          <w:rFonts w:cs="Times New Roman" w:hint="eastAsia"/>
          <w:szCs w:val="28"/>
        </w:rPr>
        <w:t xml:space="preserve"> Chi-square </w:t>
      </w:r>
      <w:r w:rsidR="00832F63" w:rsidRPr="00706F03">
        <w:rPr>
          <w:rFonts w:cs="Times New Roman" w:hint="eastAsia"/>
          <w:szCs w:val="28"/>
        </w:rPr>
        <w:t>篩選與裁判結果較具關聯的詞彙，再比較含</w:t>
      </w:r>
      <w:r w:rsidR="00832F63" w:rsidRPr="00706F03">
        <w:rPr>
          <w:rFonts w:cs="Times New Roman" w:hint="eastAsia"/>
          <w:szCs w:val="28"/>
        </w:rPr>
        <w:t xml:space="preserve"> MNIR </w:t>
      </w:r>
      <w:r w:rsidR="00832F63" w:rsidRPr="00706F03">
        <w:rPr>
          <w:rFonts w:cs="Times New Roman" w:hint="eastAsia"/>
          <w:szCs w:val="28"/>
        </w:rPr>
        <w:t>轉換與直接使用篩選後特徵的兩種</w:t>
      </w:r>
      <w:r w:rsidR="00832F63" w:rsidRPr="00706F03">
        <w:rPr>
          <w:rFonts w:cs="Times New Roman" w:hint="eastAsia"/>
          <w:szCs w:val="28"/>
        </w:rPr>
        <w:t xml:space="preserve"> SVM </w:t>
      </w:r>
      <w:r w:rsidR="00832F63" w:rsidRPr="00706F03">
        <w:rPr>
          <w:rFonts w:cs="Times New Roman" w:hint="eastAsia"/>
          <w:szCs w:val="28"/>
        </w:rPr>
        <w:t>分類流程。</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建立較完整的模型評估方式。本研究採用宏平均</w:t>
      </w:r>
      <w:r w:rsidRPr="00706F03">
        <w:rPr>
          <w:rFonts w:cs="Times New Roman"/>
          <w:szCs w:val="28"/>
        </w:rPr>
        <w:t xml:space="preserve"> F1 </w:t>
      </w:r>
      <w:r w:rsidRPr="00706F03">
        <w:rPr>
          <w:rFonts w:cs="Times New Roman"/>
          <w:szCs w:val="28"/>
        </w:rPr>
        <w:t>分數（</w:t>
      </w:r>
      <w:r w:rsidRPr="00706F03">
        <w:rPr>
          <w:rFonts w:cs="Times New Roman"/>
          <w:szCs w:val="28"/>
        </w:rPr>
        <w:t>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w:t>
      </w:r>
      <w:r w:rsidRPr="00706F03">
        <w:rPr>
          <w:rFonts w:cs="Times New Roman"/>
          <w:szCs w:val="28"/>
        </w:rPr>
        <w:lastRenderedPageBreak/>
        <w:t>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三類裁判結果之分類分析。相較於本研究所回顧之代表性研究多針對特定法院、案件領域或特定裁判任務建立模型，本研究進一步考量智慧財產權案件內部的異質性，將四類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三種文字特徵表示，以及含</w:t>
      </w:r>
      <w:r w:rsidRPr="00706F03">
        <w:rPr>
          <w:rFonts w:cs="Times New Roman" w:hint="eastAsia"/>
        </w:rPr>
        <w:t xml:space="preserve"> MNIR </w:t>
      </w:r>
      <w:r w:rsidRPr="00706F03">
        <w:rPr>
          <w:rFonts w:cs="Times New Roman" w:hint="eastAsia"/>
        </w:rPr>
        <w:t>轉換與直接分類兩種模型流程，並檢視類別不平衡下模型對三類裁判結果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智慧財產權判決文本脈絡下，採用三類裁判結果分類，並比較有無</w:t>
      </w:r>
      <w:r w:rsidR="00564795" w:rsidRPr="00706F03">
        <w:rPr>
          <w:rFonts w:cs="Times New Roman"/>
          <w:szCs w:val="28"/>
        </w:rPr>
        <w:t xml:space="preserve"> MNIR </w:t>
      </w:r>
      <w:r w:rsidR="00564795" w:rsidRPr="00706F03">
        <w:rPr>
          <w:rFonts w:cs="Times New Roman"/>
          <w:szCs w:val="28"/>
        </w:rPr>
        <w:t>監督式特徵轉換之研究定位。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r w:rsidR="00564795" w:rsidRPr="00706F03">
        <w:rPr>
          <w:rFonts w:ascii="Times New Roman" w:eastAsia="標楷體" w:hAnsi="Times New Roman" w:cs="Times New Roman"/>
          <w:color w:val="auto"/>
          <w:szCs w:val="28"/>
        </w:rPr>
        <w:t>BoW</w:t>
      </w:r>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553B0117"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w:t>
      </w:r>
      <w:r w:rsidRPr="00706F03">
        <w:rPr>
          <w:rFonts w:cs="Times New Roman"/>
          <w:szCs w:val="28"/>
        </w:rPr>
        <w:t xml:space="preserve">SVM </w:t>
      </w:r>
      <w:r w:rsidRPr="00706F03">
        <w:rPr>
          <w:rFonts w:cs="Times New Roman"/>
          <w:szCs w:val="28"/>
        </w:rPr>
        <w:t>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而就</w:t>
      </w:r>
      <w:r w:rsidR="001D087D" w:rsidRPr="00706F03">
        <w:rPr>
          <w:rFonts w:cs="Times New Roman" w:hint="eastAsia"/>
          <w:szCs w:val="28"/>
        </w:rPr>
        <w:t>本研究所回顧的代表性研究而言，現有文獻多聚焦於國外法院、特定法律領域或特定預測任務；針對臺灣智慧財產權判決全文進行裁判結果分類，並比較不同案件類型之分類表現的研究仍相對少見。基於此，本研究針對三類裁判結果與四類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三種方法；在模型流程方面，則比較前述兩種流程。含</w:t>
      </w:r>
      <w:r w:rsidR="001D087D" w:rsidRPr="00706F03">
        <w:rPr>
          <w:rFonts w:cs="Times New Roman" w:hint="eastAsia"/>
          <w:szCs w:val="28"/>
        </w:rPr>
        <w:t xml:space="preserve"> MNIR </w:t>
      </w:r>
      <w:r w:rsidR="001D087D" w:rsidRPr="00706F03">
        <w:rPr>
          <w:rFonts w:cs="Times New Roman" w:hint="eastAsia"/>
          <w:szCs w:val="28"/>
        </w:rPr>
        <w:t>轉換者先以卡方統計量進行特徵選擇，再透過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進行分類；直接分類者則以篩選後的稀疏文字特徵訓練</w:t>
      </w:r>
      <w:r w:rsidR="001D087D" w:rsidRPr="00706F03">
        <w:rPr>
          <w:rFonts w:cs="Times New Roman" w:hint="eastAsia"/>
          <w:szCs w:val="28"/>
        </w:rPr>
        <w:t xml:space="preserve"> SVM</w:t>
      </w:r>
      <w:r w:rsidR="001D087D" w:rsidRPr="00706F03">
        <w:rPr>
          <w:rFonts w:cs="Times New Roman" w:hint="eastAsia"/>
          <w:szCs w:val="28"/>
        </w:rPr>
        <w:t>。儘管</w:t>
      </w:r>
      <w:r w:rsidR="00484BCF" w:rsidRPr="00484BCF">
        <w:rPr>
          <w:rFonts w:cs="Times New Roman"/>
          <w:szCs w:val="28"/>
        </w:rPr>
        <w:t>近年以雙向編碼器表徵模型（</w:t>
      </w:r>
      <w:r w:rsidR="00484BCF" w:rsidRPr="00484BCF">
        <w:rPr>
          <w:rFonts w:cs="Times New Roman"/>
          <w:szCs w:val="28"/>
        </w:rPr>
        <w:t>Bidirectional Encoder Representations from Transformers, 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 xml:space="preserve"> BoW</w:t>
      </w:r>
      <w:r w:rsidR="00484BCF" w:rsidRPr="00484BCF">
        <w:rPr>
          <w:rFonts w:cs="Times New Roman"/>
          <w:szCs w:val="28"/>
        </w:rPr>
        <w:t>、</w:t>
      </w:r>
      <w:r w:rsidR="00484BCF" w:rsidRPr="00484BCF">
        <w:rPr>
          <w:rFonts w:cs="Times New Roman"/>
          <w:szCs w:val="28"/>
        </w:rPr>
        <w:t xml:space="preserve">TF </w:t>
      </w:r>
      <w:r w:rsidR="00484BCF" w:rsidRPr="00484BCF">
        <w:rPr>
          <w:rFonts w:cs="Times New Roman"/>
          <w:szCs w:val="28"/>
        </w:rPr>
        <w:t>與</w:t>
      </w:r>
      <w:r w:rsidR="00484BCF" w:rsidRPr="00484BCF">
        <w:rPr>
          <w:rFonts w:cs="Times New Roman"/>
          <w:szCs w:val="28"/>
        </w:rPr>
        <w:t xml:space="preserve"> TF-IDF </w:t>
      </w:r>
      <w:r w:rsidR="00484BCF" w:rsidRPr="00484BCF">
        <w:rPr>
          <w:rFonts w:cs="Times New Roman"/>
          <w:szCs w:val="28"/>
        </w:rPr>
        <w:t>等傳統稀疏文字特徵，以及</w:t>
      </w:r>
      <w:r w:rsidR="00484BCF" w:rsidRPr="00484BCF">
        <w:rPr>
          <w:rFonts w:cs="Times New Roman"/>
          <w:szCs w:val="28"/>
        </w:rPr>
        <w:t xml:space="preserve"> MNIR </w:t>
      </w:r>
      <w:r w:rsidR="00484BCF" w:rsidRPr="00484BCF">
        <w:rPr>
          <w:rFonts w:cs="Times New Roman"/>
          <w:szCs w:val="28"/>
        </w:rPr>
        <w:t>監督式特徵轉換對</w:t>
      </w:r>
      <w:r w:rsidR="00484BCF" w:rsidRPr="00484BCF">
        <w:rPr>
          <w:rFonts w:cs="Times New Roman"/>
          <w:szCs w:val="28"/>
        </w:rPr>
        <w:t xml:space="preserve"> SVM </w:t>
      </w:r>
      <w:r w:rsidR="00484BCF" w:rsidRPr="00484BCF">
        <w:rPr>
          <w:rFonts w:cs="Times New Roman"/>
          <w:szCs w:val="28"/>
        </w:rPr>
        <w:t>分類表現之影響。此外，傳統稀疏文字特徵與線性</w:t>
      </w:r>
      <w:r w:rsidR="00484BCF" w:rsidRPr="00484BCF">
        <w:rPr>
          <w:rFonts w:cs="Times New Roman"/>
          <w:szCs w:val="28"/>
        </w:rPr>
        <w:t xml:space="preserve"> SVM </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 xml:space="preserve">1996 </w:t>
      </w:r>
      <w:r w:rsidRPr="00706F03">
        <w:rPr>
          <w:rFonts w:cs="Times New Roman"/>
          <w:szCs w:val="28"/>
        </w:rPr>
        <w:t>年</w:t>
      </w:r>
      <w:r w:rsidRPr="00706F03">
        <w:rPr>
          <w:rFonts w:cs="Times New Roman"/>
          <w:szCs w:val="28"/>
        </w:rPr>
        <w:t xml:space="preserve"> 1 </w:t>
      </w:r>
      <w:r w:rsidRPr="00706F03">
        <w:rPr>
          <w:rFonts w:cs="Times New Roman"/>
          <w:szCs w:val="28"/>
        </w:rPr>
        <w:t>月至</w:t>
      </w:r>
      <w:r w:rsidRPr="00706F03">
        <w:rPr>
          <w:rFonts w:cs="Times New Roman"/>
          <w:szCs w:val="28"/>
        </w:rPr>
        <w:t xml:space="preserve"> 2024 </w:t>
      </w:r>
      <w:r w:rsidRPr="00706F03">
        <w:rPr>
          <w:rFonts w:cs="Times New Roman"/>
          <w:szCs w:val="28"/>
        </w:rPr>
        <w:t>年</w:t>
      </w:r>
      <w:r w:rsidRPr="00706F03">
        <w:rPr>
          <w:rFonts w:cs="Times New Roman"/>
          <w:szCs w:val="28"/>
        </w:rPr>
        <w:t xml:space="preserve"> 12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JavaScript </w:t>
      </w:r>
      <w:r w:rsidR="00961BBF" w:rsidRPr="00706F03">
        <w:rPr>
          <w:rFonts w:cs="Times New Roman"/>
          <w:szCs w:val="28"/>
        </w:rPr>
        <w:t>物件表示法（</w:t>
      </w:r>
      <w:r w:rsidR="00961BBF" w:rsidRPr="00706F03">
        <w:rPr>
          <w:rFonts w:cs="Times New Roman"/>
          <w:szCs w:val="28"/>
        </w:rPr>
        <w:t>JavaScript Object Notat</w:t>
      </w:r>
      <w:r w:rsidR="00E81A55" w:rsidRPr="00706F03">
        <w:rPr>
          <w:rFonts w:cs="Times New Roman"/>
          <w:szCs w:val="28"/>
        </w:rPr>
        <w:t>ion, JSON</w:t>
      </w:r>
      <w:r w:rsidR="00E81A55" w:rsidRPr="00706F03">
        <w:rPr>
          <w:rFonts w:cs="Times New Roman"/>
          <w:szCs w:val="28"/>
        </w:rPr>
        <w:t>）格式之裁判書檔案。</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 xml:space="preserve"> 90,027 </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法務部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因此，行政案件的文本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2024</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B16311" w:rsidRPr="00706F03">
        <w:rPr>
          <w:rFonts w:cs="Times New Roman"/>
        </w:rPr>
        <w:t>2025a</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2025c</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2025b</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2"/>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671445"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2"/>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AD0169F"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w:t>
      </w:r>
      <w:r w:rsidR="004319DD" w:rsidRPr="004319DD">
        <w:rPr>
          <w:rFonts w:cs="Times New Roman"/>
          <w:szCs w:val="28"/>
        </w:rPr>
        <w:t>此結果表示，本研究模型所學習的資訊主要來自較後期之判決資料，且裁判結果分布應結合年度與案件類型共同解讀。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四類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作為主要評估指標，並輔以準確率</w:t>
      </w:r>
      <w:r w:rsidR="00961BBF" w:rsidRPr="00706F03">
        <w:rPr>
          <w:rFonts w:cs="Times New Roman"/>
          <w:szCs w:val="28"/>
        </w:rPr>
        <w:t>、精確率、召回率、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m:t>
                        </m:r>
                        <m:r>
                          <w:rPr>
                            <w:rFonts w:ascii="Cambria Math" w:hAnsi="Cambria Math" w:cs="Times New Roman"/>
                            <w:szCs w:val="28"/>
                          </w:rPr>
                          <m:t>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m:t>
                        </m:r>
                        <m:r>
                          <w:rPr>
                            <w:rFonts w:ascii="Cambria Math" w:hAnsi="Cambria Math" w:cs="Times New Roman"/>
                            <w:szCs w:val="28"/>
                          </w:rPr>
                          <m:t>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m:t>
                        </m:r>
                        <m:r>
                          <w:rPr>
                            <w:rFonts w:ascii="Cambria Math" w:hAnsi="Cambria Math" w:cs="Times New Roman"/>
                            <w:szCs w:val="28"/>
                          </w:rPr>
                          <m:t>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m:t>
                        </m:r>
                        <m:r>
                          <w:rPr>
                            <w:rFonts w:ascii="Cambria Math" w:hAnsi="Cambria Math" w:cs="Times New Roman"/>
                            <w:szCs w:val="28"/>
                          </w:rPr>
                          <m:t>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m:t>
                        </m:r>
                        <m:r>
                          <w:rPr>
                            <w:rFonts w:ascii="Cambria Math" w:hAnsi="Cambria Math" w:cs="Times New Roman"/>
                            <w:szCs w:val="28"/>
                          </w:rPr>
                          <m:t>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m:t>
                        </m:r>
                        <m:r>
                          <w:rPr>
                            <w:rFonts w:ascii="Cambria Math" w:hAnsi="Cambria Math" w:cs="Times New Roman"/>
                            <w:szCs w:val="28"/>
                          </w:rPr>
                          <m:t>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m:t>
              </m:r>
              <m:r>
                <w:rPr>
                  <w:rFonts w:ascii="Cambria Math" w:hAnsi="Cambria Math" w:cs="Times New Roman"/>
                  <w:szCs w:val="28"/>
                </w:rPr>
                <m:t>×</m:t>
              </m:r>
              <m:r>
                <w:rPr>
                  <w:rFonts w:ascii="Cambria Math" w:hAnsi="Cambria Math" w:cs="Times New Roman"/>
                  <w:szCs w:val="28"/>
                </w:rPr>
                <m:t>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m:t>
                  </m:r>
                  <m:r>
                    <w:rPr>
                      <w:rFonts w:ascii="Cambria Math" w:hAnsi="Cambria Math" w:cs="Times New Roman"/>
                      <w:szCs w:val="28"/>
                    </w:rPr>
                    <m:t>=1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671445"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m:t>
              </m:r>
              <m:r>
                <w:rPr>
                  <w:rFonts w:ascii="Cambria Math" w:hAnsi="Cambria Math" w:cs="Times New Roman"/>
                  <w:szCs w:val="28"/>
                </w:rPr>
                <m:t>=1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m:t>
              </m:r>
              <m:r>
                <w:rPr>
                  <w:rFonts w:ascii="Cambria Math" w:hAnsi="Cambria Math" w:cs="Times New Roman"/>
                  <w:szCs w:val="28"/>
                </w:rPr>
                <m:t>×</m:t>
              </m:r>
              <m:r>
                <w:rPr>
                  <w:rFonts w:ascii="Cambria Math" w:hAnsi="Cambria Math" w:cs="Times New Roman"/>
                  <w:szCs w:val="28"/>
                </w:rPr>
                <m:t>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w:t>
      </w:r>
      <w:r w:rsidRPr="009A1188">
        <w:rPr>
          <w:rFonts w:cs="Times New Roman"/>
          <w:szCs w:val="28"/>
        </w:rPr>
        <w:t>由所有裁判書所形成的</w:t>
      </w:r>
      <w:r w:rsidRPr="009A1188">
        <w:rPr>
          <w:rFonts w:cs="Times New Roman"/>
          <w:szCs w:val="28"/>
        </w:rPr>
        <w:t xml:space="preserve"> TF </w:t>
      </w:r>
      <w:r w:rsidRPr="009A1188">
        <w:rPr>
          <w:rFonts w:cs="Times New Roman"/>
          <w:szCs w:val="28"/>
        </w:rPr>
        <w:t>文件－詞彙</w:t>
      </w:r>
      <w:r w:rsidRPr="00706F03">
        <w:rPr>
          <w:rFonts w:cs="Times New Roman"/>
          <w:szCs w:val="28"/>
        </w:rPr>
        <w:t>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w:t>
      </w:r>
      <w:r w:rsidRPr="00706F03">
        <w:rPr>
          <w:rFonts w:cs="Times New Roman"/>
          <w:szCs w:val="28"/>
        </w:rPr>
        <w:t>Inverse Document Frequency, IDF</w:t>
      </w:r>
      <w:r w:rsidRPr="00706F03">
        <w:rPr>
          <w:rFonts w:cs="Times New Roman"/>
          <w:szCs w:val="28"/>
        </w:rPr>
        <w:t>）降低常見詞彙的權重，並提高相對少見但可能具有區辨力詞彙的權重。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m:t>
                      </m:r>
                      <m:r>
                        <w:rPr>
                          <w:rFonts w:ascii="Cambria Math" w:hAnsi="Cambria Math" w:cs="Times New Roman"/>
                          <w:szCs w:val="28"/>
                        </w:rPr>
                        <m:t>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m:t>
                        </m:r>
                        <m:r>
                          <w:rPr>
                            <w:rFonts w:ascii="Cambria Math" w:hAnsi="Cambria Math" w:cs="Times New Roman"/>
                            <w:szCs w:val="28"/>
                          </w:rPr>
                          <m:t>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m:t>
                        </m:r>
                        <m:r>
                          <w:rPr>
                            <w:rFonts w:ascii="Cambria Math" w:hAnsi="Cambria Math" w:cs="Times New Roman"/>
                            <w:szCs w:val="28"/>
                          </w:rPr>
                          <m:t>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671445"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m:t>
              </m:r>
              <m:r>
                <w:rPr>
                  <w:rFonts w:ascii="Cambria Math" w:hAnsi="Cambria Math" w:cs="Times New Roman"/>
                  <w:szCs w:val="28"/>
                </w:rPr>
                <m:t>-</m:t>
              </m:r>
              <m:r>
                <w:rPr>
                  <w:rFonts w:ascii="Cambria Math" w:hAnsi="Cambria Math" w:cs="Times New Roman"/>
                  <w:szCs w:val="28"/>
                </w:rPr>
                <m:t>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r>
                <w:rPr>
                  <w:rFonts w:ascii="Cambria Math" w:hAnsi="Cambria Math" w:cs="Times New Roman"/>
                  <w:szCs w:val="28"/>
                </w:rPr>
                <m:t>-</m:t>
              </m:r>
              <m:r>
                <w:rPr>
                  <w:rFonts w:ascii="Cambria Math" w:hAnsi="Cambria Math" w:cs="Times New Roman"/>
                  <w:szCs w:val="28"/>
                </w:rPr>
                <m:t>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m:t>
              </m:r>
              <m:r>
                <w:rPr>
                  <w:rFonts w:ascii="Cambria Math" w:hAnsi="Cambria Math" w:cs="Times New Roman"/>
                  <w:szCs w:val="28"/>
                </w:rPr>
                <m:t>×</m:t>
              </m:r>
              <m:r>
                <w:rPr>
                  <w:rFonts w:ascii="Cambria Math" w:hAnsi="Cambria Math" w:cs="Times New Roman"/>
                  <w:szCs w:val="28"/>
                </w:rPr>
                <m:t>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文件－詞彙矩陣，並將</w:t>
      </w:r>
      <w:r w:rsidR="001C5A9C" w:rsidRPr="00706F03">
        <w:rPr>
          <w:rFonts w:cs="Times New Roman"/>
          <w:szCs w:val="28"/>
        </w:rPr>
        <w:t xml:space="preserve"> smooth_idf </w:t>
      </w:r>
      <w:r w:rsidR="001C5A9C" w:rsidRPr="00706F03">
        <w:rPr>
          <w:rFonts w:cs="Times New Roman"/>
          <w:szCs w:val="28"/>
        </w:rPr>
        <w:t>與</w:t>
      </w:r>
      <w:r w:rsidR="001C5A9C" w:rsidRPr="00706F03">
        <w:rPr>
          <w:rFonts w:cs="Times New Roman"/>
          <w:szCs w:val="28"/>
        </w:rPr>
        <w:t xml:space="preserve"> norm </w:t>
      </w:r>
      <w:r w:rsidR="001C5A9C" w:rsidRPr="00706F03">
        <w:rPr>
          <w:rFonts w:cs="Times New Roman"/>
          <w:szCs w:val="28"/>
        </w:rPr>
        <w:t>分別設定為</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n.d.-a</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lastRenderedPageBreak/>
        <w:t>（</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t>scikit-learn developers, n.d.-b</w:t>
      </w:r>
      <w:r w:rsidR="00377F68" w:rsidRPr="00706F03">
        <w:rPr>
          <w:rFonts w:cs="Times New Roman"/>
        </w:rPr>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w:t>
      </w:r>
      <w:r w:rsidRPr="00706F03">
        <w:rPr>
          <w:rFonts w:cs="Times New Roman"/>
        </w:rPr>
        <w:t>標籤之關聯程度，並依卡方統計量由高至低排序，選取前</w:t>
      </w:r>
      <w:r w:rsidRPr="00706F03">
        <w:rPr>
          <w:rFonts w:cs="Times New Roman"/>
        </w:rPr>
        <w:t xml:space="preserve"> K </w:t>
      </w:r>
      <w:r w:rsidRPr="00706F03">
        <w:rPr>
          <w:rFonts w:cs="Times New Roman"/>
        </w:rPr>
        <w:t>個詞彙特徵。</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671445"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m:t>
              </m:r>
              <m:r>
                <w:rPr>
                  <w:rFonts w:ascii="Cambria Math" w:hAnsi="Cambria Math" w:cs="Times New Roman"/>
                </w:rPr>
                <m:t>=1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m:t>
                  </m:r>
                  <m:r>
                    <w:rPr>
                      <w:rFonts w:ascii="Cambria Math" w:hAnsi="Cambria Math" w:cs="Times New Roman"/>
                    </w:rPr>
                    <m:t>=1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671445"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特徵矩陣。其次，以三類裁判結果標籤作為類別變數，計算每一個詞彙特徵與裁判結果之間的卡方統計量。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w:lastRenderedPageBreak/>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並非最終分類器，而是位於文字特徵建構與模型訓練之間的特徵篩選步驟。本研究後續兩條模型流程皆以卡方篩選後的特徵矩陣作為輸入。</w:t>
      </w:r>
    </w:p>
    <w:p w14:paraId="24113C9E" w14:textId="5CEAF868"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w:t>
      </w:r>
      <w:r w:rsidR="00F42D9E">
        <w:rPr>
          <w:rFonts w:cs="Times New Roman" w:hint="eastAsia"/>
        </w:rPr>
        <w:t xml:space="preserve"> </w:t>
      </w:r>
      <w:r w:rsidR="00F42D9E">
        <w:rPr>
          <w:rFonts w:cs="Times New Roman"/>
        </w:rPr>
        <w:t>et al.</w:t>
      </w:r>
      <w:r w:rsidRPr="00706F03">
        <w:rPr>
          <w:rFonts w:cs="Times New Roman"/>
        </w:rPr>
        <w:t>,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lastRenderedPageBreak/>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671445"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671445"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m:t>
                  </m:r>
                  <m:r>
                    <w:rPr>
                      <w:rFonts w:ascii="Cambria Math" w:hAnsi="Cambria Math" w:cs="Times New Roman"/>
                    </w:rPr>
                    <m:t>=1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671445"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lastRenderedPageBreak/>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671445"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m:t>
                      </m:r>
                      <m:r>
                        <w:rPr>
                          <w:rFonts w:ascii="Cambria Math" w:hAnsi="Cambria Math" w:cs="Times New Roman"/>
                        </w:rPr>
                        <m:t>=1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w:t>
      </w:r>
      <w:r w:rsidRPr="00706F03">
        <w:rPr>
          <w:rFonts w:cs="Times New Roman"/>
        </w:rPr>
        <w:lastRenderedPageBreak/>
        <w:t>計的干擾，使模型更聚焦於與三類裁判結果相關的詞彙訊號。第二，它可在高維法律文本資料中減少過度擬合風險，使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671445"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671445"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671445"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轉換是否能實際提升分類表現，仍需以第四章兩種流程的實證結果作為判斷依據。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個詞彙特徵。完成特徵篩選後，含</w:t>
      </w:r>
      <w:r w:rsidRPr="00706F03">
        <w:rPr>
          <w:rFonts w:cs="Times New Roman"/>
        </w:rPr>
        <w:t xml:space="preserve"> MNIR </w:t>
      </w:r>
      <w:r w:rsidRPr="00706F03">
        <w:rPr>
          <w:rFonts w:cs="Times New Roman"/>
        </w:rPr>
        <w:t>轉換的流程會進一步將卡方篩選後的文字特徵輸入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進行分類；直接分類流程則不經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 xml:space="preserve"> BoW</w:t>
      </w:r>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或</w:t>
      </w:r>
      <w:r w:rsidRPr="00706F03">
        <w:rPr>
          <w:rFonts w:cs="Times New Roman" w:hint="eastAsia"/>
          <w:szCs w:val="28"/>
        </w:rPr>
        <w:t xml:space="preserve"> TF-IDF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671445"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w:r w:rsidRPr="00706F03">
        <w:rPr>
          <w:rFonts w:cs="Times New Roman"/>
          <w:szCs w:val="28"/>
        </w:rPr>
        <w:t>包含前述三類裁判結果</w:t>
      </w:r>
      <m:oMath>
        <m:r>
          <w:rPr>
            <w:rFonts w:ascii="Cambria Math" w:hAnsi="Cambria Math" w:cs="Times New Roman"/>
            <w:szCs w:val="28"/>
          </w:rPr>
          <m:t>c</m:t>
        </m:r>
      </m:oMath>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671445"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w:rPr>
                  <w:rFonts w:ascii="Cambria Math" w:hAnsi="Cambria Math" w:cs="Times New Roman"/>
                  <w:szCs w:val="28"/>
                </w:rPr>
                <m:t>∈{</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同時用於兩條模型流程。第一，在含</w:t>
      </w:r>
      <w:r w:rsidRPr="00706F03">
        <w:rPr>
          <w:rFonts w:cs="Times New Roman"/>
          <w:szCs w:val="28"/>
        </w:rPr>
        <w:t xml:space="preserve"> MNIR </w:t>
      </w:r>
      <w:r w:rsidRPr="00706F03">
        <w:rPr>
          <w:rFonts w:cs="Times New Roman"/>
          <w:szCs w:val="28"/>
        </w:rPr>
        <w:t>轉換的流程中，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轉換後的充分縮減分數進行分類。第二，在直接分類流程中，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第一條為含</w:t>
      </w:r>
      <w:r w:rsidRPr="00706F03">
        <w:rPr>
          <w:rFonts w:cs="Times New Roman"/>
          <w:szCs w:val="28"/>
        </w:rPr>
        <w:t xml:space="preserve"> MNIR </w:t>
      </w:r>
      <w:r w:rsidRPr="00706F03">
        <w:rPr>
          <w:rFonts w:cs="Times New Roman"/>
          <w:szCs w:val="28"/>
        </w:rPr>
        <w:t>轉換的模型流程。此流程的目的，是檢驗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此流程與直接分類流程的主要差異在於</w:t>
      </w:r>
      <w:r w:rsidRPr="00706F03">
        <w:rPr>
          <w:rFonts w:cs="Times New Roman"/>
          <w:szCs w:val="28"/>
        </w:rPr>
        <w:t>：本流程不直接將卡方篩選後的詞彙特徵輸入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。確定最佳參數後，再將訓練集與驗證集合併，依最佳設定重新訓練最終模型，最後使用測試集評估模型表現。測試集僅作為最終模型評估資料，</w:t>
      </w:r>
      <w:r w:rsidRPr="00706F03">
        <w:rPr>
          <w:rFonts w:cs="Times New Roman"/>
          <w:szCs w:val="28"/>
        </w:rPr>
        <w:lastRenderedPageBreak/>
        <w:t>不參與特徵選擇、</w:t>
      </w:r>
      <w:r w:rsidRPr="00706F03">
        <w:rPr>
          <w:rFonts w:cs="Times New Roman"/>
          <w:szCs w:val="28"/>
        </w:rPr>
        <w:t xml:space="preserve">MNIR </w:t>
      </w:r>
      <w:r w:rsidRPr="00706F03">
        <w:rPr>
          <w:rFonts w:cs="Times New Roman"/>
          <w:szCs w:val="28"/>
        </w:rPr>
        <w:t>估計或參數選擇。因此，本流程在研究中具有兩層意義。第一，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後續第四章將透過本流程與直接分類流程之比較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2BDF5A48" w:rsidR="002E57C8" w:rsidRPr="00706F03" w:rsidRDefault="002E57C8" w:rsidP="004422CA">
      <w:pPr>
        <w:spacing w:line="276" w:lineRule="auto"/>
        <w:outlineLvl w:val="0"/>
        <w:rPr>
          <w:rFonts w:cs="Times New Roman"/>
          <w:szCs w:val="28"/>
        </w:rPr>
      </w:pPr>
      <w:r w:rsidRPr="00706F03">
        <w:rPr>
          <w:rFonts w:cs="Times New Roman"/>
          <w:szCs w:val="28"/>
        </w:rPr>
        <w:t>第二條為直接分類流程，目的在於作為含</w:t>
      </w:r>
      <w:r w:rsidRPr="00706F03">
        <w:rPr>
          <w:rFonts w:cs="Times New Roman"/>
          <w:szCs w:val="28"/>
        </w:rPr>
        <w:t xml:space="preserve"> MNIR </w:t>
      </w:r>
      <w:r w:rsidRPr="00706F03">
        <w:rPr>
          <w:rFonts w:cs="Times New Roman"/>
          <w:szCs w:val="28"/>
        </w:rPr>
        <w:t>轉換流程的對照組，用以檢驗在不經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監督式特徵轉換的情況下，卡方篩選後的稀疏文字特徵本身是否已具有足夠的分類能力。與含</w:t>
      </w:r>
      <w:r w:rsidRPr="00706F03">
        <w:rPr>
          <w:rFonts w:cs="Times New Roman"/>
          <w:szCs w:val="28"/>
        </w:rPr>
        <w:t xml:space="preserve"> MNIR </w:t>
      </w:r>
      <w:r w:rsidRPr="00706F03">
        <w:rPr>
          <w:rFonts w:cs="Times New Roman"/>
          <w:szCs w:val="28"/>
        </w:rPr>
        <w:t>轉換的流程不同，</w:t>
      </w:r>
      <w:r w:rsidR="004C533F">
        <w:rPr>
          <w:rFonts w:cs="Times New Roman" w:hint="eastAsia"/>
          <w:szCs w:val="28"/>
        </w:rPr>
        <w:t>此流程</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。確定最佳參數後，再將訓練集與驗證集合併，依最佳設定重新訓練最終模型，最後使用測試集進行模型評估。此流程與含</w:t>
      </w:r>
      <w:r w:rsidRPr="00706F03">
        <w:rPr>
          <w:rFonts w:cs="Times New Roman"/>
          <w:szCs w:val="28"/>
        </w:rPr>
        <w:t xml:space="preserve"> MNIR </w:t>
      </w:r>
      <w:r w:rsidRPr="00706F03">
        <w:rPr>
          <w:rFonts w:cs="Times New Roman"/>
          <w:szCs w:val="28"/>
        </w:rPr>
        <w:t>轉換的流程一樣，測試集僅用於最終評估，不參與特徵選擇或參數調整。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若含</w:t>
      </w:r>
      <w:r w:rsidR="001E5412" w:rsidRPr="00706F03">
        <w:rPr>
          <w:rFonts w:cs="Times New Roman"/>
          <w:szCs w:val="28"/>
        </w:rPr>
        <w:t xml:space="preserve"> MNIR </w:t>
      </w:r>
      <w:r w:rsidR="001E5412" w:rsidRPr="00706F03">
        <w:rPr>
          <w:rFonts w:cs="Times New Roman"/>
          <w:szCs w:val="28"/>
        </w:rPr>
        <w:t>轉換流程的表現優於直接分類流程</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若直接分類流程的表現較佳</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低維轉換未必能改善模型表現。因此，本研究透過兩種流程的直接比較，判斷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t>除前述兩種模型流程外，本研究亦設置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w:t>
      </w:r>
      <w:r w:rsidRPr="00706F03">
        <w:rPr>
          <w:rFonts w:cs="Times New Roman"/>
          <w:szCs w:val="28"/>
        </w:rPr>
        <w:lastRenderedPageBreak/>
        <w:t>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671445"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w:rPr>
                  <w:rFonts w:ascii="Cambria Math" w:hAnsi="Cambria Math" w:cs="Times New Roman"/>
                  <w:szCs w:val="28"/>
                </w:rPr>
                <m:t>∈{</m:t>
              </m:r>
              <m:r>
                <w:rPr>
                  <w:rFonts w:ascii="Cambria Math" w:hAnsi="Cambria Math" w:cs="Times New Roman"/>
                  <w:szCs w:val="28"/>
                </w:rPr>
                <m:t>Lose</m:t>
              </m:r>
              <m:r>
                <w:rPr>
                  <w:rFonts w:ascii="Cambria Math" w:hAnsi="Cambria Math" w:cs="Times New Roman"/>
                  <w:szCs w:val="28"/>
                </w:rPr>
                <m:t>,</m:t>
              </m:r>
              <m:r>
                <w:rPr>
                  <w:rFonts w:ascii="Cambria Math" w:hAnsi="Cambria Math" w:cs="Times New Roman"/>
                  <w:szCs w:val="28"/>
                </w:rPr>
                <m:t>Mixed</m:t>
              </m:r>
              <m:r>
                <w:rPr>
                  <w:rFonts w:ascii="Cambria Math" w:hAnsi="Cambria Math" w:cs="Times New Roman"/>
                  <w:szCs w:val="28"/>
                </w:rPr>
                <m:t>,</m:t>
              </m:r>
              <m:r>
                <w:rPr>
                  <w:rFonts w:ascii="Cambria Math" w:hAnsi="Cambria Math" w:cs="Times New Roman"/>
                  <w:szCs w:val="28"/>
                </w:rPr>
                <m:t>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若任一模型流程的表現僅略高於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為目標類別，說明真正例（</w:t>
      </w:r>
      <w:r w:rsidRPr="00706F03">
        <w:rPr>
          <w:rFonts w:cs="Times New Roman"/>
          <w:szCs w:val="28"/>
        </w:rPr>
        <w:t>True Positive, TP</w:t>
      </w:r>
      <w:r w:rsidRPr="00706F03">
        <w:rPr>
          <w:rFonts w:cs="Times New Roman"/>
          <w:szCs w:val="28"/>
        </w:rPr>
        <w:t>）、偽正例（</w:t>
      </w:r>
      <w:r w:rsidRPr="00706F03">
        <w:rPr>
          <w:rFonts w:cs="Times New Roman"/>
          <w:szCs w:val="28"/>
        </w:rPr>
        <w:t>False Positive, FP</w:t>
      </w:r>
      <w:r w:rsidRPr="00706F03">
        <w:rPr>
          <w:rFonts w:cs="Times New Roman"/>
          <w:szCs w:val="28"/>
        </w:rPr>
        <w:t>）、偽負例（</w:t>
      </w:r>
      <w:r w:rsidRPr="00706F03">
        <w:rPr>
          <w:rFonts w:cs="Times New Roman"/>
          <w:szCs w:val="28"/>
        </w:rPr>
        <w:t>False Negative, FN</w:t>
      </w:r>
      <w:r w:rsidRPr="00706F03">
        <w:rPr>
          <w:rFonts w:cs="Times New Roman"/>
          <w:szCs w:val="28"/>
        </w:rPr>
        <w:t>）與真負例（</w:t>
      </w:r>
      <w:r w:rsidRPr="00706F03">
        <w:rPr>
          <w:rFonts w:cs="Times New Roman"/>
          <w:szCs w:val="28"/>
        </w:rPr>
        <w:t>True Negative, TN</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lastRenderedPageBreak/>
        <w:t>其中，</w:t>
      </w:r>
      <w:r w:rsidRPr="00706F03">
        <w:rPr>
          <w:rFonts w:cs="Times New Roman"/>
          <w:szCs w:val="28"/>
        </w:rPr>
        <w:t xml:space="preserve">TP </w:t>
      </w:r>
      <w:r w:rsidRPr="00706F03">
        <w:rPr>
          <w:rFonts w:cs="Times New Roman"/>
          <w:szCs w:val="28"/>
        </w:rPr>
        <w:t>代表實際為類別</w:t>
      </w:r>
      <w:r w:rsidRPr="00706F03">
        <w:rPr>
          <w:rFonts w:cs="Times New Roman"/>
          <w:szCs w:val="28"/>
        </w:rPr>
        <w:t xml:space="preserve"> </w:t>
      </w:r>
      <w:r w:rsidRPr="00706F03">
        <w:rPr>
          <w:rFonts w:cs="Times New Roman"/>
          <w:szCs w:val="28"/>
        </w:rPr>
        <w:t>，且模型也正確預測為類別；</w:t>
      </w:r>
      <m:oMath>
        <m:r>
          <w:rPr>
            <w:rFonts w:ascii="Cambria Math" w:hAnsi="Cambria Math" w:cs="Times New Roman"/>
            <w:szCs w:val="28"/>
          </w:rPr>
          <m:t>c</m:t>
        </m:r>
      </m:oMath>
      <w:r w:rsidRPr="00706F03">
        <w:rPr>
          <w:rFonts w:cs="Times New Roman"/>
          <w:szCs w:val="28"/>
        </w:rPr>
        <w:t xml:space="preserve">FP </w:t>
      </w:r>
      <w:r w:rsidRPr="00706F03">
        <w:rPr>
          <w:rFonts w:cs="Times New Roman"/>
          <w:szCs w:val="28"/>
        </w:rPr>
        <w:t>代表實際並非類別，</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w:r w:rsidRPr="00706F03">
        <w:rPr>
          <w:rFonts w:cs="Times New Roman"/>
          <w:szCs w:val="28"/>
        </w:rPr>
        <w:t>；</w:t>
      </w:r>
      <w:r w:rsidRPr="00706F03">
        <w:rPr>
          <w:rFonts w:cs="Times New Roman"/>
          <w:szCs w:val="28"/>
        </w:rPr>
        <w:t xml:space="preserve">FN </w:t>
      </w:r>
      <w:r w:rsidRPr="00706F03">
        <w:rPr>
          <w:rFonts w:cs="Times New Roman"/>
          <w:szCs w:val="28"/>
        </w:rPr>
        <w:t>代表實際為類別</w:t>
      </w:r>
      <w:r w:rsidRPr="00706F03">
        <w:rPr>
          <w:rFonts w:cs="Times New Roman"/>
          <w:szCs w:val="28"/>
        </w:rPr>
        <w:t xml:space="preserve"> </w:t>
      </w:r>
      <w:r w:rsidRPr="00706F03">
        <w:rPr>
          <w:rFonts w:cs="Times New Roman"/>
          <w:szCs w:val="28"/>
        </w:rPr>
        <w:t>，但模型錯</w:t>
      </w:r>
      <m:oMath>
        <m:r>
          <w:rPr>
            <w:rFonts w:ascii="Cambria Math" w:hAnsi="Cambria Math" w:cs="Times New Roman"/>
            <w:szCs w:val="28"/>
          </w:rPr>
          <m:t>c</m:t>
        </m:r>
      </m:oMath>
      <w:r w:rsidRPr="00706F03">
        <w:rPr>
          <w:rFonts w:cs="Times New Roman"/>
          <w:szCs w:val="28"/>
        </w:rPr>
        <w:t>誤預測為非類別</w:t>
      </w:r>
      <w:r w:rsidRPr="00706F03">
        <w:rPr>
          <w:rFonts w:cs="Times New Roman"/>
          <w:szCs w:val="28"/>
        </w:rPr>
        <w:t xml:space="preserve"> </w:t>
      </w:r>
      <w:r w:rsidRPr="00706F03">
        <w:rPr>
          <w:rFonts w:cs="Times New Roman"/>
          <w:szCs w:val="28"/>
        </w:rPr>
        <w:t>；</w:t>
      </w:r>
      <w:r w:rsidRPr="00706F03">
        <w:rPr>
          <w:rFonts w:cs="Times New Roman"/>
          <w:szCs w:val="28"/>
        </w:rPr>
        <w:t xml:space="preserve">TN </w:t>
      </w:r>
      <m:oMath>
        <m:r>
          <w:rPr>
            <w:rFonts w:ascii="Cambria Math" w:hAnsi="Cambria Math" w:cs="Times New Roman"/>
            <w:szCs w:val="28"/>
          </w:rPr>
          <m:t>c</m:t>
        </m:r>
      </m:oMath>
      <w:r w:rsidRPr="00706F03">
        <w:rPr>
          <w:rFonts w:cs="Times New Roman"/>
          <w:szCs w:val="28"/>
        </w:rPr>
        <w:t>則代表實際並非類別</w:t>
      </w:r>
      <w:r w:rsidRPr="00706F03">
        <w:rPr>
          <w:rFonts w:cs="Times New Roman"/>
          <w:szCs w:val="28"/>
        </w:rPr>
        <w:t xml:space="preserve"> </w:t>
      </w:r>
      <w:r w:rsidRPr="00706F03">
        <w:rPr>
          <w:rFonts w:cs="Times New Roman"/>
          <w:szCs w:val="28"/>
        </w:rPr>
        <w:t>，且模型也未預測為類別</w:t>
      </w:r>
      <w:r w:rsidRPr="00706F03">
        <w:rPr>
          <w:rFonts w:cs="Times New Roman"/>
          <w:szCs w:val="28"/>
        </w:rPr>
        <w:t xml:space="preserve"> </w:t>
      </w:r>
      <w:r w:rsidRPr="00706F03">
        <w:rPr>
          <w:rFonts w:cs="Times New Roman"/>
          <w:szCs w:val="28"/>
        </w:rPr>
        <w:t>。以本研究</w:t>
      </w:r>
      <m:oMath>
        <m:r>
          <w:rPr>
            <w:rFonts w:ascii="Cambria Math" w:hAnsi="Cambria Math" w:cs="Times New Roman"/>
            <w:szCs w:val="28"/>
          </w:rPr>
          <m:t>c</m:t>
        </m:r>
      </m:oMath>
      <w:r w:rsidRPr="00706F03">
        <w:rPr>
          <w:rFonts w:cs="Times New Roman"/>
          <w:szCs w:val="28"/>
        </w:rPr>
        <w:t>三類裁判結果為例，若以</w:t>
      </w:r>
      <w:r w:rsidRPr="00706F03">
        <w:rPr>
          <w:rFonts w:cs="Times New Roman"/>
          <w:szCs w:val="28"/>
        </w:rPr>
        <w:t xml:space="preserve"> Win </w:t>
      </w:r>
      <w:r w:rsidRPr="00706F03">
        <w:rPr>
          <w:rFonts w:cs="Times New Roman"/>
          <w:szCs w:val="28"/>
        </w:rPr>
        <w:t>作為</w:t>
      </w:r>
      <m:oMath>
        <m:r>
          <w:rPr>
            <w:rFonts w:ascii="Cambria Math" w:hAnsi="Cambria Math" w:cs="Times New Roman"/>
            <w:szCs w:val="28"/>
          </w:rPr>
          <m:t>c</m:t>
        </m:r>
      </m:oMath>
      <w:r w:rsidRPr="00706F03">
        <w:rPr>
          <w:rFonts w:cs="Times New Roman"/>
          <w:szCs w:val="28"/>
        </w:rPr>
        <w:t>目標類別，則</w:t>
      </w:r>
      <w:r w:rsidRPr="00706F03">
        <w:rPr>
          <w:rFonts w:cs="Times New Roman"/>
          <w:szCs w:val="28"/>
        </w:rPr>
        <w:t xml:space="preserve"> TP </w:t>
      </w:r>
      <w:r w:rsidRPr="00706F03">
        <w:rPr>
          <w:rFonts w:cs="Times New Roman"/>
          <w:szCs w:val="28"/>
        </w:rPr>
        <w:t>代表實際為</w:t>
      </w:r>
      <w:r w:rsidRPr="00706F03">
        <w:rPr>
          <w:rFonts w:cs="Times New Roman"/>
          <w:szCs w:val="28"/>
        </w:rPr>
        <w:t xml:space="preserve"> Win </w:t>
      </w:r>
      <w:r w:rsidRPr="00706F03">
        <w:rPr>
          <w:rFonts w:cs="Times New Roman"/>
          <w:szCs w:val="28"/>
        </w:rPr>
        <w:t>且模型</w:t>
      </w:r>
      <m:oMath>
        <m:r>
          <w:rPr>
            <w:rFonts w:ascii="Cambria Math" w:hAnsi="Cambria Math" w:cs="Times New Roman"/>
            <w:szCs w:val="28"/>
          </w:rPr>
          <m:t>c</m:t>
        </m:r>
      </m:oMath>
      <w:r w:rsidRPr="00706F03">
        <w:rPr>
          <w:rFonts w:cs="Times New Roman"/>
          <w:szCs w:val="28"/>
        </w:rPr>
        <w:t>亦預測為</w:t>
      </w:r>
      <w:r w:rsidRPr="00706F03">
        <w:rPr>
          <w:rFonts w:cs="Times New Roman"/>
          <w:szCs w:val="28"/>
        </w:rPr>
        <w:t xml:space="preserve"> Win</w:t>
      </w:r>
      <w:r w:rsidRPr="00706F03">
        <w:rPr>
          <w:rFonts w:cs="Times New Roman"/>
          <w:szCs w:val="28"/>
        </w:rPr>
        <w:t>；</w:t>
      </w:r>
      <w:r w:rsidRPr="00706F03">
        <w:rPr>
          <w:rFonts w:cs="Times New Roman"/>
          <w:szCs w:val="28"/>
        </w:rPr>
        <w:t xml:space="preserve">FN </w:t>
      </w:r>
      <m:oMath>
        <m:r>
          <w:rPr>
            <w:rFonts w:ascii="Cambria Math" w:hAnsi="Cambria Math" w:cs="Times New Roman"/>
            <w:szCs w:val="28"/>
          </w:rPr>
          <m:t>c</m:t>
        </m:r>
      </m:oMath>
      <w:r w:rsidRPr="00706F03">
        <w:rPr>
          <w:rFonts w:cs="Times New Roman"/>
          <w:szCs w:val="28"/>
        </w:rPr>
        <w:t>代</w:t>
      </w:r>
      <w:r w:rsidR="004422CA" w:rsidRPr="00706F03">
        <w:rPr>
          <w:rFonts w:cs="Times New Roman"/>
          <w:szCs w:val="28"/>
        </w:rPr>
        <w:t>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分別代表三類裁判結果被正確分類的樣本數，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w:t>
      </w:r>
      <w:r w:rsidRPr="00706F03">
        <w:rPr>
          <w:rFonts w:cs="Times New Roman"/>
          <w:szCs w:val="28"/>
        </w:rPr>
        <w:lastRenderedPageBreak/>
        <w:t>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代表類別數。本研究共有三類裁判結果，因此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2"/>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轉換的流程用以檢驗其是否帶來額外分類增益；直接分類流程則作為對照基準</w:t>
      </w:r>
      <w:r w:rsidRPr="00706F03">
        <w:rPr>
          <w:rFonts w:cs="Times New Roman"/>
          <w:szCs w:val="28"/>
        </w:rPr>
        <w:t>；</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1C742561"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代表依前述兩種流程進行模型訓練；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w:t>
      </w:r>
      <w:r w:rsidR="009A1188" w:rsidRPr="009A1188">
        <w:rPr>
          <w:rFonts w:cs="Times New Roman"/>
          <w:szCs w:val="28"/>
        </w:rPr>
        <w:t>本研究再使用訓練集與驗證集合併後的資料，依最佳參數設定重新訓練最終模型，並以測試集進行最終評估。</w:t>
      </w:r>
      <w:r w:rsidR="009A19D8" w:rsidRPr="00706F03">
        <w:rPr>
          <w:rFonts w:cs="Times New Roman"/>
          <w:szCs w:val="28"/>
        </w:rPr>
        <w:t>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327C7FE0" w14:textId="77777777" w:rsidR="009A1188" w:rsidRDefault="009A1188" w:rsidP="009A1188">
      <w:pPr>
        <w:spacing w:line="276" w:lineRule="auto"/>
        <w:outlineLvl w:val="0"/>
        <w:rPr>
          <w:rFonts w:cs="Times New Roman"/>
          <w:szCs w:val="28"/>
        </w:rPr>
      </w:pPr>
      <w:r w:rsidRPr="009A1188">
        <w:rPr>
          <w:rFonts w:cs="Times New Roman" w:hint="eastAsia"/>
          <w:szCs w:val="28"/>
        </w:rPr>
        <w:t>測試集不參與卡方特徵選擇、</w:t>
      </w:r>
      <w:r w:rsidRPr="009A1188">
        <w:rPr>
          <w:rFonts w:cs="Times New Roman" w:hint="eastAsia"/>
          <w:szCs w:val="28"/>
        </w:rPr>
        <w:t xml:space="preserve">MNIR </w:t>
      </w:r>
      <w:r w:rsidRPr="009A1188">
        <w:rPr>
          <w:rFonts w:cs="Times New Roman" w:hint="eastAsia"/>
          <w:szCs w:val="28"/>
        </w:rPr>
        <w:t>模型估計、</w:t>
      </w:r>
      <w:r w:rsidRPr="009A1188">
        <w:rPr>
          <w:rFonts w:cs="Times New Roman" w:hint="eastAsia"/>
          <w:szCs w:val="28"/>
        </w:rPr>
        <w:t xml:space="preserve">SVM </w:t>
      </w:r>
      <w:r w:rsidRPr="009A1188">
        <w:rPr>
          <w:rFonts w:cs="Times New Roman" w:hint="eastAsia"/>
          <w:szCs w:val="28"/>
        </w:rPr>
        <w:t>訓練與超參數選擇，而僅用於最終模型評估。惟本研究之文件－詞項矩陣係於資料集劃分前建立，因此</w:t>
      </w:r>
      <w:r w:rsidRPr="009A1188">
        <w:rPr>
          <w:rFonts w:cs="Times New Roman" w:hint="eastAsia"/>
          <w:szCs w:val="28"/>
        </w:rPr>
        <w:t xml:space="preserve"> BoW </w:t>
      </w:r>
      <w:r w:rsidRPr="009A1188">
        <w:rPr>
          <w:rFonts w:cs="Times New Roman" w:hint="eastAsia"/>
          <w:szCs w:val="28"/>
        </w:rPr>
        <w:t>與</w:t>
      </w:r>
      <w:r w:rsidRPr="009A1188">
        <w:rPr>
          <w:rFonts w:cs="Times New Roman" w:hint="eastAsia"/>
          <w:szCs w:val="28"/>
        </w:rPr>
        <w:t xml:space="preserve"> TF </w:t>
      </w:r>
      <w:r w:rsidRPr="009A1188">
        <w:rPr>
          <w:rFonts w:cs="Times New Roman" w:hint="eastAsia"/>
          <w:szCs w:val="28"/>
        </w:rPr>
        <w:t>之詞彙表，以及</w:t>
      </w:r>
      <w:r w:rsidRPr="009A1188">
        <w:rPr>
          <w:rFonts w:cs="Times New Roman" w:hint="eastAsia"/>
          <w:szCs w:val="28"/>
        </w:rPr>
        <w:t xml:space="preserve"> TF-IDF </w:t>
      </w:r>
      <w:r w:rsidRPr="009A1188">
        <w:rPr>
          <w:rFonts w:cs="Times New Roman" w:hint="eastAsia"/>
          <w:szCs w:val="28"/>
        </w:rPr>
        <w:t>之詞彙表與</w:t>
      </w:r>
      <w:r w:rsidRPr="009A1188">
        <w:rPr>
          <w:rFonts w:cs="Times New Roman" w:hint="eastAsia"/>
          <w:szCs w:val="28"/>
        </w:rPr>
        <w:t xml:space="preserve"> IDF </w:t>
      </w:r>
      <w:r w:rsidRPr="009A1188">
        <w:rPr>
          <w:rFonts w:cs="Times New Roman" w:hint="eastAsia"/>
          <w:szCs w:val="28"/>
        </w:rPr>
        <w:t>權重，可能已包含驗證集與測試集之詞彙分布資訊。此一情形</w:t>
      </w:r>
      <w:r w:rsidRPr="009A1188">
        <w:rPr>
          <w:rFonts w:cs="Times New Roman" w:hint="eastAsia"/>
          <w:szCs w:val="28"/>
        </w:rPr>
        <w:lastRenderedPageBreak/>
        <w:t>未使用驗證集或測試集之裁判結果標籤進行特徵選擇或模型估計，但仍可能形成非監督式資料洩漏。雖然後續卡方特徵選擇、</w:t>
      </w:r>
      <w:r w:rsidRPr="009A1188">
        <w:rPr>
          <w:rFonts w:cs="Times New Roman" w:hint="eastAsia"/>
          <w:szCs w:val="28"/>
        </w:rPr>
        <w:t xml:space="preserve">MNIR </w:t>
      </w:r>
      <w:r w:rsidRPr="009A1188">
        <w:rPr>
          <w:rFonts w:cs="Times New Roman" w:hint="eastAsia"/>
          <w:szCs w:val="28"/>
        </w:rPr>
        <w:t>特徵轉換、</w:t>
      </w:r>
      <w:r w:rsidRPr="009A1188">
        <w:rPr>
          <w:rFonts w:cs="Times New Roman" w:hint="eastAsia"/>
          <w:szCs w:val="28"/>
        </w:rPr>
        <w:t xml:space="preserve">SVM </w:t>
      </w:r>
      <w:r w:rsidRPr="009A1188">
        <w:rPr>
          <w:rFonts w:cs="Times New Roman" w:hint="eastAsia"/>
          <w:szCs w:val="28"/>
        </w:rPr>
        <w:t>估計與超參數選擇皆未使用測試集進行估計或調整，本研究仍無法完全排除此類資料洩漏之可能。</w:t>
      </w:r>
    </w:p>
    <w:p w14:paraId="01CFACFC" w14:textId="2ECABB34" w:rsidR="009A1188" w:rsidRPr="009A1188" w:rsidRDefault="009A1188" w:rsidP="009A1188">
      <w:pPr>
        <w:spacing w:line="276" w:lineRule="auto"/>
        <w:outlineLvl w:val="0"/>
        <w:rPr>
          <w:rFonts w:cs="Times New Roman"/>
          <w:szCs w:val="28"/>
        </w:rPr>
      </w:pPr>
      <w:r w:rsidRPr="009A1188">
        <w:rPr>
          <w:rFonts w:cs="Times New Roman" w:hint="eastAsia"/>
          <w:szCs w:val="28"/>
        </w:rPr>
        <w:t>由於在相同文字特徵表示下，兩種模型流程皆使用一致的資料切分與特徵建構方式，因此此一非監督式資料洩漏對兩種模型流程相對比較方向的影響可能較有限。然而，</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之特徵建構方式並不完全相同，其中</w:t>
      </w:r>
      <w:r w:rsidRPr="009A1188">
        <w:rPr>
          <w:rFonts w:cs="Times New Roman" w:hint="eastAsia"/>
          <w:szCs w:val="28"/>
        </w:rPr>
        <w:t xml:space="preserve"> TF-IDF </w:t>
      </w:r>
      <w:r w:rsidRPr="009A1188">
        <w:rPr>
          <w:rFonts w:cs="Times New Roman" w:hint="eastAsia"/>
          <w:szCs w:val="28"/>
        </w:rPr>
        <w:t>之</w:t>
      </w:r>
      <w:r w:rsidRPr="009A1188">
        <w:rPr>
          <w:rFonts w:cs="Times New Roman" w:hint="eastAsia"/>
          <w:szCs w:val="28"/>
        </w:rPr>
        <w:t xml:space="preserve"> IDF </w:t>
      </w:r>
      <w:r w:rsidRPr="009A1188">
        <w:rPr>
          <w:rFonts w:cs="Times New Roman" w:hint="eastAsia"/>
          <w:szCs w:val="28"/>
        </w:rPr>
        <w:t>權重係依全部文件之文件頻率計算，因此不同文字特徵表示受到此問題影響的程度可能有所差異。本研究無法排除</w:t>
      </w:r>
      <w:r w:rsidRPr="009A1188">
        <w:rPr>
          <w:rFonts w:cs="Times New Roman" w:hint="eastAsia"/>
          <w:szCs w:val="28"/>
        </w:rPr>
        <w:t xml:space="preserve"> 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之效能差異受到輕微影響，且模型整體效能亦可能略為高估。</w:t>
      </w:r>
    </w:p>
    <w:p w14:paraId="3281FEEF" w14:textId="172C0229" w:rsidR="00523799" w:rsidRPr="00383AAC" w:rsidRDefault="009A1188" w:rsidP="009A1188">
      <w:pPr>
        <w:spacing w:line="276" w:lineRule="auto"/>
        <w:outlineLvl w:val="0"/>
        <w:rPr>
          <w:rFonts w:cs="Times New Roman"/>
          <w:szCs w:val="28"/>
        </w:rPr>
      </w:pPr>
      <w:r w:rsidRPr="009A1188">
        <w:rPr>
          <w:rFonts w:cs="Times New Roman" w:hint="eastAsia"/>
          <w:szCs w:val="28"/>
        </w:rPr>
        <w:t>透過上述流程，本研究得以在各案件類型中比較不同文字特徵表示與兩種模型流程之分類表現，並以測試集結果作為最終模型效能評估依據。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區分為前述四類。由於不同案件類型在法律性質、訴訟目的、裁判用語與裁判結果分布上皆具有差異，本研究分別建立模型進行比較，而非將所有案件合併為單一資料集。其次，本研究將裁判結果整理為前述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53A5C0CC"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w:t>
      </w:r>
      <w:r w:rsidRPr="00706F03">
        <w:rPr>
          <w:rFonts w:cs="Times New Roman"/>
          <w:szCs w:val="28"/>
        </w:rPr>
        <w:lastRenderedPageBreak/>
        <w:t>終模型評估。</w:t>
      </w:r>
      <w:r w:rsidR="009A19D8" w:rsidRPr="00706F03">
        <w:rPr>
          <w:rFonts w:cs="Times New Roman"/>
          <w:szCs w:val="28"/>
        </w:rPr>
        <w:t>綜合而言，本章建立了後續實證分析的完整方法基礎。第四章將依據本章所述流程，分別呈現兩種模型流程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本章依序分析以下問題：第一，含</w:t>
      </w:r>
      <w:r w:rsidRPr="00706F03">
        <w:rPr>
          <w:rFonts w:cs="Times New Roman"/>
        </w:rPr>
        <w:t xml:space="preserve"> MNIR </w:t>
      </w:r>
      <w:r w:rsidRPr="00706F03">
        <w:rPr>
          <w:rFonts w:cs="Times New Roman"/>
        </w:rPr>
        <w:t>轉換流程之分類表現；第二，直接分類流程之分類表現；第三，加入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671445"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2"/>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2"/>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三類裁判結果。相較之下，刑事附帶民事資料集的三類平均辨識表現較佳，但是否能穩定辨識各裁判結果類別，仍須配合後續分類報告與混淆矩陣進一步檢視。整體而言，該流程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33EE9F35"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8D5CB7">
        <w:rPr>
          <w:rFonts w:cs="Times New Roman" w:hint="eastAsia"/>
        </w:rPr>
        <w:t>此流程</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w:t>
      </w:r>
      <w:r w:rsidRPr="00706F03">
        <w:rPr>
          <w:rFonts w:cs="Times New Roman"/>
        </w:rPr>
        <w:lastRenderedPageBreak/>
        <w:t>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2"/>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7"/>
        <w:gridCol w:w="3260"/>
        <w:gridCol w:w="1276"/>
        <w:gridCol w:w="1538"/>
        <w:gridCol w:w="2207"/>
      </w:tblGrid>
      <w:tr w:rsidR="00641412" w:rsidRPr="00706F03" w14:paraId="59F2B763" w14:textId="77777777" w:rsidTr="00152341">
        <w:trPr>
          <w:cantSplit/>
          <w:jc w:val="center"/>
        </w:trPr>
        <w:tc>
          <w:tcPr>
            <w:tcW w:w="1557" w:type="dxa"/>
            <w:tcBorders>
              <w:bottom w:val="single" w:sz="2" w:space="0" w:color="000000"/>
            </w:tcBorders>
            <w:vAlign w:val="center"/>
          </w:tcPr>
          <w:p w14:paraId="607AAC46"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3260" w:type="dxa"/>
            <w:tcBorders>
              <w:bottom w:val="single" w:sz="2" w:space="0" w:color="000000"/>
            </w:tcBorders>
            <w:vAlign w:val="center"/>
          </w:tcPr>
          <w:p w14:paraId="5D2FF43C" w14:textId="5F347063" w:rsidR="00641412" w:rsidRPr="00152341" w:rsidRDefault="004319DD" w:rsidP="00152341">
            <w:pPr>
              <w:keepNext/>
              <w:keepLines/>
              <w:spacing w:after="0" w:line="276" w:lineRule="auto"/>
              <w:ind w:firstLine="0"/>
              <w:jc w:val="center"/>
              <w:rPr>
                <w:rFonts w:cs="Times New Roman"/>
                <w:b/>
                <w:sz w:val="22"/>
                <w:szCs w:val="22"/>
              </w:rPr>
            </w:pPr>
            <w:r>
              <w:rPr>
                <w:rFonts w:cs="Times New Roman"/>
                <w:b/>
                <w:sz w:val="22"/>
                <w:szCs w:val="22"/>
              </w:rPr>
              <w:t>Chi-square + SVM</w:t>
            </w:r>
            <w:r w:rsidR="00152341">
              <w:rPr>
                <w:rFonts w:cs="Times New Roman" w:hint="eastAsia"/>
                <w:b/>
                <w:sz w:val="22"/>
                <w:szCs w:val="22"/>
              </w:rPr>
              <w:t xml:space="preserve"> </w:t>
            </w:r>
            <w:r w:rsidR="00461938" w:rsidRPr="00706F03">
              <w:rPr>
                <w:rFonts w:cs="Times New Roman"/>
                <w:b/>
                <w:sz w:val="22"/>
                <w:szCs w:val="22"/>
              </w:rPr>
              <w:t>最佳特徵</w:t>
            </w:r>
          </w:p>
        </w:tc>
        <w:tc>
          <w:tcPr>
            <w:tcW w:w="1276" w:type="dxa"/>
            <w:tcBorders>
              <w:bottom w:val="single" w:sz="2" w:space="0" w:color="000000"/>
            </w:tcBorders>
            <w:vAlign w:val="center"/>
          </w:tcPr>
          <w:p w14:paraId="13B996D7"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538" w:type="dxa"/>
            <w:tcBorders>
              <w:bottom w:val="single" w:sz="2" w:space="0" w:color="000000"/>
            </w:tcBorders>
            <w:vAlign w:val="center"/>
          </w:tcPr>
          <w:p w14:paraId="51DC5EF1"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207" w:type="dxa"/>
            <w:tcBorders>
              <w:bottom w:val="single" w:sz="2" w:space="0" w:color="000000"/>
            </w:tcBorders>
            <w:vAlign w:val="center"/>
          </w:tcPr>
          <w:p w14:paraId="0E331D2B"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152341">
        <w:trPr>
          <w:cantSplit/>
          <w:jc w:val="center"/>
        </w:trPr>
        <w:tc>
          <w:tcPr>
            <w:tcW w:w="1557"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3260"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276"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538"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207"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152341">
        <w:trPr>
          <w:cantSplit/>
          <w:jc w:val="center"/>
        </w:trPr>
        <w:tc>
          <w:tcPr>
            <w:tcW w:w="1557"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3260"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276"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538"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207"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152341">
        <w:trPr>
          <w:cantSplit/>
          <w:jc w:val="center"/>
        </w:trPr>
        <w:tc>
          <w:tcPr>
            <w:tcW w:w="1557"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3260"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276"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538"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207"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152341">
        <w:trPr>
          <w:cantSplit/>
          <w:jc w:val="center"/>
        </w:trPr>
        <w:tc>
          <w:tcPr>
            <w:tcW w:w="1557"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3260"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276"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538"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207"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2"/>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562"/>
        <w:gridCol w:w="1276"/>
        <w:gridCol w:w="1134"/>
        <w:gridCol w:w="1559"/>
        <w:gridCol w:w="1701"/>
        <w:gridCol w:w="1559"/>
      </w:tblGrid>
      <w:tr w:rsidR="0047606C" w:rsidRPr="00706F03" w14:paraId="4F66279B" w14:textId="77777777" w:rsidTr="004319DD">
        <w:trPr>
          <w:cantSplit/>
          <w:jc w:val="center"/>
        </w:trPr>
        <w:tc>
          <w:tcPr>
            <w:tcW w:w="1554" w:type="dxa"/>
            <w:tcBorders>
              <w:bottom w:val="single" w:sz="2" w:space="0" w:color="000000"/>
            </w:tcBorders>
            <w:vAlign w:val="center"/>
          </w:tcPr>
          <w:p w14:paraId="1933E5D0" w14:textId="77777777" w:rsidR="0047606C" w:rsidRPr="00706F03" w:rsidRDefault="0047606C" w:rsidP="004319DD">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562" w:type="dxa"/>
            <w:tcBorders>
              <w:bottom w:val="single" w:sz="2" w:space="0" w:color="000000"/>
            </w:tcBorders>
            <w:vAlign w:val="center"/>
          </w:tcPr>
          <w:p w14:paraId="7704126F" w14:textId="553A5412" w:rsidR="0047606C" w:rsidRPr="004319DD" w:rsidRDefault="004319DD" w:rsidP="004319DD">
            <w:pPr>
              <w:keepNext/>
              <w:keepLines/>
              <w:spacing w:after="0" w:line="276" w:lineRule="auto"/>
              <w:ind w:firstLine="0"/>
              <w:jc w:val="center"/>
              <w:rPr>
                <w:rFonts w:cs="Times New Roman"/>
                <w:b/>
                <w:sz w:val="22"/>
                <w:szCs w:val="22"/>
              </w:rPr>
            </w:pPr>
            <w:r w:rsidRPr="004319DD">
              <w:rPr>
                <w:rFonts w:cs="Times New Roman"/>
                <w:b/>
                <w:sz w:val="22"/>
                <w:szCs w:val="22"/>
              </w:rPr>
              <w:t>Chi-square</w:t>
            </w:r>
            <w:r w:rsidR="0047606C" w:rsidRPr="004319DD">
              <w:rPr>
                <w:rFonts w:cs="Times New Roman"/>
                <w:b/>
                <w:sz w:val="22"/>
                <w:szCs w:val="22"/>
              </w:rPr>
              <w:t xml:space="preserve"> </w:t>
            </w:r>
            <w:r w:rsidRPr="004319DD">
              <w:rPr>
                <w:rFonts w:cs="Times New Roman"/>
                <w:b/>
                <w:sz w:val="22"/>
                <w:szCs w:val="22"/>
              </w:rPr>
              <w:t>+ SVM</w:t>
            </w:r>
            <w:r w:rsidR="0047606C" w:rsidRPr="004319DD">
              <w:rPr>
                <w:rFonts w:cs="Times New Roman"/>
                <w:b/>
                <w:sz w:val="22"/>
                <w:szCs w:val="22"/>
              </w:rPr>
              <w:br/>
            </w:r>
            <w:r w:rsidR="0047606C" w:rsidRPr="004319DD">
              <w:rPr>
                <w:rFonts w:cs="Times New Roman"/>
                <w:b/>
                <w:sz w:val="22"/>
                <w:szCs w:val="22"/>
              </w:rPr>
              <w:t>最佳特徵</w:t>
            </w:r>
          </w:p>
        </w:tc>
        <w:tc>
          <w:tcPr>
            <w:tcW w:w="1276" w:type="dxa"/>
            <w:tcBorders>
              <w:bottom w:val="single" w:sz="2" w:space="0" w:color="000000"/>
            </w:tcBorders>
            <w:vAlign w:val="center"/>
          </w:tcPr>
          <w:p w14:paraId="72441D2A" w14:textId="77777777" w:rsidR="0047606C" w:rsidRPr="00706F03" w:rsidRDefault="0047606C" w:rsidP="004319DD">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4" w:type="dxa"/>
            <w:tcBorders>
              <w:bottom w:val="single" w:sz="2" w:space="0" w:color="000000"/>
            </w:tcBorders>
            <w:vAlign w:val="center"/>
          </w:tcPr>
          <w:p w14:paraId="6F972219" w14:textId="4E9F560D" w:rsidR="0047606C" w:rsidRPr="004319DD" w:rsidRDefault="0047606C" w:rsidP="004319DD">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tc>
        <w:tc>
          <w:tcPr>
            <w:tcW w:w="1559" w:type="dxa"/>
            <w:tcBorders>
              <w:bottom w:val="single" w:sz="2" w:space="0" w:color="000000"/>
            </w:tcBorders>
            <w:vAlign w:val="center"/>
          </w:tcPr>
          <w:p w14:paraId="14040C53" w14:textId="77777777" w:rsidR="0047606C" w:rsidRPr="00706F03" w:rsidRDefault="0047606C" w:rsidP="004319DD">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1" w:type="dxa"/>
            <w:tcBorders>
              <w:bottom w:val="single" w:sz="2" w:space="0" w:color="000000"/>
            </w:tcBorders>
            <w:vAlign w:val="center"/>
          </w:tcPr>
          <w:p w14:paraId="7A598DB6" w14:textId="35ADD8B1" w:rsidR="00DF543D" w:rsidRPr="00706F03" w:rsidRDefault="00152341" w:rsidP="004319DD">
            <w:pPr>
              <w:keepNext/>
              <w:keepLines/>
              <w:spacing w:after="0" w:line="276" w:lineRule="auto"/>
              <w:ind w:firstLine="0"/>
              <w:jc w:val="center"/>
              <w:rPr>
                <w:rFonts w:cs="Times New Roman"/>
                <w:b/>
                <w:sz w:val="22"/>
                <w:szCs w:val="22"/>
              </w:rPr>
            </w:pPr>
            <w:r>
              <w:rPr>
                <w:rFonts w:cs="Times New Roman"/>
                <w:b/>
                <w:sz w:val="22"/>
                <w:szCs w:val="22"/>
              </w:rPr>
              <w:t>Macro F1</w:t>
            </w:r>
            <w:r>
              <w:rPr>
                <w:rFonts w:cs="Times New Roman" w:hint="eastAsia"/>
                <w:b/>
                <w:sz w:val="22"/>
                <w:szCs w:val="22"/>
              </w:rPr>
              <w:t xml:space="preserve"> </w:t>
            </w:r>
            <w:r>
              <w:rPr>
                <w:rFonts w:cs="Times New Roman" w:hint="eastAsia"/>
                <w:b/>
                <w:sz w:val="22"/>
                <w:szCs w:val="22"/>
              </w:rPr>
              <w:t>差值</w:t>
            </w:r>
          </w:p>
          <w:p w14:paraId="589E7CD8" w14:textId="77777777" w:rsidR="0047606C" w:rsidRPr="00706F03" w:rsidRDefault="00DF543D" w:rsidP="004319DD">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4319DD">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4319DD">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562"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27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4"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1559"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1"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4319DD">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562"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27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4"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1559"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1"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4319DD">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562"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27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4"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1559"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1"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4319DD">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562"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27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4"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1559"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1"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5A5E2563" w14:textId="0C6893B8" w:rsidR="00025278" w:rsidRDefault="00025278" w:rsidP="00025278">
      <w:pPr>
        <w:keepNext/>
        <w:keepLines/>
        <w:spacing w:before="80" w:after="80" w:line="276" w:lineRule="auto"/>
        <w:ind w:firstLine="0"/>
        <w:rPr>
          <w:rFonts w:cs="Times New Roman"/>
        </w:rPr>
      </w:pPr>
      <w:r w:rsidRPr="00025278">
        <w:rPr>
          <w:rFonts w:cs="Times New Roman"/>
        </w:rPr>
        <w:t>註：</w:t>
      </w:r>
      <w:r w:rsidRPr="00025278">
        <w:rPr>
          <w:rFonts w:cs="Times New Roman"/>
        </w:rPr>
        <w:t xml:space="preserve">Macro F1 </w:t>
      </w:r>
      <w:r w:rsidRPr="00025278">
        <w:rPr>
          <w:rFonts w:cs="Times New Roman"/>
        </w:rPr>
        <w:t>差值＝</w:t>
      </w:r>
      <w:r w:rsidRPr="00025278">
        <w:rPr>
          <w:rFonts w:cs="Times New Roman"/>
        </w:rPr>
        <w:t>Chi-square + SVM Macro F1</w:t>
      </w:r>
      <w:r w:rsidRPr="00025278">
        <w:rPr>
          <w:rFonts w:cs="Times New Roman"/>
        </w:rPr>
        <w:t>－</w:t>
      </w:r>
      <w:r w:rsidRPr="00025278">
        <w:rPr>
          <w:rFonts w:cs="Times New Roman"/>
        </w:rPr>
        <w:t>Chi-square + MNIR + SVM Macro F1</w:t>
      </w:r>
      <w:r w:rsidRPr="00025278">
        <w:rPr>
          <w:rFonts w:cs="Times New Roman" w:hint="eastAsia"/>
        </w:rPr>
        <w:t>。</w:t>
      </w:r>
    </w:p>
    <w:p w14:paraId="03418144" w14:textId="11F76158"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整體而言，四類資料集結果方向一致，直接分類流程較含</w:t>
      </w:r>
      <w:r w:rsidRPr="00706F03">
        <w:rPr>
          <w:rFonts w:cs="Times New Roman"/>
        </w:rPr>
        <w:t xml:space="preserve"> MNIR </w:t>
      </w:r>
      <w:r w:rsidRPr="00706F03">
        <w:rPr>
          <w:rFonts w:cs="Times New Roman"/>
        </w:rPr>
        <w:t>轉換流程取得更佳分類</w:t>
      </w:r>
      <w:r w:rsidRPr="00706F03">
        <w:rPr>
          <w:rFonts w:cs="Times New Roman"/>
        </w:rPr>
        <w:lastRenderedPageBreak/>
        <w:t>表現。在本研究資料、文字特徵設定與參數範圍下，</w:t>
      </w:r>
      <w:r w:rsidRPr="00706F03">
        <w:rPr>
          <w:rFonts w:cs="Times New Roman"/>
        </w:rPr>
        <w:t xml:space="preserve">MNIR </w:t>
      </w:r>
      <w:r w:rsidRPr="00706F03">
        <w:rPr>
          <w:rFonts w:cs="Times New Roman"/>
        </w:rPr>
        <w:t>未能提供額外分類增益。</w:t>
      </w:r>
      <w:r w:rsidR="00CE420E" w:rsidRPr="00706F03">
        <w:rPr>
          <w:rFonts w:cs="Times New Roman"/>
        </w:rPr>
        <w:t>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特徵選擇後，直接分類流程可利用這些具有判別力的稀疏詞彙特徵進行分類，不一定需要再透過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下降。換言之，在本研究資料、文字特徵設定與參數範圍下，</w:t>
      </w:r>
      <w:r w:rsidRPr="00706F03">
        <w:rPr>
          <w:rFonts w:cs="Times New Roman"/>
        </w:rPr>
        <w:t xml:space="preserve">MNIR </w:t>
      </w:r>
      <w:r w:rsidRPr="00706F03">
        <w:rPr>
          <w:rFonts w:cs="Times New Roman"/>
        </w:rPr>
        <w:t>未能提供額外分類增益；其低維化過程可能未能完整保留少數類別所需的判別訊息。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轉換後，本身已形成高維且稀疏的文字特徵空間。直接分類流程保留卡方篩選後的多個詞彙維度，使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可利用的分類訊號減少。因此，在本研究資料中，直接分類流程保留高維稀疏文字特徵，可能比先經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綜合而言，直接分類流程優於含</w:t>
      </w:r>
      <w:r w:rsidRPr="00706F03">
        <w:rPr>
          <w:rFonts w:cs="Times New Roman"/>
        </w:rPr>
        <w:t xml:space="preserve"> MNIR </w:t>
      </w:r>
      <w:r w:rsidRPr="00706F03">
        <w:rPr>
          <w:rFonts w:cs="Times New Roman"/>
        </w:rPr>
        <w:t>轉換流程的結果，不宜解讀為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w:t>
      </w:r>
      <w:r w:rsidRPr="00706F03">
        <w:rPr>
          <w:rFonts w:cs="Times New Roman"/>
        </w:rPr>
        <w:lastRenderedPageBreak/>
        <w:t>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w:t>
      </w:r>
      <w:r w:rsidRPr="00706F03">
        <w:lastRenderedPageBreak/>
        <w:t>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2"/>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2BBC2BF6">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w:t>
      </w:r>
      <w:r w:rsidRPr="00706F03">
        <w:lastRenderedPageBreak/>
        <w:t>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 xml:space="preserve"> 91.2% </w:t>
      </w:r>
      <w:r w:rsidRPr="007A051D">
        <w:rPr>
          <w:rFonts w:cs="Times New Roman" w:hint="eastAsia"/>
        </w:rPr>
        <w:t>之三類錯誤型態；其餘錯誤方向則合併呈現為其他錯誤方向。</w:t>
      </w:r>
    </w:p>
    <w:p w14:paraId="538E9E3F" w14:textId="77777777" w:rsidR="00876F61" w:rsidRPr="003E09F7" w:rsidRDefault="00671445">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三類裁判結果。</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5EBF3C89"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w:t>
      </w:r>
      <w:r w:rsidR="004C533F" w:rsidRPr="004C533F">
        <w:rPr>
          <w:rFonts w:cs="Times New Roman"/>
        </w:rPr>
        <w:t>因此，後續研究若欲提升少數類別表現，除處理類別不平衡外，也可進一步細分部分勝訴型態，並結合判決理由段落、請求項目與裁判主文等更細緻的文本結構資訊。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2"/>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w:t>
      </w:r>
      <w:r w:rsidRPr="00706F03">
        <w:rPr>
          <w:rFonts w:cs="Times New Roman"/>
        </w:rPr>
        <w:lastRenderedPageBreak/>
        <w:t>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51928CDB" w14:textId="1D887803"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）的研究顯示，法律判決與智慧財產權訴訟文本中可能存在可供機器學習模型辨識的文字訊號。本研究中，直接分類流程在四類案件資料集的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，且亦高於含</w:t>
      </w:r>
      <w:r w:rsidRPr="00706F03">
        <w:rPr>
          <w:rFonts w:cs="Times New Roman"/>
        </w:rPr>
        <w:t xml:space="preserve"> MNIR </w:t>
      </w:r>
      <w:r w:rsidRPr="00706F03">
        <w:rPr>
          <w:rFonts w:cs="Times New Roman"/>
        </w:rPr>
        <w:t>轉換流程，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w:t>
      </w:r>
      <w:r w:rsidRPr="00706F03">
        <w:rPr>
          <w:rFonts w:cs="Times New Roman"/>
        </w:rPr>
        <w:lastRenderedPageBreak/>
        <w:t>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監督式特徵轉換是否能將高維法律文本特徵轉換為較具判別力的低維表示，進而改善裁判結果分類。然而，實證結果顯示，在本研究資料、文字特徵設定與參數範圍下，</w:t>
      </w:r>
      <w:r w:rsidRPr="00706F03">
        <w:rPr>
          <w:rFonts w:cs="Times New Roman"/>
          <w:szCs w:val="28"/>
        </w:rPr>
        <w:t xml:space="preserve">MNIR </w:t>
      </w:r>
      <w:r w:rsidRPr="00706F03">
        <w:rPr>
          <w:rFonts w:cs="Times New Roman"/>
          <w:szCs w:val="28"/>
        </w:rPr>
        <w:t>未能提供額外分類增益。四類案件資料集中，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此結果指出，在本研究任務中，直接使用篩選後之高維稀疏詞彙特徵，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366CA0D8"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轉換的流程未優於直接分類流程；此結果僅適用於本研究資料、文字特徵設定與參數範圍。</w:t>
      </w:r>
      <w:r w:rsidR="00191768" w:rsidRPr="00191768">
        <w:rPr>
          <w:rFonts w:cs="Times New Roman"/>
          <w:szCs w:val="28"/>
        </w:rPr>
        <w:t>相對地，卡方篩選後的高維稀疏詞彙特徵仍具有重要分類價值。此一結果進一步顯示，在法律長文本分類情境下，經特徵篩選後之傳統稀疏文字特徵仍具有重要基準價值，不一定需透過額外的監督式降維，才能獲得較佳的分類效果。換言之，當法律文本中的分類訊號分散於多個法律用語、程序用語、請求類型與裁判理由詞彙時，保留經篩選後的高維稀疏特徵，可能有助於維持較完整的分類資訊。因此，本研究不僅對</w:t>
      </w:r>
      <w:r w:rsidR="00191768" w:rsidRPr="00191768">
        <w:rPr>
          <w:rFonts w:cs="Times New Roman"/>
          <w:szCs w:val="28"/>
        </w:rPr>
        <w:t xml:space="preserve"> MNIR </w:t>
      </w:r>
      <w:r w:rsidR="00191768" w:rsidRPr="00191768">
        <w:rPr>
          <w:rFonts w:cs="Times New Roman"/>
          <w:szCs w:val="28"/>
        </w:rPr>
        <w:t>在中文智慧財產權判決文本分類中的適用條件與限制提供具體經驗證據，也說明較複雜的特徵轉換或額外降維，並不必然帶來較佳的法律文本分類效果。</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比較含</w:t>
      </w:r>
      <w:r w:rsidRPr="00706F03">
        <w:rPr>
          <w:rFonts w:cs="Times New Roman"/>
          <w:szCs w:val="28"/>
        </w:rPr>
        <w:t xml:space="preserve"> MNIR </w:t>
      </w:r>
      <w:r w:rsidRPr="00706F03">
        <w:rPr>
          <w:rFonts w:cs="Times New Roman"/>
          <w:szCs w:val="28"/>
        </w:rPr>
        <w:t>轉換與直接分類兩種模型流程。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w:t>
      </w:r>
      <w:r w:rsidRPr="00706F03">
        <w:rPr>
          <w:rFonts w:cs="Times New Roman"/>
          <w:szCs w:val="28"/>
        </w:rPr>
        <w:lastRenderedPageBreak/>
        <w:t>一步使用</w:t>
      </w:r>
      <w:r w:rsidRPr="00706F03">
        <w:rPr>
          <w:rFonts w:cs="Times New Roman"/>
          <w:szCs w:val="28"/>
        </w:rPr>
        <w:t xml:space="preserve"> Macro F1</w:t>
      </w:r>
      <w:r w:rsidRPr="00706F03">
        <w:rPr>
          <w:rFonts w:cs="Times New Roman"/>
          <w:szCs w:val="28"/>
        </w:rPr>
        <w:t>、分類報告與混淆矩陣，檢視模型對三類裁判結果的辨識能力。此一評估方式有助於揭露少數類別的分類限制，避免模型因主要預測多數類別而被高估。</w:t>
      </w:r>
    </w:p>
    <w:p w14:paraId="51B0CDD6" w14:textId="6A853A94" w:rsidR="002E2F39" w:rsidRPr="00706F03" w:rsidRDefault="00E9799B" w:rsidP="002E2F39">
      <w:pPr>
        <w:widowControl/>
        <w:spacing w:line="276" w:lineRule="auto"/>
        <w:rPr>
          <w:rFonts w:cs="Times New Roman"/>
          <w:szCs w:val="28"/>
        </w:rPr>
      </w:pPr>
      <w:r w:rsidRPr="00E9799B">
        <w:rPr>
          <w:rFonts w:cs="Times New Roman"/>
          <w:szCs w:val="28"/>
        </w:rPr>
        <w:t>第三，在實務貢獻方面，本研究可作為智慧財產權裁判書分類與初步案件分析之參考。公開裁判書數量龐大，若完全仰賴人工閱讀與標記，將耗費大量時間與人力。本研究建立之分類流程，可協助研究者或實務工作者對大量智慧財產權裁判書進行初步分類與整理，並掌握不同案件類型與裁判結果之分布。此外，模型所建立之文字特徵與分類結果，亦可作為類案檢索、研究樣本篩選、後續人工審查及法律科技系統開發之輔助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5B6842E5" w:rsidR="00704996" w:rsidRPr="00706F03" w:rsidRDefault="00E9799B" w:rsidP="007B138D">
      <w:pPr>
        <w:widowControl/>
        <w:spacing w:line="276" w:lineRule="auto"/>
        <w:rPr>
          <w:rFonts w:cs="Times New Roman"/>
          <w:szCs w:val="28"/>
        </w:rPr>
      </w:pPr>
      <w:r w:rsidRPr="00E9799B">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裁判書分類、類案檢索、初步案件分析、研究樣本整理及法律科技系統開發之輔助工具，不宜直接作為司法裁判、個案勝敗判斷或法律決策之依據。</w:t>
      </w:r>
    </w:p>
    <w:p w14:paraId="130A9FD5" w14:textId="47CD9C92"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w:t>
      </w:r>
      <w:r w:rsidR="00191768" w:rsidRPr="00191768">
        <w:rPr>
          <w:rFonts w:cs="Times New Roman"/>
          <w:szCs w:val="28"/>
        </w:rPr>
        <w:t>理論上，本研究說明不同文字特徵表示與</w:t>
      </w:r>
      <w:r w:rsidR="00191768" w:rsidRPr="00191768">
        <w:rPr>
          <w:rFonts w:cs="Times New Roman"/>
          <w:szCs w:val="28"/>
        </w:rPr>
        <w:t xml:space="preserve"> MNIR </w:t>
      </w:r>
      <w:r w:rsidR="00191768" w:rsidRPr="00191768">
        <w:rPr>
          <w:rFonts w:cs="Times New Roman"/>
          <w:szCs w:val="28"/>
        </w:rPr>
        <w:t>監督式特徵轉換在法律文本分類中的適用差異，並指出經特徵篩選後之傳統稀疏文字特徵，在法律長文本分類中仍具有重要基準價值。</w:t>
      </w:r>
      <w:r w:rsidRPr="00706F03">
        <w:rPr>
          <w:rFonts w:cs="Times New Roman"/>
          <w:szCs w:val="28"/>
        </w:rPr>
        <w:t>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4969970F" w:rsidR="00053F92" w:rsidRPr="00706F03" w:rsidRDefault="00FF462F" w:rsidP="00FF462F">
      <w:pPr>
        <w:widowControl/>
        <w:spacing w:line="276" w:lineRule="auto"/>
        <w:rPr>
          <w:rFonts w:cs="Times New Roman"/>
          <w:szCs w:val="28"/>
        </w:rPr>
      </w:pPr>
      <w:r w:rsidRPr="00FF462F">
        <w:rPr>
          <w:rFonts w:cs="Times New Roman" w:hint="eastAsia"/>
          <w:szCs w:val="28"/>
        </w:rPr>
        <w:t>第一，本研究仍無法完全排除資料洩漏風險。首先，本研究雖已移除「駁回」、「有理由」、「准許」、「撤銷」等明顯裁判結果詞彙，以降低模型直接依賴結果詞彙進行分類的疑慮，但</w:t>
      </w:r>
      <w:r w:rsidRPr="00FF462F">
        <w:rPr>
          <w:rFonts w:cs="Times New Roman" w:hint="eastAsia"/>
          <w:szCs w:val="28"/>
        </w:rPr>
        <w:lastRenderedPageBreak/>
        <w:t>法律文本中仍可能保留間接反映裁判結果的線索，例如語境、請求類型、程序狀態或裁判理由結構。</w:t>
      </w:r>
      <w:r w:rsidR="00F42D9E">
        <w:t>其次，本研究於資料集劃分前建立</w:t>
      </w:r>
      <w:r w:rsidR="00F42D9E">
        <w:t xml:space="preserve"> BoW</w:t>
      </w:r>
      <w:r w:rsidR="00F42D9E">
        <w:t>、</w:t>
      </w:r>
      <w:r w:rsidR="00F42D9E">
        <w:t xml:space="preserve">TF </w:t>
      </w:r>
      <w:r w:rsidR="00F42D9E">
        <w:t>與</w:t>
      </w:r>
      <w:r w:rsidR="00F42D9E">
        <w:t xml:space="preserve"> TF-IDF </w:t>
      </w:r>
      <w:r w:rsidR="00F42D9E">
        <w:t>之文件－詞項矩陣，因此</w:t>
      </w:r>
      <w:r w:rsidR="00F42D9E">
        <w:t xml:space="preserve"> BoW </w:t>
      </w:r>
      <w:r w:rsidR="00F42D9E">
        <w:t>與</w:t>
      </w:r>
      <w:r w:rsidR="00F42D9E">
        <w:t xml:space="preserve"> TF </w:t>
      </w:r>
      <w:r w:rsidR="00F42D9E">
        <w:t>之詞彙表，以及</w:t>
      </w:r>
      <w:r w:rsidR="00F42D9E">
        <w:t xml:space="preserve"> TF-IDF </w:t>
      </w:r>
      <w:r w:rsidR="00F42D9E">
        <w:t>之詞彙表與</w:t>
      </w:r>
      <w:r w:rsidR="00F42D9E">
        <w:t xml:space="preserve"> IDF </w:t>
      </w:r>
      <w:r w:rsidR="00F42D9E">
        <w:t>權重，可能已包含驗證集與測試集之詞彙分布資訊，形成非監督式資料洩漏</w:t>
      </w:r>
      <w:r w:rsidR="00F42D9E">
        <w:rPr>
          <w:rFonts w:ascii="Heiti TC" w:eastAsia="Heiti TC" w:hAnsi="Heiti TC" w:cs="Heiti TC" w:hint="eastAsia"/>
        </w:rPr>
        <w:t>。</w:t>
      </w:r>
      <w:r w:rsidRPr="00FF462F">
        <w:rPr>
          <w:rFonts w:cs="Times New Roman" w:hint="eastAsia"/>
          <w:szCs w:val="28"/>
        </w:rPr>
        <w:t>由於在相同文字特徵表示下，兩種模型流程皆使用一致的資料切分與特徵建構方式，因此此一問題較不致改變兩種模型流程之相對比較方向。然而，不同文字特徵表示受到此問題影響的程度可能並不完全一致，尤其</w:t>
      </w:r>
      <w:r w:rsidRPr="00FF462F">
        <w:rPr>
          <w:rFonts w:cs="Times New Roman" w:hint="eastAsia"/>
          <w:szCs w:val="28"/>
        </w:rPr>
        <w:t xml:space="preserve"> TF-IDF </w:t>
      </w:r>
      <w:r w:rsidRPr="00FF462F">
        <w:rPr>
          <w:rFonts w:cs="Times New Roman" w:hint="eastAsia"/>
          <w:szCs w:val="28"/>
        </w:rPr>
        <w:t>之</w:t>
      </w:r>
      <w:r w:rsidRPr="00FF462F">
        <w:rPr>
          <w:rFonts w:cs="Times New Roman" w:hint="eastAsia"/>
          <w:szCs w:val="28"/>
        </w:rPr>
        <w:t xml:space="preserve"> IDF </w:t>
      </w:r>
      <w:r w:rsidRPr="00FF462F">
        <w:rPr>
          <w:rFonts w:cs="Times New Roman" w:hint="eastAsia"/>
          <w:szCs w:val="28"/>
        </w:rPr>
        <w:t>權重係依全部文件之文件頻率計算，因此本研究無法排除</w:t>
      </w:r>
      <w:r w:rsidRPr="00FF462F">
        <w:rPr>
          <w:rFonts w:cs="Times New Roman" w:hint="eastAsia"/>
          <w:szCs w:val="28"/>
        </w:rPr>
        <w:t xml:space="preserve"> BoW</w:t>
      </w:r>
      <w:r w:rsidRPr="00FF462F">
        <w:rPr>
          <w:rFonts w:cs="Times New Roman" w:hint="eastAsia"/>
          <w:szCs w:val="28"/>
        </w:rPr>
        <w:t>、</w:t>
      </w:r>
      <w:r w:rsidRPr="00FF462F">
        <w:rPr>
          <w:rFonts w:cs="Times New Roman" w:hint="eastAsia"/>
          <w:szCs w:val="28"/>
        </w:rPr>
        <w:t xml:space="preserve">TF </w:t>
      </w:r>
      <w:r w:rsidRPr="00FF462F">
        <w:rPr>
          <w:rFonts w:cs="Times New Roman" w:hint="eastAsia"/>
          <w:szCs w:val="28"/>
        </w:rPr>
        <w:t>與</w:t>
      </w:r>
      <w:r w:rsidRPr="00FF462F">
        <w:rPr>
          <w:rFonts w:cs="Times New Roman" w:hint="eastAsia"/>
          <w:szCs w:val="28"/>
        </w:rPr>
        <w:t xml:space="preserve"> TF-IDF </w:t>
      </w:r>
      <w:r w:rsidRPr="00FF462F">
        <w:rPr>
          <w:rFonts w:cs="Times New Roman" w:hint="eastAsia"/>
          <w:szCs w:val="28"/>
        </w:rPr>
        <w:t>之效能比較受到輕微影響，且模型整體效能亦可能略為高估。未來研究宜先完成資料集劃分，再僅以訓練集建立詞彙表與估計</w:t>
      </w:r>
      <w:r w:rsidRPr="00FF462F">
        <w:rPr>
          <w:rFonts w:cs="Times New Roman" w:hint="eastAsia"/>
          <w:szCs w:val="28"/>
        </w:rPr>
        <w:t xml:space="preserve"> IDF </w:t>
      </w:r>
      <w:r w:rsidRPr="00FF462F">
        <w:rPr>
          <w:rFonts w:cs="Times New Roman" w:hint="eastAsia"/>
          <w:szCs w:val="28"/>
        </w:rPr>
        <w:t>權重，並將相同的詞彙表與特徵轉換規則套用至驗證集與測試集，以降低資料洩漏風險，並重新檢驗不同模型流程及文字特徵表示之比較結果是否具有穩健性。</w:t>
      </w:r>
    </w:p>
    <w:p w14:paraId="14DD4B84" w14:textId="329733D4"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）、合成少數類別過抽樣技術（</w:t>
      </w:r>
      <w:r w:rsidRPr="00751733">
        <w:rPr>
          <w:rFonts w:cs="Times New Roman" w:hint="eastAsia"/>
          <w:szCs w:val="28"/>
        </w:rPr>
        <w:t>Synthetic Minority Over-sampling Technique, 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 xml:space="preserve"> Lose</w:t>
      </w:r>
      <w:r w:rsidRPr="00D32995">
        <w:rPr>
          <w:rFonts w:cs="Times New Roman"/>
          <w:szCs w:val="28"/>
        </w:rPr>
        <w:t>、</w:t>
      </w:r>
      <w:r w:rsidRPr="00D32995">
        <w:rPr>
          <w:rFonts w:cs="Times New Roman"/>
          <w:szCs w:val="28"/>
        </w:rPr>
        <w:t xml:space="preserve">Mixed </w:t>
      </w:r>
      <w:r w:rsidRPr="00D32995">
        <w:rPr>
          <w:rFonts w:cs="Times New Roman"/>
          <w:szCs w:val="28"/>
        </w:rPr>
        <w:t>與</w:t>
      </w:r>
      <w:r w:rsidRPr="00D32995">
        <w:rPr>
          <w:rFonts w:cs="Times New Roman"/>
          <w:szCs w:val="28"/>
        </w:rPr>
        <w:t xml:space="preserve"> Win </w:t>
      </w:r>
      <w:r w:rsidRPr="00D32995">
        <w:rPr>
          <w:rFonts w:cs="Times New Roman"/>
          <w:szCs w:val="28"/>
        </w:rPr>
        <w:t>三類。然而，</w:t>
      </w:r>
      <w:r w:rsidRPr="00D32995">
        <w:rPr>
          <w:rFonts w:cs="Times New Roman"/>
          <w:szCs w:val="28"/>
        </w:rPr>
        <w:t xml:space="preserve">Mixed </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 xml:space="preserve"> Mixed</w:t>
      </w:r>
      <w:r w:rsidRPr="00D32995">
        <w:rPr>
          <w:rFonts w:cs="Times New Roman"/>
          <w:szCs w:val="28"/>
        </w:rPr>
        <w:t>，但其法律意義與文本特徵未必一致，因此可能具有較高的類別內異質性。模型對</w:t>
      </w:r>
      <w:r w:rsidRPr="00D32995">
        <w:rPr>
          <w:rFonts w:cs="Times New Roman"/>
          <w:szCs w:val="28"/>
        </w:rPr>
        <w:t xml:space="preserve"> Mixed </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 xml:space="preserve"> 70%</w:t>
      </w:r>
      <w:r w:rsidRPr="00383AAC">
        <w:rPr>
          <w:rFonts w:cs="Times New Roman"/>
          <w:szCs w:val="28"/>
        </w:rPr>
        <w:t>、</w:t>
      </w:r>
      <w:r w:rsidRPr="00383AAC">
        <w:rPr>
          <w:rFonts w:cs="Times New Roman"/>
          <w:szCs w:val="28"/>
        </w:rPr>
        <w:t xml:space="preserve">10% </w:t>
      </w:r>
      <w:r w:rsidRPr="00383AAC">
        <w:rPr>
          <w:rFonts w:cs="Times New Roman"/>
          <w:szCs w:val="28"/>
        </w:rPr>
        <w:t>與</w:t>
      </w:r>
      <w:r w:rsidRPr="00383AAC">
        <w:rPr>
          <w:rFonts w:cs="Times New Roman"/>
          <w:szCs w:val="28"/>
        </w:rPr>
        <w:t xml:space="preserve"> 20% </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 xml:space="preserve"> paired bootstrap </w:t>
      </w:r>
      <w:r w:rsidRPr="00383AAC">
        <w:rPr>
          <w:rFonts w:cs="Times New Roman"/>
          <w:szCs w:val="28"/>
        </w:rPr>
        <w:t>檢視固定測試集下兩種模型流程之表現差異，但該分析未涵蓋不同資料切分與重新訓練模型所產生的變異。因此，本研究結果仍可能受到特定樣本切分影響。後續研究可進一步採用</w:t>
      </w:r>
      <w:r w:rsidRPr="00383AAC">
        <w:rPr>
          <w:rFonts w:cs="Times New Roman"/>
          <w:szCs w:val="28"/>
        </w:rPr>
        <w:t xml:space="preserve"> k-fold cross </w:t>
      </w:r>
      <w:r w:rsidRPr="00383AAC">
        <w:rPr>
          <w:rFonts w:cs="Times New Roman"/>
          <w:szCs w:val="28"/>
        </w:rPr>
        <w:lastRenderedPageBreak/>
        <w:t>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3FE57ED8"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w:t>
      </w:r>
      <w:r w:rsidR="004319DD">
        <w:rPr>
          <w:rFonts w:cs="Times New Roman" w:hint="eastAsia"/>
          <w:szCs w:val="28"/>
        </w:rPr>
        <w:t>，</w:t>
      </w:r>
      <w:r w:rsidRPr="00706F03">
        <w:rPr>
          <w:rFonts w:cs="Times New Roman"/>
          <w:szCs w:val="28"/>
        </w:rPr>
        <w:t>例如程序狀態、爭點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 xml:space="preserve"> BoW</w:t>
      </w:r>
      <w:r w:rsidRPr="00433214">
        <w:rPr>
          <w:rFonts w:cs="Times New Roman" w:hint="eastAsia"/>
          <w:szCs w:val="28"/>
        </w:rPr>
        <w:t>、</w:t>
      </w:r>
      <w:r w:rsidRPr="00433214">
        <w:rPr>
          <w:rFonts w:cs="Times New Roman" w:hint="eastAsia"/>
          <w:szCs w:val="28"/>
        </w:rPr>
        <w:t xml:space="preserve">TF </w:t>
      </w:r>
      <w:r w:rsidRPr="00433214">
        <w:rPr>
          <w:rFonts w:cs="Times New Roman" w:hint="eastAsia"/>
          <w:szCs w:val="28"/>
        </w:rPr>
        <w:t>與</w:t>
      </w:r>
      <w:r w:rsidRPr="00433214">
        <w:rPr>
          <w:rFonts w:cs="Times New Roman" w:hint="eastAsia"/>
          <w:szCs w:val="28"/>
        </w:rPr>
        <w:t xml:space="preserve"> TF-IDF </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結果不宜過度推論。本研究結果顯示，在本研究資料、文字特徵設定與參數範圍下，</w:t>
      </w:r>
      <w:r w:rsidRPr="00706F03">
        <w:rPr>
          <w:rFonts w:cs="Times New Roman"/>
          <w:szCs w:val="28"/>
        </w:rPr>
        <w:t xml:space="preserve">MNIR </w:t>
      </w:r>
      <w:r w:rsidRPr="00706F03">
        <w:rPr>
          <w:rFonts w:cs="Times New Roman"/>
          <w:szCs w:val="28"/>
        </w:rPr>
        <w:t>未能提供額外分類增益。此結論僅適用於本研究的資料、標籤設定、文本處理方式與參數範圍。若後續研究採用不同案件類型、不同標籤設計、不同特徵數設定、重複交叉驗證或其他下游分類器，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 xml:space="preserve">MNIR </w:t>
      </w:r>
      <w:r w:rsidR="00433214" w:rsidRPr="00433214">
        <w:rPr>
          <w:rFonts w:cs="Times New Roman" w:hint="eastAsia"/>
          <w:szCs w:val="28"/>
        </w:rPr>
        <w:t>將卡方篩選後之</w:t>
      </w:r>
      <w:r w:rsidR="00433214" w:rsidRPr="00433214">
        <w:rPr>
          <w:rFonts w:cs="Times New Roman" w:hint="eastAsia"/>
          <w:szCs w:val="28"/>
        </w:rPr>
        <w:t xml:space="preserve"> 1,000 </w:t>
      </w:r>
      <w:r w:rsidR="00433214" w:rsidRPr="00433214">
        <w:rPr>
          <w:rFonts w:cs="Times New Roman" w:hint="eastAsia"/>
          <w:szCs w:val="28"/>
        </w:rPr>
        <w:t>或</w:t>
      </w:r>
      <w:r w:rsidR="00433214" w:rsidRPr="00433214">
        <w:rPr>
          <w:rFonts w:cs="Times New Roman" w:hint="eastAsia"/>
          <w:szCs w:val="28"/>
        </w:rPr>
        <w:t xml:space="preserve"> 5,000 </w:t>
      </w:r>
      <w:r w:rsidR="00433214" w:rsidRPr="00433214">
        <w:rPr>
          <w:rFonts w:cs="Times New Roman" w:hint="eastAsia"/>
          <w:szCs w:val="28"/>
        </w:rPr>
        <w:t>維文字特徵轉換為</w:t>
      </w:r>
      <w:r w:rsidR="00433214" w:rsidRPr="00433214">
        <w:rPr>
          <w:rFonts w:cs="Times New Roman" w:hint="eastAsia"/>
          <w:szCs w:val="28"/>
        </w:rPr>
        <w:t xml:space="preserve"> 2 </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，本研究之模型比較範圍仍有限。本研究主要比較前述兩種模型流程，並以</w:t>
      </w:r>
      <w:r w:rsidRPr="00C10485">
        <w:rPr>
          <w:rFonts w:cs="Times New Roman" w:hint="eastAsia"/>
          <w:szCs w:val="28"/>
        </w:rPr>
        <w:t xml:space="preserve"> BoW</w:t>
      </w:r>
      <w:r w:rsidRPr="00C10485">
        <w:rPr>
          <w:rFonts w:cs="Times New Roman" w:hint="eastAsia"/>
          <w:szCs w:val="28"/>
        </w:rPr>
        <w:t>、</w:t>
      </w:r>
      <w:r w:rsidRPr="00C10485">
        <w:rPr>
          <w:rFonts w:cs="Times New Roman" w:hint="eastAsia"/>
          <w:szCs w:val="28"/>
        </w:rPr>
        <w:t xml:space="preserve">TF </w:t>
      </w:r>
      <w:r w:rsidRPr="00C10485">
        <w:rPr>
          <w:rFonts w:cs="Times New Roman" w:hint="eastAsia"/>
          <w:szCs w:val="28"/>
        </w:rPr>
        <w:t>與</w:t>
      </w:r>
      <w:r w:rsidRPr="00C10485">
        <w:rPr>
          <w:rFonts w:cs="Times New Roman" w:hint="eastAsia"/>
          <w:szCs w:val="28"/>
        </w:rPr>
        <w:t xml:space="preserve"> TF-IDF </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 xml:space="preserve"> Chi-square + SVM </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w:t>
      </w:r>
      <w:r w:rsidRPr="00706F03">
        <w:rPr>
          <w:rFonts w:cs="Times New Roman"/>
          <w:szCs w:val="28"/>
        </w:rPr>
        <w:lastRenderedPageBreak/>
        <w:t>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含</w:t>
      </w:r>
      <w:r w:rsidRPr="00706F03">
        <w:rPr>
          <w:rFonts w:cs="Times New Roman"/>
          <w:szCs w:val="28"/>
        </w:rPr>
        <w:t xml:space="preserve"> MNIR </w:t>
      </w:r>
      <w:r w:rsidRPr="00706F03">
        <w:rPr>
          <w:rFonts w:cs="Times New Roman"/>
          <w:szCs w:val="28"/>
        </w:rPr>
        <w:t>轉換的流程相較於直接分類流程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根據本研究結果，後續進行智慧財產權判決文本分類時，建議先建立清楚且可重複的基準模型，再進一步檢驗其他特徵轉換方法是否能帶來額外改善。根據前述比較，四類案件均以直接分類流程取得較高的</w:t>
      </w:r>
      <w:r w:rsidRPr="00706F03">
        <w:rPr>
          <w:rFonts w:cs="Times New Roman"/>
          <w:szCs w:val="28"/>
        </w:rPr>
        <w:t xml:space="preserve"> Macro F1</w:t>
      </w:r>
      <w:r w:rsidRPr="00706F03">
        <w:rPr>
          <w:rFonts w:cs="Times New Roman"/>
          <w:szCs w:val="28"/>
        </w:rPr>
        <w:t>。此結果應限縮理解為：在本研究已先透過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直接分類流程可作為具可比較性的基準；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第</w:t>
      </w:r>
      <w:r w:rsidRPr="00706F03">
        <w:rPr>
          <w:rFonts w:cs="Times New Roman"/>
          <w:szCs w:val="28"/>
        </w:rPr>
        <w:lastRenderedPageBreak/>
        <w:t>四章最佳直接分類模型的實證結果，整理在本研究資料條件下，不同案件類型可優先考慮之文字特徵與模型流程如下。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2"/>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1993"/>
        <w:gridCol w:w="6094"/>
      </w:tblGrid>
      <w:tr w:rsidR="00ED5D1D" w:rsidRPr="00706F03" w14:paraId="48BEE58B" w14:textId="77777777" w:rsidTr="004319DD">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19"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117"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4319DD">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19"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117" w:type="pct"/>
            <w:tcBorders>
              <w:bottom w:val="single" w:sz="2" w:space="0" w:color="000000"/>
            </w:tcBorders>
            <w:vAlign w:val="center"/>
            <w:hideMark/>
          </w:tcPr>
          <w:p w14:paraId="08D57EFF" w14:textId="03063D52"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4319DD">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19"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117" w:type="pct"/>
            <w:tcBorders>
              <w:bottom w:val="single" w:sz="2" w:space="0" w:color="000000"/>
            </w:tcBorders>
            <w:vAlign w:val="center"/>
            <w:hideMark/>
          </w:tcPr>
          <w:p w14:paraId="3E8D468B" w14:textId="737FE42E"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4319DD">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19"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117" w:type="pct"/>
            <w:tcBorders>
              <w:bottom w:val="single" w:sz="2" w:space="0" w:color="000000"/>
            </w:tcBorders>
            <w:vAlign w:val="center"/>
            <w:hideMark/>
          </w:tcPr>
          <w:p w14:paraId="0A12C8B2" w14:textId="1BB7DDEA"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4319DD">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19"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117" w:type="pct"/>
            <w:vAlign w:val="center"/>
            <w:hideMark/>
          </w:tcPr>
          <w:p w14:paraId="1210609F" w14:textId="2206C2E8"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w:t>
            </w:r>
            <w:r w:rsidR="004319DD" w:rsidRPr="004319DD">
              <w:rPr>
                <w:rFonts w:cs="Times New Roman"/>
                <w:sz w:val="22"/>
                <w:szCs w:val="22"/>
              </w:rPr>
              <w:t>表示詞彙的原始出現次數，可能已包含較明確之分類訊號。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w:t>
      </w:r>
      <w:r w:rsidRPr="00706F03">
        <w:rPr>
          <w:rFonts w:cs="Times New Roman"/>
          <w:szCs w:val="28"/>
        </w:rPr>
        <w:lastRenderedPageBreak/>
        <w:t>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1972C492"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具有較佳分類表現。在本研究資料、文字特徵設定與參數範圍下，</w:t>
      </w:r>
      <w:r w:rsidRPr="00706F03">
        <w:rPr>
          <w:rFonts w:cs="Times New Roman"/>
          <w:szCs w:val="28"/>
        </w:rPr>
        <w:t xml:space="preserve">MNIR </w:t>
      </w:r>
      <w:r w:rsidRPr="00706F03">
        <w:rPr>
          <w:rFonts w:cs="Times New Roman"/>
          <w:szCs w:val="28"/>
        </w:rPr>
        <w:t>未能提供額外分類增益；卡方篩選後之稀疏文字特徵已能保留相當程度的裁判結果分類訊息。因此，傳統文字特徵結合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w:t>
      </w:r>
      <w:r w:rsidRPr="00706F03">
        <w:rPr>
          <w:rFonts w:cs="Times New Roman"/>
          <w:szCs w:val="28"/>
        </w:rPr>
        <w:lastRenderedPageBreak/>
        <w:t>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w:t>
      </w:r>
      <w:r w:rsidR="004C533F" w:rsidRPr="004C533F">
        <w:rPr>
          <w:rFonts w:cs="Times New Roman"/>
          <w:szCs w:val="28"/>
        </w:rPr>
        <w:t>不同案件類型之最佳文字特徵表示分別為：行政案件與刑事附帶民事案件採用</w:t>
      </w:r>
      <w:r w:rsidR="004C533F" w:rsidRPr="004C533F">
        <w:rPr>
          <w:rFonts w:cs="Times New Roman"/>
          <w:szCs w:val="28"/>
        </w:rPr>
        <w:t xml:space="preserve"> BoW</w:t>
      </w:r>
      <w:r w:rsidR="004C533F" w:rsidRPr="004C533F">
        <w:rPr>
          <w:rFonts w:cs="Times New Roman"/>
          <w:szCs w:val="28"/>
        </w:rPr>
        <w:t>，民事案件採用</w:t>
      </w:r>
      <w:r w:rsidR="004C533F" w:rsidRPr="004C533F">
        <w:rPr>
          <w:rFonts w:cs="Times New Roman"/>
          <w:szCs w:val="28"/>
        </w:rPr>
        <w:t xml:space="preserve"> TF-IDF</w:t>
      </w:r>
      <w:r w:rsidR="004C533F" w:rsidRPr="004C533F">
        <w:rPr>
          <w:rFonts w:cs="Times New Roman"/>
          <w:szCs w:val="28"/>
        </w:rPr>
        <w:t>，刑事案件採用</w:t>
      </w:r>
      <w:r w:rsidR="004C533F" w:rsidRPr="004C533F">
        <w:rPr>
          <w:rFonts w:cs="Times New Roman"/>
          <w:szCs w:val="28"/>
        </w:rPr>
        <w:t xml:space="preserve"> TF</w:t>
      </w:r>
      <w:r w:rsidR="004C533F" w:rsidRPr="004C533F">
        <w:rPr>
          <w:rFonts w:cs="Times New Roman"/>
          <w:szCs w:val="28"/>
        </w:rPr>
        <w:t>。</w:t>
      </w:r>
      <w:r w:rsidRPr="00706F03">
        <w:rPr>
          <w:rFonts w:cs="Times New Roman"/>
          <w:szCs w:val="28"/>
        </w:rPr>
        <w:t>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中文文獻</w:t>
      </w:r>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18" w:history="1">
        <w:r w:rsidRPr="007D3EE3">
          <w:rPr>
            <w:rStyle w:val="af0"/>
          </w:rPr>
          <w:t>https://www.judicial.gov.tw/tw/cp-165-29-b955a-1.html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2025a</w:t>
      </w:r>
      <w:r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af0"/>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2025b</w:t>
      </w:r>
      <w:r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af0"/>
            <w:rFonts w:cs="Times New Roman"/>
            <w:color w:val="auto"/>
          </w:rPr>
          <w:t>https://www.judicial.gov.tw/tw/cp-1370-4310-e5078-1.html</w:t>
        </w:r>
      </w:hyperlink>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2025c</w:t>
      </w:r>
      <w:r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21" w:history="1">
        <w:r w:rsidRPr="00706F03">
          <w:rPr>
            <w:rStyle w:val="af0"/>
            <w:rFonts w:cs="Times New Roman"/>
            <w:color w:val="auto"/>
          </w:rPr>
          <w:t>https://www.judicial.gov.tw/tw/cp-165-28-683b6-1.html</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2" w:history="1">
        <w:r w:rsidRPr="00706F03">
          <w:rPr>
            <w:rStyle w:val="af0"/>
            <w:rFonts w:cs="Times New Roman"/>
            <w:color w:val="auto"/>
          </w:rPr>
          <w:t>https://www.airitilibrary.com/Article/Detail/1018161x-201912-201912300022-201912300022-533-546</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 xml:space="preserve"> 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3" w:history="1">
        <w:r w:rsidR="00461938" w:rsidRPr="00706F03">
          <w:rPr>
            <w:rStyle w:val="af0"/>
            <w:rFonts w:cs="Times New Roman"/>
            <w:color w:val="auto"/>
          </w:rPr>
          <w:t>https://law.moj.gov.tw/LawClass/LawAll.aspx?pcode=A0010090</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af0"/>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af0"/>
            <w:rFonts w:cs="Times New Roman"/>
            <w:color w:val="auto"/>
          </w:rPr>
          <w:t>https://lawdata.com.tw/tw/doi/?doi=10.3966/181130952013121002001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6" w:history="1">
        <w:r w:rsidRPr="00706F03">
          <w:rPr>
            <w:rStyle w:val="af0"/>
            <w:rFonts w:cs="Times New Roman"/>
            <w:color w:val="auto"/>
          </w:rPr>
          <w:t>https://winklerpartners.com/zh/%E5%BE%9E%E6%95%B8%E6%93%9A%E4%B8%80%E6%8E%A2%E6%99%BA%E6%85%A7%E8%B2%A1%E7%94%A2%E6%B3%95%E9%99%A2%E9%81%8B%E4%BD%9C%E5%AF%A6%E6%B3%81-%E5%B0%88%E9%A1%8C%E4%B8%89-%E6%B0%91%E4%BA%8B/</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7" w:history="1">
        <w:r w:rsidR="00B57FD2" w:rsidRPr="00706F03">
          <w:rPr>
            <w:rStyle w:val="af0"/>
            <w:rFonts w:cs="Times New Roman"/>
            <w:color w:val="auto"/>
          </w:rPr>
          <w:t>https://lawdata.com.tw/tw/doi/?doi=10.3966/221845622021100047001</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af0"/>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 xml:space="preserve">7 </w:t>
      </w:r>
      <w:r w:rsidRPr="00F47BAC">
        <w:rPr>
          <w:rFonts w:cs="Times New Roman" w:hint="eastAsia"/>
        </w:rPr>
        <w:t>月</w:t>
      </w:r>
      <w:r w:rsidRPr="00F47BAC">
        <w:rPr>
          <w:rFonts w:cs="Times New Roman" w:hint="eastAsia"/>
        </w:rPr>
        <w:t xml:space="preserve"> 29 </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af0"/>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af0"/>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af0"/>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af0"/>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af0"/>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af0"/>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af0"/>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af0"/>
            <w:rFonts w:cs="Times New Roman"/>
          </w:rPr>
          <w:t>https://doi.org/10.1017/CBO9780511809071</w:t>
        </w:r>
      </w:hyperlink>
    </w:p>
    <w:p w14:paraId="0DA46F1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sklearn.feature_extraction.text.TfidfVectorizer</w:t>
      </w:r>
      <w:r w:rsidRPr="00706F03">
        <w:rPr>
          <w:rFonts w:cs="Times New Roman"/>
        </w:rPr>
        <w:t xml:space="preserve">. scikit-learn. Retrieved May 10, 2026, from </w:t>
      </w:r>
      <w:hyperlink r:id="rId44" w:history="1">
        <w:r w:rsidRPr="00706F03">
          <w:rPr>
            <w:rStyle w:val="af0"/>
            <w:rFonts w:cs="Times New Roman"/>
            <w:color w:val="auto"/>
          </w:rPr>
          <w:t>https://scikit-learn.org/stable/modules/generated/sklearn.feature_extraction.text.TfidfVectorizer.html</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-b</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5" w:history="1">
        <w:r w:rsidRPr="00706F03">
          <w:rPr>
            <w:rStyle w:val="af0"/>
            <w:rFonts w:cs="Times New Roman"/>
            <w:color w:val="auto"/>
          </w:rPr>
          <w:t>https://scikit-learn.org/stable/modules/generated/sklearn.feature_selection.chi2.html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6"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7"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8"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9" w:history="1">
        <w:r w:rsidRPr="00706F03">
          <w:rPr>
            <w:rStyle w:val="af0"/>
            <w:rFonts w:cs="Times New Roman"/>
            <w:color w:val="auto"/>
          </w:rPr>
          <w:t>https://doi.org/10.1016/j.knosys.2021.107960</w:t>
        </w:r>
      </w:hyperlink>
    </w:p>
    <w:sectPr w:rsidR="004C1AE9" w:rsidRPr="00706F03" w:rsidSect="0004071A">
      <w:headerReference w:type="even" r:id="rId50"/>
      <w:headerReference w:type="default" r:id="rId51"/>
      <w:headerReference w:type="first" r:id="rId5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F0D252" w14:textId="77777777" w:rsidR="00671445" w:rsidRDefault="00671445" w:rsidP="00204DC5">
      <w:pPr>
        <w:spacing w:after="0" w:line="240" w:lineRule="auto"/>
      </w:pPr>
      <w:r>
        <w:separator/>
      </w:r>
    </w:p>
  </w:endnote>
  <w:endnote w:type="continuationSeparator" w:id="0">
    <w:p w14:paraId="45F898CC" w14:textId="77777777" w:rsidR="00671445" w:rsidRDefault="00671445"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BiauKaiHK Regular"/>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iti TC">
    <w:altName w:val="Cambria"/>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3C3510" w14:textId="1DA2DDCE" w:rsidR="00925402" w:rsidRDefault="00461938">
    <w:pPr>
      <w:jc w:val="center"/>
    </w:pPr>
    <w:r>
      <w:fldChar w:fldCharType="begin"/>
    </w:r>
    <w:r>
      <w:instrText xml:space="preserve"> PAGE </w:instrText>
    </w:r>
    <w:r>
      <w:fldChar w:fldCharType="separate"/>
    </w:r>
    <w:r w:rsidR="00AA0771">
      <w:rPr>
        <w:noProof/>
      </w:rPr>
      <w:t>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9A3874" w14:textId="77777777" w:rsidR="00671445" w:rsidRDefault="00671445" w:rsidP="00204DC5">
      <w:pPr>
        <w:spacing w:after="0" w:line="240" w:lineRule="auto"/>
      </w:pPr>
      <w:r>
        <w:separator/>
      </w:r>
    </w:p>
  </w:footnote>
  <w:footnote w:type="continuationSeparator" w:id="0">
    <w:p w14:paraId="3C828622" w14:textId="77777777" w:rsidR="00671445" w:rsidRDefault="00671445"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0EF3C1" w14:textId="77777777" w:rsidR="00E53FEC" w:rsidRDefault="00671445">
    <w:pPr>
      <w:pStyle w:val="af3"/>
    </w:pPr>
    <w:r>
      <w:rPr>
        <w:noProof/>
      </w:rPr>
      <w:pict w14:anchorId="524463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2051"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268BB2" w14:textId="77777777" w:rsidR="00E53FEC" w:rsidRDefault="00671445">
    <w:pPr>
      <w:pStyle w:val="af3"/>
    </w:pPr>
    <w:r>
      <w:rPr>
        <w:noProof/>
      </w:rPr>
      <w:pict w14:anchorId="64280D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2050"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DE359E" w14:textId="77777777" w:rsidR="00E53FEC" w:rsidRDefault="00671445">
    <w:pPr>
      <w:pStyle w:val="af3"/>
    </w:pPr>
    <w:r>
      <w:rPr>
        <w:noProof/>
      </w:rPr>
      <w:pict w14:anchorId="6EC2AA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2049"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8"/>
  </w:num>
  <w:num w:numId="3">
    <w:abstractNumId w:val="22"/>
  </w:num>
  <w:num w:numId="4">
    <w:abstractNumId w:val="7"/>
  </w:num>
  <w:num w:numId="5">
    <w:abstractNumId w:val="5"/>
  </w:num>
  <w:num w:numId="6">
    <w:abstractNumId w:val="2"/>
  </w:num>
  <w:num w:numId="7">
    <w:abstractNumId w:val="10"/>
  </w:num>
  <w:num w:numId="8">
    <w:abstractNumId w:val="17"/>
  </w:num>
  <w:num w:numId="9">
    <w:abstractNumId w:val="16"/>
  </w:num>
  <w:num w:numId="10">
    <w:abstractNumId w:val="3"/>
  </w:num>
  <w:num w:numId="11">
    <w:abstractNumId w:val="1"/>
  </w:num>
  <w:num w:numId="12">
    <w:abstractNumId w:val="9"/>
  </w:num>
  <w:num w:numId="13">
    <w:abstractNumId w:val="13"/>
  </w:num>
  <w:num w:numId="14">
    <w:abstractNumId w:val="0"/>
  </w:num>
  <w:num w:numId="15">
    <w:abstractNumId w:val="21"/>
  </w:num>
  <w:num w:numId="16">
    <w:abstractNumId w:val="4"/>
  </w:num>
  <w:num w:numId="17">
    <w:abstractNumId w:val="18"/>
  </w:num>
  <w:num w:numId="18">
    <w:abstractNumId w:val="20"/>
  </w:num>
  <w:num w:numId="19">
    <w:abstractNumId w:val="14"/>
  </w:num>
  <w:num w:numId="20">
    <w:abstractNumId w:val="19"/>
  </w:num>
  <w:num w:numId="21">
    <w:abstractNumId w:val="12"/>
  </w:num>
  <w:num w:numId="22">
    <w:abstractNumId w:val="6"/>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2"/>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133"/>
    <w:rsid w:val="000004BD"/>
    <w:rsid w:val="000014DB"/>
    <w:rsid w:val="00001A1A"/>
    <w:rsid w:val="0000210D"/>
    <w:rsid w:val="00002B1F"/>
    <w:rsid w:val="00003F10"/>
    <w:rsid w:val="000061D8"/>
    <w:rsid w:val="00020586"/>
    <w:rsid w:val="00020E45"/>
    <w:rsid w:val="000232AA"/>
    <w:rsid w:val="00024854"/>
    <w:rsid w:val="00025278"/>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2341"/>
    <w:rsid w:val="001548F4"/>
    <w:rsid w:val="00163113"/>
    <w:rsid w:val="0016343E"/>
    <w:rsid w:val="0016554C"/>
    <w:rsid w:val="001707F2"/>
    <w:rsid w:val="00170EBB"/>
    <w:rsid w:val="00173AA7"/>
    <w:rsid w:val="0017461F"/>
    <w:rsid w:val="00175228"/>
    <w:rsid w:val="00184888"/>
    <w:rsid w:val="001903E2"/>
    <w:rsid w:val="0019066D"/>
    <w:rsid w:val="00191768"/>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16B5"/>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19DD"/>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C533F"/>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846"/>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1445"/>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A38"/>
    <w:rsid w:val="00701E11"/>
    <w:rsid w:val="00702DCB"/>
    <w:rsid w:val="0070310B"/>
    <w:rsid w:val="00704208"/>
    <w:rsid w:val="0070491A"/>
    <w:rsid w:val="00704996"/>
    <w:rsid w:val="00706F03"/>
    <w:rsid w:val="00707432"/>
    <w:rsid w:val="00707A84"/>
    <w:rsid w:val="00707EA2"/>
    <w:rsid w:val="00714DEA"/>
    <w:rsid w:val="00734F6F"/>
    <w:rsid w:val="00737C2E"/>
    <w:rsid w:val="007417AC"/>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5CB7"/>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18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1B73"/>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0771"/>
    <w:rsid w:val="00AA12B1"/>
    <w:rsid w:val="00AA522B"/>
    <w:rsid w:val="00AA5904"/>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2EBE"/>
    <w:rsid w:val="00DB3A62"/>
    <w:rsid w:val="00DD36CA"/>
    <w:rsid w:val="00DE36ED"/>
    <w:rsid w:val="00DE4C52"/>
    <w:rsid w:val="00DE6133"/>
    <w:rsid w:val="00DE7A89"/>
    <w:rsid w:val="00DF4347"/>
    <w:rsid w:val="00DF44BC"/>
    <w:rsid w:val="00DF543D"/>
    <w:rsid w:val="00DF79A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9799B"/>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2D9E"/>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 w:val="00FF462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1"/>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customStyle="1" w:styleId="UnresolvedMention">
    <w:name w:val="Unresolved Mention"/>
    <w:basedOn w:val="a0"/>
    <w:uiPriority w:val="99"/>
    <w:semiHidden/>
    <w:unhideWhenUsed/>
    <w:rsid w:val="00B164D4"/>
    <w:rPr>
      <w:color w:val="605E5C"/>
      <w:shd w:val="clear" w:color="auto" w:fill="E1DFDD"/>
    </w:rPr>
  </w:style>
  <w:style w:type="character" w:styleId="af1">
    <w:name w:val="FollowedHyperlink"/>
    <w:basedOn w:val="a0"/>
    <w:uiPriority w:val="99"/>
    <w:semiHidden/>
    <w:unhideWhenUsed/>
    <w:rsid w:val="00751AA0"/>
    <w:rPr>
      <w:color w:val="954F72" w:themeColor="followedHyperlink"/>
      <w:u w:val="single"/>
    </w:rPr>
  </w:style>
  <w:style w:type="table" w:styleId="af2">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3">
    <w:name w:val="header"/>
    <w:basedOn w:val="a"/>
    <w:link w:val="af4"/>
    <w:uiPriority w:val="99"/>
    <w:unhideWhenUsed/>
    <w:rsid w:val="00204DC5"/>
    <w:pPr>
      <w:tabs>
        <w:tab w:val="center" w:pos="4153"/>
        <w:tab w:val="right" w:pos="8306"/>
      </w:tabs>
      <w:snapToGrid w:val="0"/>
    </w:pPr>
    <w:rPr>
      <w:sz w:val="20"/>
      <w:szCs w:val="20"/>
    </w:rPr>
  </w:style>
  <w:style w:type="character" w:customStyle="1" w:styleId="af4">
    <w:name w:val="頁首 字元"/>
    <w:basedOn w:val="a0"/>
    <w:link w:val="af3"/>
    <w:uiPriority w:val="99"/>
    <w:rsid w:val="00204DC5"/>
    <w:rPr>
      <w:sz w:val="20"/>
      <w:szCs w:val="20"/>
    </w:rPr>
  </w:style>
  <w:style w:type="paragraph" w:styleId="af5">
    <w:name w:val="footer"/>
    <w:basedOn w:val="a"/>
    <w:link w:val="af6"/>
    <w:uiPriority w:val="99"/>
    <w:unhideWhenUsed/>
    <w:rsid w:val="00204DC5"/>
    <w:pPr>
      <w:tabs>
        <w:tab w:val="center" w:pos="4153"/>
        <w:tab w:val="right" w:pos="8306"/>
      </w:tabs>
      <w:snapToGrid w:val="0"/>
    </w:pPr>
    <w:rPr>
      <w:sz w:val="20"/>
      <w:szCs w:val="20"/>
    </w:rPr>
  </w:style>
  <w:style w:type="character" w:customStyle="1" w:styleId="af6">
    <w:name w:val="頁尾 字元"/>
    <w:basedOn w:val="a0"/>
    <w:link w:val="af5"/>
    <w:uiPriority w:val="99"/>
    <w:rsid w:val="00204DC5"/>
    <w:rPr>
      <w:sz w:val="20"/>
      <w:szCs w:val="20"/>
    </w:rPr>
  </w:style>
  <w:style w:type="character" w:styleId="af7">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9-b955a-1.html" TargetMode="External"/><Relationship Id="rId26" Type="http://schemas.openxmlformats.org/officeDocument/2006/relationships/hyperlink" Target="https://winklerpartners.com/zh/%E5%BE%9E%E6%95%B8%E6%93%9A%E4%B8%80%E6%8E%A2%E6%99%BA%E6%85%A7%E8%B2%A1%E7%94%A2%E6%B3%95%E9%99%A2%E9%81%8B%E4%BD%9C%E5%AF%A6%E6%B3%81-%E5%B0%88%E9%A1%8C%E4%B8%89-%E6%B0%91%E4%BA%8B/"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080/01621459.2012.734168"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scikit-learn.org/stable/modules/generated/sklearn.feature_selection.chi2.html"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extraction.text.TfidfVectorizer.html"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airitilibrary.com/Article/Detail/1018161x-201912-201912300022-201912300022-533-546" TargetMode="External"/><Relationship Id="rId27" Type="http://schemas.openxmlformats.org/officeDocument/2006/relationships/hyperlink" Target="https://lawdata.com.tw/tw/doi/?doi=10.3966/221845622021100047001"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8653/v1/2025.emnlp-main.179" TargetMode="Externa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145/2018358.2018375"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law.moj.gov.tw/LawClass/LawAll.aspx?pcode=A0010090"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yperlink" Target="https://doi.org/10.1016/j.knosys.2021.10796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13CFD6-BF3E-46FA-B9DB-834F8F87C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Pages>
  <Words>11237</Words>
  <Characters>64055</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user</cp:lastModifiedBy>
  <cp:revision>59</cp:revision>
  <cp:lastPrinted>2026-06-16T12:21:00Z</cp:lastPrinted>
  <dcterms:created xsi:type="dcterms:W3CDTF">2026-07-04T13:22:00Z</dcterms:created>
  <dcterms:modified xsi:type="dcterms:W3CDTF">2026-08-06T08:59:00Z</dcterms:modified>
</cp:coreProperties>
</file>