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w:t>
      </w:r>
      <w:r w:rsidR="002F72CB" w:rsidRPr="00706F03">
        <w:rPr>
          <w:rFonts w:cs="Times New Roman"/>
        </w:rPr>
        <w:t>證結果顯示，在本研究資料、標籤設定與超參數範圍下，</w:t>
      </w:r>
      <w:r w:rsidR="002F72CB" w:rsidRPr="00706F03">
        <w:rPr>
          <w:rFonts w:cs="Times New Roman"/>
        </w:rPr>
        <w:t xml:space="preserve">Chi-square + SVM </w:t>
      </w:r>
      <w:r w:rsidR="002F72CB" w:rsidRPr="00706F03">
        <w:rPr>
          <w:rFonts w:cs="Times New Roman"/>
        </w:rPr>
        <w:t>在四類案件資料集中的宏平均</w:t>
      </w:r>
      <w:r w:rsidR="002F72CB" w:rsidRPr="00706F03">
        <w:rPr>
          <w:rFonts w:cs="Times New Roman"/>
        </w:rPr>
        <w:t xml:space="preserve"> F1 </w:t>
      </w:r>
      <w:r w:rsidR="002F72CB" w:rsidRPr="00706F03">
        <w:rPr>
          <w:rFonts w:cs="Times New Roman"/>
        </w:rPr>
        <w:t>分數（</w:t>
      </w:r>
      <w:r w:rsidR="002F72CB" w:rsidRPr="00706F03">
        <w:rPr>
          <w:rFonts w:cs="Times New Roman"/>
        </w:rPr>
        <w:t>Macro F1</w:t>
      </w:r>
      <w:r w:rsidR="002F72CB" w:rsidRPr="00706F03">
        <w:rPr>
          <w:rFonts w:cs="Times New Roman"/>
        </w:rPr>
        <w:t>）皆高於</w:t>
      </w:r>
      <w:r w:rsidR="002F72CB" w:rsidRPr="00706F03">
        <w:rPr>
          <w:rFonts w:cs="Times New Roman"/>
        </w:rPr>
        <w:t xml:space="preserve"> Chi-square + MNIR + SVM</w:t>
      </w:r>
      <w:r w:rsidR="002F72CB" w:rsidRPr="00706F03">
        <w:rPr>
          <w:rFonts w:cs="Times New Roman"/>
        </w:rPr>
        <w:t>。此結果表示，</w:t>
      </w:r>
      <w:r w:rsidR="002F72CB" w:rsidRPr="00706F03">
        <w:rPr>
          <w:rFonts w:cs="Times New Roman"/>
        </w:rPr>
        <w:t xml:space="preserve">MNIR </w:t>
      </w:r>
      <w:r w:rsidR="002F72CB" w:rsidRPr="00706F03">
        <w:rPr>
          <w:rFonts w:cs="Times New Roman"/>
        </w:rPr>
        <w:t>監督式特徵轉換未取得額外分類增益。不過，這並不代表</w:t>
      </w:r>
      <w:r w:rsidR="002F72CB" w:rsidRPr="00706F03">
        <w:rPr>
          <w:rFonts w:cs="Times New Roman"/>
        </w:rPr>
        <w:t xml:space="preserve"> MNIR </w:t>
      </w:r>
      <w:r w:rsidR="002F72CB" w:rsidRPr="00706F03">
        <w:rPr>
          <w:rFonts w:cs="Times New Roman"/>
        </w:rPr>
        <w:t>方法本身無效</w:t>
      </w:r>
      <w:r w:rsidR="00697ED0" w:rsidRPr="00706F03">
        <w:rPr>
          <w:rFonts w:cs="Times New Roman" w:hint="eastAsia"/>
        </w:rPr>
        <w:t>，</w:t>
      </w:r>
      <w:r w:rsidR="00235E48" w:rsidRPr="00706F03">
        <w:rPr>
          <w:rFonts w:cs="Times New Roman" w:hint="eastAsia"/>
        </w:rPr>
        <w:t>較合理的</w:t>
      </w:r>
      <w:r w:rsidR="002F72CB" w:rsidRPr="00706F03">
        <w:rPr>
          <w:rFonts w:cs="Times New Roman" w:hint="eastAsia"/>
        </w:rPr>
        <w:t>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Term Frequency, and Term Frequency-Inverse Document Frequency.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 Support Vector Machine, and Chi-square + SVM. The former examines whether supervised MNIR feature transformation can improve high-dimensional legal text classification, while the latter serves as a comparison pipeline without MNIR transformation. The empirical results show that Chi-square + SVM achieves higher Macro F1-scores than Chi-square + MNIR + SVM across all four case-type datasets. This indicates that MNIR feature transformation does not provide additional classification gains in this research setting. However, this does not imply that MNIR is ineffective in general. A more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w:t>
      </w:r>
      <w:r w:rsidRPr="00706F03">
        <w:rPr>
          <w:rFonts w:cs="Times New Roman"/>
          <w:szCs w:val="28"/>
        </w:rPr>
        <w:t>卡方特徵選擇（</w:t>
      </w:r>
      <w:r w:rsidRPr="00706F03">
        <w:rPr>
          <w:rFonts w:cs="Times New Roman"/>
          <w:szCs w:val="28"/>
        </w:rPr>
        <w:t>Chi-square feature selection, Chi-square</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多項式</w:t>
      </w:r>
      <w:r w:rsidR="00961BBF" w:rsidRPr="00706F03">
        <w:rPr>
          <w:rFonts w:cs="Times New Roman"/>
          <w:szCs w:val="28"/>
        </w:rPr>
        <w:t>逆</w:t>
      </w:r>
      <w:r w:rsidRPr="00706F03">
        <w:rPr>
          <w:rFonts w:cs="Times New Roman"/>
          <w:szCs w:val="28"/>
        </w:rPr>
        <w:t>迴歸（</w:t>
      </w:r>
      <w:r w:rsidRPr="00706F03">
        <w:rPr>
          <w:rFonts w:cs="Times New Roman"/>
          <w:szCs w:val="28"/>
        </w:rPr>
        <w:t>Multinomial Inverse Regression, MNIR</w:t>
      </w:r>
      <w:r w:rsidRPr="00706F03">
        <w:rPr>
          <w:rFonts w:cs="Times New Roman"/>
          <w:szCs w:val="28"/>
        </w:rPr>
        <w:t>）</w:t>
      </w:r>
      <w:r w:rsidR="004030AC"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支持向量機與</w:t>
      </w:r>
      <w:r w:rsidRPr="00706F03">
        <w:rPr>
          <w:rFonts w:cs="Times New Roman"/>
          <w:szCs w:val="28"/>
        </w:rPr>
        <w:t xml:space="preserve"> </w:t>
      </w:r>
      <w:r w:rsidRPr="00706F03">
        <w:rPr>
          <w:rFonts w:cs="Times New Roman"/>
          <w:szCs w:val="28"/>
        </w:rPr>
        <w:t>卡方特徵選擇</w:t>
      </w:r>
      <w:r w:rsidR="00525936" w:rsidRPr="00706F03">
        <w:rPr>
          <w:rFonts w:cs="Times New Roman"/>
          <w:szCs w:val="28"/>
        </w:rPr>
        <w:t xml:space="preserve"> </w:t>
      </w:r>
      <w:r w:rsidRPr="00706F03">
        <w:rPr>
          <w:rFonts w:cs="Times New Roman"/>
          <w:szCs w:val="28"/>
        </w:rPr>
        <w:t>+</w:t>
      </w:r>
      <w:r w:rsidR="004030AC" w:rsidRPr="00706F03">
        <w:rPr>
          <w:rFonts w:cs="Times New Roman"/>
          <w:szCs w:val="28"/>
        </w:rPr>
        <w:t xml:space="preserve"> </w:t>
      </w:r>
      <w:r w:rsidRPr="00706F03">
        <w:rPr>
          <w:rFonts w:cs="Times New Roman"/>
          <w:szCs w:val="28"/>
        </w:rPr>
        <w:t>支持向量機</w:t>
      </w:r>
      <w:r w:rsidR="00525936" w:rsidRPr="00706F03">
        <w:rPr>
          <w:rFonts w:cs="Times New Roman"/>
          <w:szCs w:val="28"/>
        </w:rPr>
        <w:t xml:space="preserve">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05984B1F"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基於此，本研究以</w:t>
      </w:r>
      <w:r w:rsidR="00AD1A81" w:rsidRPr="00706F03">
        <w:rPr>
          <w:rFonts w:cs="Times New Roman"/>
          <w:szCs w:val="28"/>
        </w:rPr>
        <w:t>臺灣</w:t>
      </w:r>
      <w:r w:rsidRPr="00706F03">
        <w:rPr>
          <w:rFonts w:cs="Times New Roman"/>
          <w:szCs w:val="28"/>
        </w:rPr>
        <w:t>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首先使用卡方特徵選擇篩選與裁判結果較具關聯的詞彙，再比較兩種分類流程。第一種為</w:t>
      </w:r>
      <w:r w:rsidR="00832F63" w:rsidRPr="00706F03">
        <w:rPr>
          <w:rFonts w:cs="Times New Roman" w:hint="eastAsia"/>
          <w:szCs w:val="28"/>
        </w:rPr>
        <w:t xml:space="preserve"> </w:t>
      </w:r>
      <w:r w:rsidR="001E5412" w:rsidRPr="00706F03">
        <w:rPr>
          <w:rFonts w:cs="Times New Roman" w:hint="eastAsia"/>
          <w:szCs w:val="28"/>
        </w:rPr>
        <w:t>Chi-square + MNIR + SVM</w:t>
      </w:r>
      <w:r w:rsidR="00832F63" w:rsidRPr="00706F03">
        <w:rPr>
          <w:rFonts w:cs="Times New Roman" w:hint="eastAsia"/>
          <w:szCs w:val="28"/>
        </w:rPr>
        <w:t>，亦即透過多項式逆迴歸（</w:t>
      </w:r>
      <w:r w:rsidR="00832F63" w:rsidRPr="00706F03">
        <w:rPr>
          <w:rFonts w:cs="Times New Roman" w:hint="eastAsia"/>
          <w:szCs w:val="28"/>
        </w:rPr>
        <w:t>Multinomial Inverse Regression, MNIR</w:t>
      </w:r>
      <w:r w:rsidR="00832F63" w:rsidRPr="00706F03">
        <w:rPr>
          <w:rFonts w:cs="Times New Roman" w:hint="eastAsia"/>
          <w:szCs w:val="28"/>
        </w:rPr>
        <w:t>）將高維文字特徵轉換為較低維的特徵，再以支持向量機進行分類；第二種為</w:t>
      </w:r>
      <w:r w:rsidR="00832F63" w:rsidRPr="00706F03">
        <w:rPr>
          <w:rFonts w:cs="Times New Roman" w:hint="eastAsia"/>
          <w:szCs w:val="28"/>
        </w:rPr>
        <w:t xml:space="preserve"> Chi-square + SVM</w:t>
      </w:r>
      <w:r w:rsidR="00832F63" w:rsidRPr="00706F03">
        <w:rPr>
          <w:rFonts w:cs="Times New Roman" w:hint="eastAsia"/>
          <w:szCs w:val="28"/>
        </w:rPr>
        <w:t>，亦即不經</w:t>
      </w:r>
      <w:r w:rsidR="00832F63" w:rsidRPr="00706F03">
        <w:rPr>
          <w:rFonts w:cs="Times New Roman" w:hint="eastAsia"/>
          <w:szCs w:val="28"/>
        </w:rPr>
        <w:t xml:space="preserve"> MNIR </w:t>
      </w:r>
      <w:r w:rsidR="00832F63" w:rsidRPr="00706F03">
        <w:rPr>
          <w:rFonts w:cs="Times New Roman" w:hint="eastAsia"/>
          <w:szCs w:val="28"/>
        </w:rPr>
        <w:t>特徵轉換，直接以卡方篩選後的文字特徵訓練</w:t>
      </w:r>
      <w:r w:rsidR="00832F63" w:rsidRPr="00706F03">
        <w:rPr>
          <w:rFonts w:cs="Times New Roman" w:hint="eastAsia"/>
          <w:szCs w:val="28"/>
        </w:rPr>
        <w:t xml:space="preserve"> SVM</w:t>
      </w:r>
      <w:r w:rsidR="00832F63" w:rsidRPr="00706F03">
        <w:rPr>
          <w:rFonts w:cs="Times New Roman" w:hint="eastAsia"/>
          <w:szCs w:val="28"/>
        </w:rPr>
        <w:t>。</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w:t>
      </w:r>
      <w:r w:rsidRPr="00706F03">
        <w:rPr>
          <w:rFonts w:cs="Times New Roman"/>
          <w:szCs w:val="28"/>
        </w:rPr>
        <w:t xml:space="preserve"> 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w:t>
      </w:r>
      <w:r w:rsidRPr="00706F03">
        <w:rPr>
          <w:rFonts w:cs="Times New Roman"/>
          <w:szCs w:val="28"/>
        </w:rPr>
        <w:lastRenderedPageBreak/>
        <w:t>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敗訴、部分勝訴與勝訴三類裁判結果之分類分析。相較於本研究所回顧之代表性研究多針對特定法院、案件領域或特定裁判任務建立模型，本研究進一步考量智慧財產權案件內部的異質性，將行政、民事、刑事與刑事附帶民事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w:t>
      </w:r>
      <w:r w:rsidRPr="00706F03">
        <w:rPr>
          <w:rFonts w:cs="Times New Roman" w:hint="eastAsia"/>
        </w:rPr>
        <w:t xml:space="preserve"> </w:t>
      </w:r>
      <w:r w:rsidR="001E5412" w:rsidRPr="00706F03">
        <w:rPr>
          <w:rFonts w:cs="Times New Roman" w:hint="eastAsia"/>
        </w:rPr>
        <w:t>Chi-square + MNIR + SVM</w:t>
      </w:r>
      <w:r w:rsidRPr="00706F03">
        <w:rPr>
          <w:rFonts w:cs="Times New Roman" w:hint="eastAsia"/>
        </w:rPr>
        <w:t xml:space="preserve"> </w:t>
      </w:r>
      <w:r w:rsidRPr="00706F03">
        <w:rPr>
          <w:rFonts w:cs="Times New Roman" w:hint="eastAsia"/>
        </w:rPr>
        <w:t>與</w:t>
      </w:r>
      <w:r w:rsidRPr="00706F03">
        <w:rPr>
          <w:rFonts w:cs="Times New Roman" w:hint="eastAsia"/>
        </w:rPr>
        <w:t xml:space="preserve"> Chi-square + SVM </w:t>
      </w:r>
      <w:r w:rsidRPr="00706F03">
        <w:rPr>
          <w:rFonts w:cs="Times New Roman" w:hint="eastAsia"/>
        </w:rPr>
        <w:t>兩種模型流程，並檢視類別不平衡下模型對敗訴、部分勝訴與勝訴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w:t>
      </w:r>
      <w:r w:rsidR="00564795" w:rsidRPr="00706F03">
        <w:rPr>
          <w:rFonts w:cs="Times New Roman"/>
          <w:szCs w:val="28"/>
        </w:rPr>
        <w:t xml:space="preserve">MNIR </w:t>
      </w:r>
      <w:r w:rsidR="00564795" w:rsidRPr="00706F03">
        <w:rPr>
          <w:rFonts w:cs="Times New Roman"/>
          <w:szCs w:val="28"/>
        </w:rPr>
        <w:t>監督式特徵轉換與</w:t>
      </w:r>
      <w:r w:rsidR="00564795"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對照流程之</w:t>
      </w:r>
      <w:r w:rsidR="00564795" w:rsidRPr="00706F03">
        <w:rPr>
          <w:rFonts w:cs="Times New Roman"/>
          <w:szCs w:val="28"/>
        </w:rPr>
        <w:t>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r w:rsidR="00564795" w:rsidRPr="00706F03">
        <w:rPr>
          <w:rFonts w:ascii="Times New Roman" w:eastAsia="DFKai-SB" w:hAnsi="Times New Roman" w:cs="Times New Roman"/>
          <w:color w:val="auto"/>
          <w:szCs w:val="28"/>
        </w:rPr>
        <w:t>BoW</w:t>
      </w:r>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hint="eastAsia"/>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64C73D82"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支持向量機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w:t>
      </w:r>
      <w:r w:rsidR="001D087D" w:rsidRPr="00706F03">
        <w:rPr>
          <w:rFonts w:cs="Times New Roman" w:hint="eastAsia"/>
          <w:szCs w:val="28"/>
        </w:rPr>
        <w:t>而就本研究所回顧的代表性研究而言，現有文獻多聚焦於國外法院、特定法律領域或特定預測任務；針對臺灣智慧財產權判決全文進行裁判結果分類，並比較不同案件類型之分類表現的研究仍相對少見。基於此，本研究將裁判結果整理為敗訴、部分勝訴與勝訴三類，並將行政、民事、刑事及刑事附帶民事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w:t>
      </w:r>
      <w:r w:rsidR="001D087D" w:rsidRPr="00706F03">
        <w:rPr>
          <w:rFonts w:cs="Times New Roman" w:hint="eastAsia"/>
          <w:szCs w:val="28"/>
        </w:rPr>
        <w:t xml:space="preserve"> </w:t>
      </w:r>
      <w:r w:rsidR="001E5412" w:rsidRPr="00706F03">
        <w:rPr>
          <w:rFonts w:cs="Times New Roman" w:hint="eastAsia"/>
          <w:szCs w:val="28"/>
        </w:rPr>
        <w:t>Chi-square + MNIR + SVM</w:t>
      </w:r>
      <w:r w:rsidR="001D087D" w:rsidRPr="00706F03">
        <w:rPr>
          <w:rFonts w:cs="Times New Roman" w:hint="eastAsia"/>
          <w:szCs w:val="28"/>
        </w:rPr>
        <w:t xml:space="preserve"> </w:t>
      </w:r>
      <w:r w:rsidR="001D087D" w:rsidRPr="00706F03">
        <w:rPr>
          <w:rFonts w:cs="Times New Roman" w:hint="eastAsia"/>
          <w:szCs w:val="28"/>
        </w:rPr>
        <w:t>與</w:t>
      </w:r>
      <w:r w:rsidR="001D087D" w:rsidRPr="00706F03">
        <w:rPr>
          <w:rFonts w:cs="Times New Roman" w:hint="eastAsia"/>
          <w:szCs w:val="28"/>
        </w:rPr>
        <w:t xml:space="preserve"> Chi-square + SVM</w:t>
      </w:r>
      <w:r w:rsidR="001D087D" w:rsidRPr="00706F03">
        <w:rPr>
          <w:rFonts w:cs="Times New Roman" w:hint="eastAsia"/>
          <w:szCs w:val="28"/>
        </w:rPr>
        <w:t>。前者先以卡方統計量進行特徵選擇，再透過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進行分類；後者則直接以卡方篩選後的稀疏文字特徵訓練</w:t>
      </w:r>
      <w:r w:rsidR="001D087D" w:rsidRPr="00706F03">
        <w:rPr>
          <w:rFonts w:cs="Times New Roman" w:hint="eastAsia"/>
          <w:szCs w:val="28"/>
        </w:rPr>
        <w:t xml:space="preserve"> SVM</w:t>
      </w:r>
      <w:r w:rsidR="001D087D" w:rsidRPr="00706F03">
        <w:rPr>
          <w:rFonts w:cs="Times New Roman" w:hint="eastAsia"/>
          <w:szCs w:val="28"/>
        </w:rPr>
        <w:t>。</w:t>
      </w:r>
      <w:r w:rsidR="00484BCF" w:rsidRPr="00484BCF">
        <w:rPr>
          <w:rFonts w:cs="Times New Roman"/>
          <w:szCs w:val="28"/>
        </w:rPr>
        <w:t>儘管近年以</w:t>
      </w:r>
      <w:r w:rsidR="00484BCF" w:rsidRPr="00484BCF">
        <w:rPr>
          <w:rFonts w:cs="Times New Roman"/>
          <w:szCs w:val="28"/>
        </w:rPr>
        <w:t>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BoW</w:t>
      </w:r>
      <w:r w:rsidR="00484BCF" w:rsidRPr="00484BCF">
        <w:rPr>
          <w:rFonts w:cs="Times New Roman"/>
          <w:szCs w:val="28"/>
        </w:rPr>
        <w:t>、</w:t>
      </w:r>
      <w:r w:rsidR="00484BCF" w:rsidRPr="00484BCF">
        <w:rPr>
          <w:rFonts w:cs="Times New Roman"/>
          <w:szCs w:val="28"/>
        </w:rPr>
        <w:t>TF</w:t>
      </w:r>
      <w:r w:rsidR="00484BCF" w:rsidRPr="00484BCF">
        <w:rPr>
          <w:rFonts w:cs="Times New Roman"/>
          <w:szCs w:val="28"/>
        </w:rPr>
        <w:t>與</w:t>
      </w:r>
      <w:r w:rsidR="00484BCF" w:rsidRPr="00484BCF">
        <w:rPr>
          <w:rFonts w:cs="Times New Roman"/>
          <w:szCs w:val="28"/>
        </w:rPr>
        <w:t>TF-IDF</w:t>
      </w:r>
      <w:r w:rsidR="00484BCF" w:rsidRPr="00484BCF">
        <w:rPr>
          <w:rFonts w:cs="Times New Roman"/>
          <w:szCs w:val="28"/>
        </w:rPr>
        <w:t>等傳統稀疏文字特徵，以及</w:t>
      </w:r>
      <w:r w:rsidR="00484BCF" w:rsidRPr="00484BCF">
        <w:rPr>
          <w:rFonts w:cs="Times New Roman"/>
          <w:szCs w:val="28"/>
        </w:rPr>
        <w:t>MNIR</w:t>
      </w:r>
      <w:r w:rsidR="00484BCF" w:rsidRPr="00484BCF">
        <w:rPr>
          <w:rFonts w:cs="Times New Roman"/>
          <w:szCs w:val="28"/>
        </w:rPr>
        <w:t>監督式特徵轉換對</w:t>
      </w:r>
      <w:r w:rsidR="00484BCF" w:rsidRPr="00484BCF">
        <w:rPr>
          <w:rFonts w:cs="Times New Roman"/>
          <w:szCs w:val="28"/>
        </w:rPr>
        <w:t>SVM</w:t>
      </w:r>
      <w:r w:rsidR="00484BCF" w:rsidRPr="00484BCF">
        <w:rPr>
          <w:rFonts w:cs="Times New Roman"/>
          <w:szCs w:val="28"/>
        </w:rPr>
        <w:t>分類表現之影響。此外，傳統稀疏文字特徵與線性</w:t>
      </w:r>
      <w:r w:rsidR="00484BCF" w:rsidRPr="00484BCF">
        <w:rPr>
          <w:rFonts w:cs="Times New Roman"/>
          <w:szCs w:val="28"/>
        </w:rPr>
        <w:t>SVM</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1996</w:t>
      </w:r>
      <w:r w:rsidR="00141ACE" w:rsidRPr="00706F03">
        <w:rPr>
          <w:rFonts w:cs="Times New Roman"/>
          <w:szCs w:val="28"/>
        </w:rPr>
        <w:t xml:space="preserve"> </w:t>
      </w:r>
      <w:r w:rsidRPr="00706F03">
        <w:rPr>
          <w:rFonts w:cs="Times New Roman"/>
          <w:szCs w:val="28"/>
        </w:rPr>
        <w:t>年</w:t>
      </w:r>
      <w:r w:rsidRPr="00706F03">
        <w:rPr>
          <w:rFonts w:cs="Times New Roman"/>
          <w:szCs w:val="28"/>
        </w:rPr>
        <w:t>1</w:t>
      </w:r>
      <w:r w:rsidR="00141ACE" w:rsidRPr="00706F03">
        <w:rPr>
          <w:rFonts w:cs="Times New Roman"/>
          <w:szCs w:val="28"/>
        </w:rPr>
        <w:t xml:space="preserve"> </w:t>
      </w:r>
      <w:r w:rsidRPr="00706F03">
        <w:rPr>
          <w:rFonts w:cs="Times New Roman"/>
          <w:szCs w:val="28"/>
        </w:rPr>
        <w:t>月至</w:t>
      </w:r>
      <w:r w:rsidR="001707F2" w:rsidRPr="00706F03">
        <w:rPr>
          <w:rFonts w:cs="Times New Roman" w:hint="eastAsia"/>
          <w:szCs w:val="28"/>
        </w:rPr>
        <w:t xml:space="preserve"> </w:t>
      </w:r>
      <w:r w:rsidRPr="00706F03">
        <w:rPr>
          <w:rFonts w:cs="Times New Roman"/>
          <w:szCs w:val="28"/>
        </w:rPr>
        <w:t>2024</w:t>
      </w:r>
      <w:r w:rsidR="00141ACE" w:rsidRPr="00706F03">
        <w:rPr>
          <w:rFonts w:cs="Times New Roman"/>
          <w:szCs w:val="28"/>
        </w:rPr>
        <w:t xml:space="preserve"> </w:t>
      </w:r>
      <w:r w:rsidRPr="00706F03">
        <w:rPr>
          <w:rFonts w:cs="Times New Roman"/>
          <w:szCs w:val="28"/>
        </w:rPr>
        <w:t>年</w:t>
      </w:r>
      <w:r w:rsidRPr="00706F03">
        <w:rPr>
          <w:rFonts w:cs="Times New Roman"/>
          <w:szCs w:val="28"/>
        </w:rPr>
        <w:t>12</w:t>
      </w:r>
      <w:r w:rsidR="00141ACE" w:rsidRPr="00706F03">
        <w:rPr>
          <w:rFonts w:cs="Times New Roman"/>
          <w:szCs w:val="28"/>
        </w:rPr>
        <w:t xml:space="preserve">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JSON</w:t>
      </w:r>
      <w:r w:rsidR="00961BBF" w:rsidRPr="00706F03">
        <w:rPr>
          <w:rFonts w:cs="Times New Roman"/>
          <w:szCs w:val="28"/>
        </w:rPr>
        <w:t>（</w:t>
      </w:r>
      <w:r w:rsidR="00961BBF" w:rsidRPr="00706F03">
        <w:rPr>
          <w:rFonts w:cs="Times New Roman"/>
          <w:szCs w:val="28"/>
        </w:rPr>
        <w:t>JavaScript Object Notation</w:t>
      </w:r>
      <w:r w:rsidR="00961BBF" w:rsidRPr="00706F03">
        <w:rPr>
          <w:rFonts w:cs="Times New Roman"/>
          <w:szCs w:val="28"/>
        </w:rPr>
        <w:t>）格式之裁判書檔案</w:t>
      </w:r>
      <w:r w:rsidR="00E81A55" w:rsidRPr="00706F03">
        <w:rPr>
          <w:rFonts w:cs="Times New Roman"/>
          <w:szCs w:val="28"/>
        </w:rPr>
        <w:t>。</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90,027</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706F03">
        <w:rPr>
          <w:rFonts w:cs="Times New Roman"/>
        </w:rPr>
        <w:t xml:space="preserve"> </w:t>
      </w:r>
      <w:r w:rsidRPr="00706F03">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2026</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706F03">
        <w:rPr>
          <w:rFonts w:cs="Times New Roman"/>
        </w:rPr>
        <w:t xml:space="preserve"> </w:t>
      </w:r>
      <w:r w:rsidRPr="00706F03">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3F5CB6" w:rsidRPr="00706F03">
        <w:rPr>
          <w:rFonts w:cs="Times New Roman"/>
        </w:rPr>
        <w:t>2025</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706F03">
        <w:rPr>
          <w:rFonts w:cs="Times New Roman"/>
        </w:rPr>
        <w:t xml:space="preserve"> </w:t>
      </w:r>
      <w:r w:rsidRPr="00706F03">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706F03">
        <w:rPr>
          <w:rFonts w:cs="Times New Roman"/>
        </w:rPr>
        <w:t xml:space="preserve"> </w:t>
      </w:r>
      <w:r w:rsidRPr="00706F03">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7777777"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類別在多數後期年度區間占比較高。此結果表示，本研究模型主要學習訊息多來自較後期之判決資料，且裁判結果分布應結合年度與案件類型共同解讀。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w:t>
      </w:r>
      <w:r w:rsidRPr="00706F03">
        <w:rPr>
          <w:rFonts w:cs="Times New Roman"/>
          <w:szCs w:val="28"/>
        </w:rPr>
        <w:t xml:space="preserve"> </w:t>
      </w:r>
      <w:r w:rsidR="00961BBF" w:rsidRPr="00706F03">
        <w:rPr>
          <w:rFonts w:cs="Times New Roman"/>
          <w:szCs w:val="28"/>
        </w:rPr>
        <w:t>準確率、精確率、召回率、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代表由所有裁判書所形成的</w:t>
      </w:r>
      <w:r w:rsidRPr="00706F03">
        <w:rPr>
          <w:rFonts w:cs="Times New Roman"/>
          <w:szCs w:val="28"/>
        </w:rPr>
        <w:t xml:space="preserve"> TF </w:t>
      </w:r>
      <w:r w:rsidRPr="00706F03">
        <w:rPr>
          <w:rFonts w:cs="Times New Roman"/>
          <w:szCs w:val="28"/>
        </w:rPr>
        <w:t>文件－詞彙矩陣，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w:t>
      </w:r>
      <w:r w:rsidR="001C5A9C" w:rsidRPr="00706F03">
        <w:rPr>
          <w:rFonts w:cs="Times New Roman" w:hint="eastAsia"/>
          <w:szCs w:val="28"/>
        </w:rPr>
        <w:t>將</w:t>
      </w:r>
      <w:r w:rsidR="001C5A9C" w:rsidRPr="00706F03">
        <w:rPr>
          <w:rFonts w:cs="Times New Roman" w:hint="eastAsia"/>
          <w:szCs w:val="28"/>
        </w:rPr>
        <w:t xml:space="preserve"> </w:t>
      </w:r>
      <w:r w:rsidR="001C5A9C" w:rsidRPr="00706F03">
        <w:rPr>
          <w:rFonts w:cs="Times New Roman"/>
          <w:szCs w:val="28"/>
        </w:rPr>
        <w:t>smooth_idf</w:t>
      </w:r>
      <w:r w:rsidR="001C5A9C" w:rsidRPr="00706F03">
        <w:rPr>
          <w:rFonts w:cs="Times New Roman" w:hint="eastAsia"/>
          <w:szCs w:val="28"/>
        </w:rPr>
        <w:t xml:space="preserve"> </w:t>
      </w:r>
      <w:r w:rsidR="001C5A9C" w:rsidRPr="00706F03">
        <w:rPr>
          <w:rFonts w:cs="Times New Roman" w:hint="eastAsia"/>
          <w:szCs w:val="28"/>
        </w:rPr>
        <w:t>和</w:t>
      </w:r>
      <w:r w:rsidR="001C5A9C" w:rsidRPr="00706F03">
        <w:rPr>
          <w:rFonts w:cs="Times New Roman" w:hint="eastAsia"/>
          <w:szCs w:val="28"/>
        </w:rPr>
        <w:t xml:space="preserve"> </w:t>
      </w:r>
      <w:r w:rsidR="001C5A9C" w:rsidRPr="00706F03">
        <w:rPr>
          <w:rFonts w:cs="Times New Roman"/>
          <w:szCs w:val="28"/>
        </w:rPr>
        <w:t>norm</w:t>
      </w:r>
      <w:r w:rsidR="001C5A9C" w:rsidRPr="00706F03">
        <w:rPr>
          <w:rFonts w:cs="Times New Roman" w:hint="eastAsia"/>
          <w:szCs w:val="28"/>
        </w:rPr>
        <w:t xml:space="preserve"> </w:t>
      </w:r>
      <w:r w:rsidR="001C5A9C" w:rsidRPr="00706F03">
        <w:rPr>
          <w:rFonts w:cs="Times New Roman"/>
          <w:szCs w:val="28"/>
        </w:rPr>
        <w:t>設定</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n.d.-b</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lastRenderedPageBreak/>
        <w:t>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等非負文字特徵計算其與裁判結果標籤之關聯程度，並依卡方統計量由高至低排序，選取前</w:t>
      </w:r>
      <w:r w:rsidR="00377F68" w:rsidRPr="00706F03">
        <w:rPr>
          <w:rFonts w:cs="Times New Roman"/>
        </w:rPr>
        <w:t xml:space="preserve"> K </w:t>
      </w:r>
      <w:r w:rsidR="00377F68" w:rsidRPr="00706F03">
        <w:rPr>
          <w:rFonts w:cs="Times New Roman"/>
        </w:rPr>
        <w:t>個詞彙特徵</w:t>
      </w:r>
      <w:r w:rsidRPr="00706F03">
        <w:rPr>
          <w:rFonts w:cs="Times New Roman"/>
        </w:rPr>
        <w:t>。</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特徵矩陣。其次，以裁判結果標籤</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lastRenderedPageBreak/>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並非最終分類器，而是位於文字特徵建構與模型訓練之間的特徵篩選步驟。本研究後續兩條模型流程，亦即</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與</w:t>
      </w:r>
      <w:r w:rsidRPr="00706F03">
        <w:rPr>
          <w:rFonts w:cs="Times New Roman"/>
        </w:rPr>
        <w:t xml:space="preserve"> Chi-square + </w:t>
      </w:r>
      <w:r w:rsidR="00AF715B" w:rsidRPr="00706F03">
        <w:rPr>
          <w:rFonts w:cs="Times New Roman"/>
        </w:rPr>
        <w:t>SVM</w:t>
      </w:r>
      <w:r w:rsidRPr="00706F03">
        <w:rPr>
          <w:rFonts w:cs="Times New Roman"/>
        </w:rPr>
        <w:t>，皆以卡方篩選後的特徵矩陣作為輸入。</w:t>
      </w:r>
    </w:p>
    <w:p w14:paraId="24113C9E" w14:textId="5F9C0AFA"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 Raghavan, &amp; Schütze,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lastRenderedPageBreak/>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w:t>
      </w:r>
      <w:r w:rsidRPr="00706F03">
        <w:rPr>
          <w:rFonts w:cs="Times New Roman"/>
        </w:rPr>
        <w:lastRenderedPageBreak/>
        <w:t>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估計的干擾，使模型更聚焦於與</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三類裁判結果相關的詞彙訊號。第二，</w:t>
      </w:r>
      <w:r w:rsidRPr="00706F03">
        <w:rPr>
          <w:rFonts w:cs="Times New Roman"/>
        </w:rPr>
        <w:lastRenderedPageBreak/>
        <w:t>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w:t>
      </w:r>
      <w:r w:rsidRPr="00706F03">
        <w:rPr>
          <w:rFonts w:cs="Times New Roman"/>
        </w:rPr>
        <w:lastRenderedPageBreak/>
        <w:t>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w:t>
      </w:r>
      <w:r w:rsidRPr="00706F03">
        <w:rPr>
          <w:rFonts w:cs="Times New Roman"/>
        </w:rPr>
        <w:t xml:space="preserve"> </w:t>
      </w:r>
      <w:r w:rsidR="001E5412" w:rsidRPr="00706F03">
        <w:rPr>
          <w:rFonts w:cs="Times New Roman"/>
        </w:rPr>
        <w:t xml:space="preserve">Chi-square + MNIR + SVM </w:t>
      </w:r>
      <w:r w:rsidR="001E5412" w:rsidRPr="00706F03">
        <w:rPr>
          <w:rFonts w:cs="Times New Roman"/>
        </w:rPr>
        <w:t>與</w:t>
      </w:r>
      <w:r w:rsidR="001E5412" w:rsidRPr="00706F03">
        <w:rPr>
          <w:rFonts w:cs="Times New Roman"/>
        </w:rPr>
        <w:t xml:space="preserve"> Chi-square + SVM</w:t>
      </w:r>
      <w:r w:rsidRPr="00706F03">
        <w:rPr>
          <w:rFonts w:cs="Times New Roman"/>
        </w:rPr>
        <w:t xml:space="preserve"> </w:t>
      </w:r>
      <w:r w:rsidRPr="00706F03">
        <w:rPr>
          <w:rFonts w:cs="Times New Roman"/>
        </w:rPr>
        <w:t>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個詞彙特徵。完成特徵篩選後，第一條流程會進一步將卡方篩選後的文字特徵輸入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進行分類；第二條流程則不經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BoW</w:t>
      </w:r>
      <w:r w:rsidRPr="00706F03">
        <w:rPr>
          <w:rFonts w:cs="Times New Roman" w:hint="eastAsia"/>
          <w:szCs w:val="28"/>
        </w:rPr>
        <w:t>、</w:t>
      </w:r>
      <w:r w:rsidRPr="00706F03">
        <w:rPr>
          <w:rFonts w:cs="Times New Roman" w:hint="eastAsia"/>
          <w:szCs w:val="28"/>
        </w:rPr>
        <w:t>TF</w:t>
      </w:r>
      <w:r w:rsidR="00141ACE" w:rsidRPr="00706F03">
        <w:rPr>
          <w:rFonts w:cs="Times New Roman"/>
          <w:szCs w:val="28"/>
        </w:rPr>
        <w:t xml:space="preserve"> </w:t>
      </w:r>
      <w:r w:rsidRPr="00706F03">
        <w:rPr>
          <w:rFonts w:cs="Times New Roman" w:hint="eastAsia"/>
          <w:szCs w:val="28"/>
        </w:rPr>
        <w:t>或</w:t>
      </w:r>
      <w:r w:rsidRPr="00706F03">
        <w:rPr>
          <w:rFonts w:cs="Times New Roman" w:hint="eastAsia"/>
          <w:szCs w:val="28"/>
        </w:rPr>
        <w:t>TF-IDF</w:t>
      </w:r>
      <w:r w:rsidR="00141ACE" w:rsidRPr="00706F03">
        <w:rPr>
          <w:rFonts w:cs="Times New Roman"/>
          <w:szCs w:val="28"/>
        </w:rPr>
        <w:t xml:space="preserve">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Lose</w:t>
      </w:r>
      <w:r w:rsidRPr="00706F03">
        <w:rPr>
          <w:rFonts w:cs="Times New Roman" w:hint="eastAsia"/>
          <w:szCs w:val="28"/>
        </w:rPr>
        <w:t>、</w:t>
      </w:r>
      <w:r w:rsidRPr="00706F03">
        <w:rPr>
          <w:rFonts w:cs="Times New Roman" w:hint="eastAsia"/>
          <w:szCs w:val="28"/>
        </w:rPr>
        <w:t>Mixed</w:t>
      </w:r>
      <w:r w:rsidR="00141ACE" w:rsidRPr="00706F03">
        <w:rPr>
          <w:rFonts w:cs="Times New Roman"/>
          <w:szCs w:val="28"/>
        </w:rPr>
        <w:t xml:space="preserve"> </w:t>
      </w:r>
      <w:r w:rsidRPr="00706F03">
        <w:rPr>
          <w:rFonts w:cs="Times New Roman" w:hint="eastAsia"/>
          <w:szCs w:val="28"/>
        </w:rPr>
        <w:t>與</w:t>
      </w:r>
      <w:r w:rsidRPr="00706F03">
        <w:rPr>
          <w:rFonts w:cs="Times New Roman" w:hint="eastAsia"/>
          <w:szCs w:val="28"/>
        </w:rPr>
        <w:t>Win</w:t>
      </w:r>
      <w:r w:rsidR="00141ACE" w:rsidRPr="00706F03">
        <w:rPr>
          <w:rFonts w:cs="Times New Roman"/>
          <w:szCs w:val="28"/>
        </w:rPr>
        <w:t xml:space="preserve">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包含</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w:t>
      </w:r>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第一條模型流程為</w:t>
      </w:r>
      <w:r w:rsidRPr="00706F03">
        <w:rPr>
          <w:rFonts w:cs="Times New Roman"/>
          <w:szCs w:val="28"/>
        </w:rPr>
        <w:t xml:space="preserve"> </w:t>
      </w:r>
      <w:r w:rsidR="001E5412" w:rsidRPr="00706F03">
        <w:rPr>
          <w:rFonts w:cs="Times New Roman"/>
          <w:b/>
          <w:bCs/>
          <w:szCs w:val="28"/>
        </w:rPr>
        <w:t>Chi-square + MNIR + SVM</w:t>
      </w:r>
      <w:r w:rsidRPr="00706F03">
        <w:rPr>
          <w:rFonts w:cs="Times New Roman"/>
          <w:szCs w:val="28"/>
        </w:rPr>
        <w:t>。此流程的目的，是檢驗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w:t>
      </w:r>
      <w:r w:rsidR="001E5412" w:rsidRPr="00706F03">
        <w:rPr>
          <w:rFonts w:cs="Times New Roman"/>
          <w:szCs w:val="28"/>
        </w:rPr>
        <w:t xml:space="preserve"> Chi-square + SVM </w:t>
      </w:r>
      <w:r w:rsidR="001E5412" w:rsidRPr="00706F03">
        <w:rPr>
          <w:rFonts w:cs="Times New Roman"/>
          <w:szCs w:val="28"/>
        </w:rPr>
        <w:t>的主要差異</w:t>
      </w:r>
      <w:r w:rsidRPr="00706F03">
        <w:rPr>
          <w:rFonts w:cs="Times New Roman"/>
          <w:szCs w:val="28"/>
        </w:rPr>
        <w:t>在於：本流程不直接將卡方篩選後的詞彙特徵輸入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w:t>
      </w:r>
      <w:r w:rsidRPr="00706F03">
        <w:rPr>
          <w:rFonts w:cs="Times New Roman"/>
          <w:szCs w:val="28"/>
        </w:rPr>
        <w:lastRenderedPageBreak/>
        <w:t>設定重新訓練最終模型，最後使用測試集評估模型表現。測試集僅作為最終模型評估資料，不參與特徵選擇、</w:t>
      </w:r>
      <w:r w:rsidRPr="00706F03">
        <w:rPr>
          <w:rFonts w:cs="Times New Roman"/>
          <w:szCs w:val="28"/>
        </w:rPr>
        <w:t xml:space="preserve">MNIR </w:t>
      </w:r>
      <w:r w:rsidRPr="00706F03">
        <w:rPr>
          <w:rFonts w:cs="Times New Roman"/>
          <w:szCs w:val="28"/>
        </w:rPr>
        <w:t>估計或參數選擇。因此，</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流程在本研究中具有兩層意義。第一，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後續第四章將透過此流程與</w:t>
      </w:r>
      <w:r w:rsidR="001E5412" w:rsidRPr="00706F03">
        <w:rPr>
          <w:rFonts w:cs="Times New Roman"/>
          <w:szCs w:val="28"/>
        </w:rPr>
        <w:t xml:space="preserve"> Chi-square + SVM </w:t>
      </w:r>
      <w:r w:rsidR="001E5412" w:rsidRPr="00706F03">
        <w:rPr>
          <w:rFonts w:cs="Times New Roman"/>
          <w:szCs w:val="28"/>
        </w:rPr>
        <w:t>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77777777" w:rsidR="002E57C8" w:rsidRPr="00706F03" w:rsidRDefault="002E57C8" w:rsidP="004422CA">
      <w:pPr>
        <w:spacing w:line="276" w:lineRule="auto"/>
        <w:outlineLvl w:val="0"/>
        <w:rPr>
          <w:rFonts w:cs="Times New Roman"/>
          <w:szCs w:val="28"/>
        </w:rPr>
      </w:pPr>
      <w:r w:rsidRPr="00706F03">
        <w:rPr>
          <w:rFonts w:cs="Times New Roman"/>
          <w:szCs w:val="28"/>
        </w:rPr>
        <w:t>第二條模型流程為</w:t>
      </w:r>
      <w:r w:rsidRPr="00706F03">
        <w:rPr>
          <w:rFonts w:cs="Times New Roman"/>
          <w:szCs w:val="28"/>
        </w:rPr>
        <w:t xml:space="preserve"> </w:t>
      </w:r>
      <w:r w:rsidRPr="00706F03">
        <w:rPr>
          <w:rFonts w:cs="Times New Roman"/>
          <w:b/>
          <w:bCs/>
          <w:szCs w:val="28"/>
        </w:rPr>
        <w:t xml:space="preserve">Chi-square + </w:t>
      </w:r>
      <w:r w:rsidR="00AF715B" w:rsidRPr="00706F03">
        <w:rPr>
          <w:rFonts w:cs="Times New Roman"/>
          <w:b/>
          <w:bCs/>
          <w:szCs w:val="28"/>
        </w:rPr>
        <w:t>SVM</w:t>
      </w:r>
      <w:r w:rsidRPr="00706F03">
        <w:rPr>
          <w:rFonts w:cs="Times New Roman"/>
          <w:szCs w:val="28"/>
        </w:rPr>
        <w:t>。此流程的目的，是作為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流程不同，</w:t>
      </w:r>
      <w:r w:rsidR="00AF715B" w:rsidRPr="00706F03">
        <w:rPr>
          <w:rFonts w:cs="Times New Roman"/>
          <w:szCs w:val="28"/>
        </w:rPr>
        <w:t>SVM</w:t>
      </w:r>
      <w:r w:rsidRPr="00706F03">
        <w:rPr>
          <w:rFonts w:cs="Times New Roman"/>
          <w:szCs w:val="28"/>
        </w:rPr>
        <w:t xml:space="preserve"> </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w:t>
      </w:r>
      <w:r w:rsidR="001E5412" w:rsidRPr="00706F03">
        <w:rPr>
          <w:rFonts w:cs="Times New Roman"/>
          <w:szCs w:val="28"/>
        </w:rPr>
        <w:t xml:space="preserve"> Chi-square + MNIR + SVM </w:t>
      </w:r>
      <w:r w:rsidR="001E5412" w:rsidRPr="00706F03">
        <w:rPr>
          <w:rFonts w:cs="Times New Roman"/>
          <w:szCs w:val="28"/>
        </w:rPr>
        <w:t>的表現優於</w:t>
      </w:r>
      <w:r w:rsidR="001E5412" w:rsidRPr="00706F03">
        <w:rPr>
          <w:rFonts w:cs="Times New Roman"/>
          <w:szCs w:val="28"/>
        </w:rPr>
        <w:t xml:space="preserve"> Chi-square + SVM</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w:t>
      </w:r>
      <w:r w:rsidR="001E5412" w:rsidRPr="00706F03">
        <w:rPr>
          <w:rFonts w:cs="Times New Roman"/>
          <w:szCs w:val="28"/>
        </w:rPr>
        <w:t xml:space="preserve"> Chi-square + SVM </w:t>
      </w:r>
      <w:r w:rsidR="001E5412" w:rsidRPr="00706F03">
        <w:rPr>
          <w:rFonts w:cs="Times New Roman"/>
          <w:szCs w:val="28"/>
        </w:rPr>
        <w:t>的表現優於</w:t>
      </w:r>
      <w:r w:rsidR="001E5412" w:rsidRPr="00706F03">
        <w:rPr>
          <w:rFonts w:cs="Times New Roman"/>
          <w:szCs w:val="28"/>
        </w:rPr>
        <w:t xml:space="preserve"> Chi-square + MNIR + SVM</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低維轉換未必能改善模型表現。因此，本研究不單獨觀察</w:t>
      </w:r>
      <w:r w:rsidR="002E57C8" w:rsidRPr="00706F03">
        <w:rPr>
          <w:rFonts w:cs="Times New Roman"/>
          <w:szCs w:val="28"/>
        </w:rPr>
        <w:t xml:space="preserve"> </w:t>
      </w:r>
      <w:r w:rsidR="001E5412" w:rsidRPr="00706F03">
        <w:rPr>
          <w:rFonts w:cs="Times New Roman"/>
          <w:szCs w:val="28"/>
        </w:rPr>
        <w:t>Chi-square + MNIR + SVM</w:t>
      </w:r>
      <w:r w:rsidR="002E57C8" w:rsidRPr="00706F03">
        <w:rPr>
          <w:rFonts w:cs="Times New Roman"/>
          <w:szCs w:val="28"/>
        </w:rPr>
        <w:t xml:space="preserve"> </w:t>
      </w:r>
      <w:r w:rsidR="002E57C8" w:rsidRPr="00706F03">
        <w:rPr>
          <w:rFonts w:cs="Times New Roman"/>
          <w:szCs w:val="28"/>
        </w:rPr>
        <w:t>的模型分數，而是透過</w:t>
      </w:r>
      <w:r w:rsidR="002E57C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2E57C8" w:rsidRPr="00706F03">
        <w:rPr>
          <w:rFonts w:cs="Times New Roman"/>
          <w:szCs w:val="28"/>
        </w:rPr>
        <w:t xml:space="preserve"> </w:t>
      </w:r>
      <w:r w:rsidR="002E57C8" w:rsidRPr="00706F03">
        <w:rPr>
          <w:rFonts w:cs="Times New Roman"/>
          <w:szCs w:val="28"/>
        </w:rPr>
        <w:t>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lastRenderedPageBreak/>
        <w:t>除</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w:t>
      </w:r>
      <w:r w:rsidR="002E41C0"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或</w:t>
      </w:r>
      <w:r w:rsidR="001E5412" w:rsidRPr="00706F03">
        <w:rPr>
          <w:rFonts w:cs="Times New Roman"/>
          <w:szCs w:val="28"/>
        </w:rPr>
        <w:t xml:space="preserve"> Chi-square + SVM </w:t>
      </w:r>
      <w:r w:rsidR="001E5412" w:rsidRPr="00706F03">
        <w:rPr>
          <w:rFonts w:cs="Times New Roman"/>
          <w:szCs w:val="28"/>
        </w:rPr>
        <w:t>的表現</w:t>
      </w:r>
      <w:r w:rsidR="002E41C0" w:rsidRPr="00706F03">
        <w:rPr>
          <w:rFonts w:cs="Times New Roman"/>
          <w:szCs w:val="28"/>
        </w:rPr>
        <w:t>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w:t>
      </w:r>
      <w:r w:rsidRPr="00706F03">
        <w:rPr>
          <w:rFonts w:cs="Times New Roman"/>
          <w:szCs w:val="28"/>
        </w:rPr>
        <w:t xml:space="preserve"> TP</w:t>
      </w:r>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 xml:space="preserve">FN </w:t>
      </w:r>
      <w:r w:rsidRPr="00706F03">
        <w:rPr>
          <w:rFonts w:cs="Times New Roman"/>
          <w:szCs w:val="28"/>
        </w:rPr>
        <w:t>與</w:t>
      </w:r>
      <w:r w:rsidRPr="00706F03">
        <w:rPr>
          <w:rFonts w:cs="Times New Roman"/>
          <w:szCs w:val="28"/>
        </w:rPr>
        <w:t xml:space="preserve"> TN </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t>其中，</w:t>
      </w:r>
      <w:r w:rsidRPr="00706F03">
        <w:rPr>
          <w:rFonts w:cs="Times New Roman"/>
          <w:szCs w:val="28"/>
        </w:rPr>
        <w:t>TP</w:t>
      </w:r>
      <w:r w:rsidRPr="00706F03">
        <w:rPr>
          <w:rFonts w:cs="Times New Roman"/>
          <w:szCs w:val="28"/>
        </w:rPr>
        <w:t>（</w:t>
      </w:r>
      <w:r w:rsidRPr="00706F03">
        <w:rPr>
          <w:rFonts w:cs="Times New Roman"/>
          <w:szCs w:val="28"/>
        </w:rPr>
        <w:t>True Positive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，且模型也正確預測為類別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FP</w:t>
      </w:r>
      <w:r w:rsidRPr="00706F03">
        <w:rPr>
          <w:rFonts w:cs="Times New Roman"/>
          <w:szCs w:val="28"/>
        </w:rPr>
        <w:t>（</w:t>
      </w:r>
      <w:r w:rsidRPr="00706F03">
        <w:rPr>
          <w:rFonts w:cs="Times New Roman"/>
          <w:szCs w:val="28"/>
        </w:rPr>
        <w:t>False Positive</w:t>
      </w:r>
      <w:r w:rsidRPr="00706F03">
        <w:rPr>
          <w:rFonts w:cs="Times New Roman"/>
          <w:szCs w:val="28"/>
        </w:rPr>
        <w:t>）代表實際並非類別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FN</w:t>
      </w:r>
      <w:r w:rsidRPr="00706F03">
        <w:rPr>
          <w:rFonts w:cs="Times New Roman"/>
          <w:szCs w:val="28"/>
        </w:rPr>
        <w:t>（</w:t>
      </w:r>
      <w:r w:rsidRPr="00706F03">
        <w:rPr>
          <w:rFonts w:cs="Times New Roman"/>
          <w:szCs w:val="28"/>
        </w:rPr>
        <w:t>False Negative</w:t>
      </w:r>
      <w:r w:rsidRPr="00706F03">
        <w:rPr>
          <w:rFonts w:cs="Times New Roman"/>
          <w:szCs w:val="28"/>
        </w:rPr>
        <w:t>）代表實際為類別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，但模型錯誤預測為非類別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Pr="00706F03">
        <w:rPr>
          <w:rFonts w:cs="Times New Roman"/>
          <w:szCs w:val="28"/>
        </w:rPr>
        <w:t>TN</w:t>
      </w:r>
      <w:r w:rsidRPr="00706F03">
        <w:rPr>
          <w:rFonts w:cs="Times New Roman"/>
          <w:szCs w:val="28"/>
        </w:rPr>
        <w:t>（</w:t>
      </w:r>
      <w:r w:rsidRPr="00706F03">
        <w:rPr>
          <w:rFonts w:cs="Times New Roman"/>
          <w:szCs w:val="28"/>
        </w:rPr>
        <w:t>True Negative</w:t>
      </w:r>
      <w:r w:rsidRPr="00706F03">
        <w:rPr>
          <w:rFonts w:cs="Times New Roman"/>
          <w:szCs w:val="28"/>
        </w:rPr>
        <w:t>）則代表實際並非類別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，且模型也未預測為類別</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w:t>
      </w:r>
      <w:r w:rsidR="004422CA" w:rsidRPr="00706F03">
        <w:rPr>
          <w:rFonts w:cs="Times New Roman"/>
          <w:szCs w:val="28"/>
        </w:rPr>
        <w:t>以本研究三類裁判結果為例，若以</w:t>
      </w:r>
      <w:r w:rsidR="004422CA" w:rsidRPr="00706F03">
        <w:rPr>
          <w:rFonts w:cs="Times New Roman"/>
          <w:szCs w:val="28"/>
        </w:rPr>
        <w:t xml:space="preserve"> Win </w:t>
      </w:r>
      <w:r w:rsidR="004422CA" w:rsidRPr="00706F03">
        <w:rPr>
          <w:rFonts w:cs="Times New Roman"/>
          <w:szCs w:val="28"/>
        </w:rPr>
        <w:t>作為目標類別，則</w:t>
      </w:r>
      <w:r w:rsidR="004422CA" w:rsidRPr="00706F03">
        <w:rPr>
          <w:rFonts w:cs="Times New Roman"/>
          <w:szCs w:val="28"/>
        </w:rPr>
        <w:t xml:space="preserve"> TP </w:t>
      </w:r>
      <w:r w:rsidR="004422CA" w:rsidRPr="00706F03">
        <w:rPr>
          <w:rFonts w:cs="Times New Roman"/>
          <w:szCs w:val="28"/>
        </w:rPr>
        <w:t>代表實際為</w:t>
      </w:r>
      <w:r w:rsidR="004422CA" w:rsidRPr="00706F03">
        <w:rPr>
          <w:rFonts w:cs="Times New Roman"/>
          <w:szCs w:val="28"/>
        </w:rPr>
        <w:t xml:space="preserve"> Win </w:t>
      </w:r>
      <w:r w:rsidR="004422CA" w:rsidRPr="00706F03">
        <w:rPr>
          <w:rFonts w:cs="Times New Roman"/>
          <w:szCs w:val="28"/>
        </w:rPr>
        <w:t>且模型亦預測為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FN </w:t>
      </w:r>
      <w:r w:rsidR="004422CA" w:rsidRPr="00706F03">
        <w:rPr>
          <w:rFonts w:cs="Times New Roman"/>
          <w:szCs w:val="28"/>
        </w:rPr>
        <w:t>代表實際為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w:t>
      </w:r>
      <w:r w:rsidRPr="00706F03">
        <w:rPr>
          <w:rFonts w:cs="Times New Roman"/>
          <w:szCs w:val="28"/>
        </w:rPr>
        <w:lastRenderedPageBreak/>
        <w:t>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流程用以檢驗</w:t>
      </w:r>
      <w:r w:rsidRPr="00706F03">
        <w:rPr>
          <w:rFonts w:cs="Times New Roman"/>
          <w:szCs w:val="28"/>
        </w:rPr>
        <w:t xml:space="preserve"> MNIR </w:t>
      </w:r>
      <w:r w:rsidRPr="00706F03">
        <w:rPr>
          <w:rFonts w:cs="Times New Roman"/>
          <w:szCs w:val="28"/>
        </w:rPr>
        <w:t>監督式特徵轉換是否能帶來額外分類增益；</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流程則作為不經</w:t>
      </w:r>
      <w:r w:rsidRPr="00706F03">
        <w:rPr>
          <w:rFonts w:cs="Times New Roman"/>
          <w:szCs w:val="28"/>
        </w:rPr>
        <w:t xml:space="preserve"> MNIR </w:t>
      </w:r>
      <w:r w:rsidRPr="00706F03">
        <w:rPr>
          <w:rFonts w:cs="Times New Roman"/>
          <w:szCs w:val="28"/>
        </w:rPr>
        <w:t>轉換之對照基準；</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66439615"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代表依不同流程進行</w:t>
      </w:r>
      <w:r w:rsidRPr="00706F03">
        <w:rPr>
          <w:rFonts w:cs="Times New Roman" w:hint="eastAsia"/>
          <w:szCs w:val="28"/>
        </w:rPr>
        <w:t xml:space="preserve"> Chi-square + MNIR + SVM </w:t>
      </w:r>
      <w:r w:rsidRPr="00706F03">
        <w:rPr>
          <w:rFonts w:cs="Times New Roman" w:hint="eastAsia"/>
          <w:szCs w:val="28"/>
        </w:rPr>
        <w:t>或</w:t>
      </w:r>
      <w:r w:rsidRPr="00706F03">
        <w:rPr>
          <w:rFonts w:cs="Times New Roman" w:hint="eastAsia"/>
          <w:szCs w:val="28"/>
        </w:rPr>
        <w:t xml:space="preserve"> Chi-square + SVM </w:t>
      </w:r>
      <w:r w:rsidRPr="00706F03">
        <w:rPr>
          <w:rFonts w:cs="Times New Roman" w:hint="eastAsia"/>
          <w:szCs w:val="28"/>
        </w:rPr>
        <w:t>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後，本研究再使用訓練集與驗證集合併後的資料重新訓練最終</w:t>
      </w:r>
      <w:r w:rsidR="009A19D8" w:rsidRPr="00706F03">
        <w:rPr>
          <w:rFonts w:cs="Times New Roman"/>
          <w:szCs w:val="28"/>
        </w:rPr>
        <w:t xml:space="preserve"> SVM </w:t>
      </w:r>
      <w:r w:rsidR="009A19D8" w:rsidRPr="00706F03">
        <w:rPr>
          <w:rFonts w:cs="Times New Roman"/>
          <w:szCs w:val="28"/>
        </w:rPr>
        <w:t>模型，並以測試集進行最終評估。此流程可表示為：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015845FF" w14:textId="77777777" w:rsidR="009A19D8" w:rsidRPr="0041775A" w:rsidRDefault="0041775A" w:rsidP="0004071A">
      <w:pPr>
        <w:spacing w:line="276" w:lineRule="auto"/>
        <w:outlineLvl w:val="0"/>
        <w:rPr>
          <w:rFonts w:cs="Times New Roman"/>
          <w:szCs w:val="28"/>
        </w:rPr>
      </w:pPr>
      <w:r w:rsidRPr="0041775A">
        <w:rPr>
          <w:rFonts w:cs="Times New Roman" w:hint="eastAsia"/>
          <w:szCs w:val="28"/>
        </w:rPr>
        <w:t>測試集不參與卡方特徵選擇、</w:t>
      </w:r>
      <w:r w:rsidRPr="0041775A">
        <w:rPr>
          <w:rFonts w:cs="Times New Roman" w:hint="eastAsia"/>
          <w:szCs w:val="28"/>
        </w:rPr>
        <w:t>MNIR</w:t>
      </w:r>
      <w:r w:rsidRPr="0041775A">
        <w:rPr>
          <w:rFonts w:cs="Times New Roman" w:hint="eastAsia"/>
          <w:szCs w:val="28"/>
        </w:rPr>
        <w:t>模型估計、</w:t>
      </w:r>
      <w:r w:rsidRPr="0041775A">
        <w:rPr>
          <w:rFonts w:cs="Times New Roman" w:hint="eastAsia"/>
          <w:szCs w:val="28"/>
        </w:rPr>
        <w:t>SVM</w:t>
      </w:r>
      <w:r w:rsidRPr="0041775A">
        <w:rPr>
          <w:rFonts w:cs="Times New Roman" w:hint="eastAsia"/>
          <w:szCs w:val="28"/>
        </w:rPr>
        <w:t>訓練與超參數選擇，而僅用於最終模型評估。惟本研究之文件－詞項矩陣係於資料集劃分前建立，因此</w:t>
      </w:r>
      <w:r w:rsidRPr="0041775A">
        <w:rPr>
          <w:rFonts w:cs="Times New Roman" w:hint="eastAsia"/>
          <w:szCs w:val="28"/>
        </w:rPr>
        <w:t>BoW</w:t>
      </w:r>
      <w:r w:rsidRPr="0041775A">
        <w:rPr>
          <w:rFonts w:cs="Times New Roman" w:hint="eastAsia"/>
          <w:szCs w:val="28"/>
        </w:rPr>
        <w:t>與</w:t>
      </w:r>
      <w:r w:rsidRPr="0041775A">
        <w:rPr>
          <w:rFonts w:cs="Times New Roman" w:hint="eastAsia"/>
          <w:szCs w:val="28"/>
        </w:rPr>
        <w:t>TF</w:t>
      </w:r>
      <w:r w:rsidRPr="0041775A">
        <w:rPr>
          <w:rFonts w:cs="Times New Roman" w:hint="eastAsia"/>
          <w:szCs w:val="28"/>
        </w:rPr>
        <w:t>之詞彙表，以及</w:t>
      </w:r>
      <w:r w:rsidRPr="0041775A">
        <w:rPr>
          <w:rFonts w:cs="Times New Roman" w:hint="eastAsia"/>
          <w:szCs w:val="28"/>
        </w:rPr>
        <w:t>TF-IDF</w:t>
      </w:r>
      <w:r w:rsidRPr="0041775A">
        <w:rPr>
          <w:rFonts w:cs="Times New Roman" w:hint="eastAsia"/>
          <w:szCs w:val="28"/>
        </w:rPr>
        <w:t>之詞彙表與</w:t>
      </w:r>
      <w:r w:rsidRPr="0041775A">
        <w:rPr>
          <w:rFonts w:cs="Times New Roman" w:hint="eastAsia"/>
          <w:szCs w:val="28"/>
        </w:rPr>
        <w:t>IDF</w:t>
      </w:r>
      <w:r w:rsidRPr="0041775A">
        <w:rPr>
          <w:rFonts w:cs="Times New Roman" w:hint="eastAsia"/>
          <w:szCs w:val="28"/>
        </w:rPr>
        <w:t>權重，可能已包含驗證集與測試集的詞彙分布資訊。雖然後續</w:t>
      </w:r>
      <w:r w:rsidRPr="0041775A">
        <w:rPr>
          <w:rFonts w:cs="Times New Roman" w:hint="eastAsia"/>
          <w:szCs w:val="28"/>
        </w:rPr>
        <w:lastRenderedPageBreak/>
        <w:t>卡方特徵選擇、</w:t>
      </w:r>
      <w:r w:rsidRPr="0041775A">
        <w:rPr>
          <w:rFonts w:cs="Times New Roman" w:hint="eastAsia"/>
          <w:szCs w:val="28"/>
        </w:rPr>
        <w:t>MNIR</w:t>
      </w:r>
      <w:r w:rsidRPr="0041775A">
        <w:rPr>
          <w:rFonts w:cs="Times New Roman" w:hint="eastAsia"/>
          <w:szCs w:val="28"/>
        </w:rPr>
        <w:t>特徵轉換、</w:t>
      </w:r>
      <w:r w:rsidRPr="0041775A">
        <w:rPr>
          <w:rFonts w:cs="Times New Roman" w:hint="eastAsia"/>
          <w:szCs w:val="28"/>
        </w:rPr>
        <w:t>SVM</w:t>
      </w:r>
      <w:r w:rsidRPr="0041775A">
        <w:rPr>
          <w:rFonts w:cs="Times New Roman" w:hint="eastAsia"/>
          <w:szCs w:val="28"/>
        </w:rPr>
        <w:t>估計與超參數選擇皆未使用測試集進行估計或調整，本研究仍無法完全排除非監督式資料洩漏之可能。</w:t>
      </w:r>
    </w:p>
    <w:p w14:paraId="3281FEEF" w14:textId="77777777" w:rsidR="00523799" w:rsidRPr="00383AAC" w:rsidRDefault="009A19D8" w:rsidP="0004071A">
      <w:pPr>
        <w:spacing w:line="276" w:lineRule="auto"/>
        <w:outlineLvl w:val="0"/>
        <w:rPr>
          <w:rFonts w:cs="Times New Roman"/>
          <w:szCs w:val="28"/>
        </w:rPr>
      </w:pPr>
      <w:r w:rsidRPr="00383AAC">
        <w:rPr>
          <w:rFonts w:cs="Times New Roman"/>
          <w:szCs w:val="28"/>
        </w:rPr>
        <w:t>透過上述流程，本研究得以在各案件類型中比較不同文字特徵表示、</w:t>
      </w:r>
      <w:r w:rsidR="001E5412" w:rsidRPr="00383AAC">
        <w:rPr>
          <w:rFonts w:cs="Times New Roman"/>
          <w:szCs w:val="28"/>
        </w:rPr>
        <w:t xml:space="preserve">Chi-square + MNIR + SVM </w:t>
      </w:r>
      <w:r w:rsidR="001E5412" w:rsidRPr="00383AAC">
        <w:rPr>
          <w:rFonts w:cs="Times New Roman"/>
          <w:szCs w:val="28"/>
        </w:rPr>
        <w:t>與</w:t>
      </w:r>
      <w:r w:rsidR="001E5412" w:rsidRPr="00383AAC">
        <w:rPr>
          <w:rFonts w:cs="Times New Roman"/>
          <w:szCs w:val="28"/>
        </w:rPr>
        <w:t xml:space="preserve"> Chi-square + SVM</w:t>
      </w:r>
      <w:r w:rsidRPr="00383AAC">
        <w:rPr>
          <w:rFonts w:cs="Times New Roman"/>
          <w:szCs w:val="28"/>
        </w:rPr>
        <w:t xml:space="preserve"> </w:t>
      </w:r>
      <w:r w:rsidRPr="00383AAC">
        <w:rPr>
          <w:rFonts w:cs="Times New Roman"/>
          <w:szCs w:val="28"/>
        </w:rPr>
        <w:t>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研究分別建立模型進行比較，而非將所有案件合併為單一資料集。其次，本研究將裁判結果整理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77777777"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，測試集則僅用於最終模型評估。</w:t>
      </w:r>
      <w:r w:rsidR="009A19D8" w:rsidRPr="00706F03">
        <w:rPr>
          <w:rFonts w:cs="Times New Roman"/>
          <w:szCs w:val="28"/>
        </w:rPr>
        <w:t>綜合而言，本章建立了後續實證分析的完整方法基礎。第四章將依據本章所述流程，分別呈現</w:t>
      </w:r>
      <w:r w:rsidR="009A19D8"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009A19D8" w:rsidRPr="00706F03">
        <w:rPr>
          <w:rFonts w:cs="Times New Roman"/>
          <w:szCs w:val="28"/>
        </w:rPr>
        <w:t xml:space="preserve"> </w:t>
      </w:r>
      <w:r w:rsidR="009A19D8" w:rsidRPr="00706F03">
        <w:rPr>
          <w:rFonts w:cs="Times New Roman"/>
          <w:szCs w:val="28"/>
        </w:rPr>
        <w:t>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w:t>
      </w:r>
      <w:r w:rsidRPr="00706F03">
        <w:rPr>
          <w:rFonts w:cs="Times New Roman"/>
        </w:rPr>
        <w:t xml:space="preserve">Chi-square + MNIR + SVM </w:t>
      </w:r>
      <w:r w:rsidRPr="00706F03">
        <w:rPr>
          <w:rFonts w:cs="Times New Roman"/>
        </w:rPr>
        <w:t>之分類表現；第二，</w:t>
      </w:r>
      <w:r w:rsidRPr="00706F03">
        <w:rPr>
          <w:rFonts w:cs="Times New Roman"/>
        </w:rPr>
        <w:t xml:space="preserve">Chi-square + SVM </w:t>
      </w:r>
      <w:r w:rsidRPr="00706F03">
        <w:rPr>
          <w:rFonts w:cs="Times New Roman"/>
        </w:rPr>
        <w:t>對照流程之分類表現；第三，加入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三類裁判結果。相較之下，刑事附帶民事資料集的三類平均辨識表現較佳，但是否能穩定辨識各裁判結果類別，仍須配合後續分類報告與混淆矩陣進一步檢視。整體而言，</w:t>
      </w:r>
      <w:r w:rsidRPr="00706F03">
        <w:rPr>
          <w:rFonts w:cs="Times New Roman"/>
        </w:rPr>
        <w:t xml:space="preserve">Chi-square + MNIR + SVM </w:t>
      </w:r>
      <w:r w:rsidRPr="00706F03">
        <w:rPr>
          <w:rFonts w:cs="Times New Roman"/>
        </w:rPr>
        <w:t>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77777777"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AF715B" w:rsidRPr="00706F03">
        <w:rPr>
          <w:rFonts w:cs="Times New Roman"/>
        </w:rPr>
        <w:t>SVM</w:t>
      </w:r>
      <w:r w:rsidRPr="00706F03">
        <w:rPr>
          <w:rFonts w:cs="Times New Roman"/>
        </w:rPr>
        <w:t xml:space="preserve"> </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w:t>
      </w:r>
      <w:r w:rsidRPr="00706F03">
        <w:rPr>
          <w:rFonts w:cs="Times New Roman"/>
        </w:rPr>
        <w:lastRenderedPageBreak/>
        <w:t xml:space="preserve">baseline </w:t>
      </w:r>
      <w:r w:rsidRPr="00706F03">
        <w:rPr>
          <w:rFonts w:cs="Times New Roman"/>
        </w:rPr>
        <w:t>是指模型不根據文本內容進行判斷，而是一律預測訓練資料中樣本數最多的裁判結果類別。若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12"/>
        <w:gridCol w:w="1878"/>
        <w:gridCol w:w="2019"/>
        <w:gridCol w:w="1922"/>
        <w:gridCol w:w="2207"/>
      </w:tblGrid>
      <w:tr w:rsidR="00641412" w:rsidRPr="00706F03" w14:paraId="59F2B763" w14:textId="77777777" w:rsidTr="000C3BE1">
        <w:trPr>
          <w:cantSplit/>
          <w:jc w:val="center"/>
        </w:trPr>
        <w:tc>
          <w:tcPr>
            <w:tcW w:w="1696" w:type="dxa"/>
            <w:tcBorders>
              <w:bottom w:val="single" w:sz="2" w:space="0" w:color="000000"/>
            </w:tcBorders>
          </w:tcPr>
          <w:p w14:paraId="607AAC4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758" w:type="dxa"/>
            <w:tcBorders>
              <w:bottom w:val="single" w:sz="2" w:space="0" w:color="000000"/>
            </w:tcBorders>
          </w:tcPr>
          <w:p w14:paraId="5D2FF43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t>最佳特徵</w:t>
            </w:r>
          </w:p>
        </w:tc>
        <w:tc>
          <w:tcPr>
            <w:tcW w:w="1890" w:type="dxa"/>
            <w:tcBorders>
              <w:bottom w:val="single" w:sz="2" w:space="0" w:color="000000"/>
            </w:tcBorders>
          </w:tcPr>
          <w:p w14:paraId="13B996D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799" w:type="dxa"/>
            <w:tcBorders>
              <w:bottom w:val="single" w:sz="2" w:space="0" w:color="000000"/>
            </w:tcBorders>
          </w:tcPr>
          <w:p w14:paraId="51DC5EF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066" w:type="dxa"/>
            <w:tcBorders>
              <w:bottom w:val="single" w:sz="2" w:space="0" w:color="000000"/>
            </w:tcBorders>
          </w:tcPr>
          <w:p w14:paraId="0E331D2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0C3BE1">
        <w:trPr>
          <w:cantSplit/>
          <w:jc w:val="center"/>
        </w:trPr>
        <w:tc>
          <w:tcPr>
            <w:tcW w:w="1696"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758"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890"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799"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066"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0C3BE1">
        <w:trPr>
          <w:cantSplit/>
          <w:jc w:val="center"/>
        </w:trPr>
        <w:tc>
          <w:tcPr>
            <w:tcW w:w="1696"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758"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890"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799"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66"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0C3BE1">
        <w:trPr>
          <w:cantSplit/>
          <w:jc w:val="center"/>
        </w:trPr>
        <w:tc>
          <w:tcPr>
            <w:tcW w:w="1696"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758"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890"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799"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066"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0C3BE1">
        <w:trPr>
          <w:cantSplit/>
          <w:jc w:val="center"/>
        </w:trPr>
        <w:tc>
          <w:tcPr>
            <w:tcW w:w="1696"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758"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890"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799"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066"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134"/>
        <w:gridCol w:w="1136"/>
        <w:gridCol w:w="1135"/>
        <w:gridCol w:w="2127"/>
        <w:gridCol w:w="1700"/>
        <w:gridCol w:w="1559"/>
      </w:tblGrid>
      <w:tr w:rsidR="0047606C" w:rsidRPr="00706F03" w14:paraId="4F66279B" w14:textId="77777777" w:rsidTr="002E2F39">
        <w:trPr>
          <w:cantSplit/>
          <w:jc w:val="center"/>
        </w:trPr>
        <w:tc>
          <w:tcPr>
            <w:tcW w:w="1554" w:type="dxa"/>
            <w:tcBorders>
              <w:bottom w:val="single" w:sz="2" w:space="0" w:color="000000"/>
            </w:tcBorders>
            <w:vAlign w:val="center"/>
          </w:tcPr>
          <w:p w14:paraId="1933E5D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4" w:type="dxa"/>
            <w:tcBorders>
              <w:bottom w:val="single" w:sz="2" w:space="0" w:color="000000"/>
            </w:tcBorders>
            <w:vAlign w:val="center"/>
          </w:tcPr>
          <w:p w14:paraId="7704126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 xml:space="preserve">Direct </w:t>
            </w:r>
            <w:r w:rsidRPr="00706F03">
              <w:rPr>
                <w:rFonts w:cs="Times New Roman"/>
                <w:b/>
                <w:sz w:val="22"/>
                <w:szCs w:val="22"/>
              </w:rPr>
              <w:br/>
            </w:r>
            <w:r w:rsidRPr="00706F03">
              <w:rPr>
                <w:rFonts w:cs="Times New Roman"/>
                <w:b/>
                <w:sz w:val="22"/>
                <w:szCs w:val="22"/>
              </w:rPr>
              <w:t>最佳特徵</w:t>
            </w:r>
          </w:p>
        </w:tc>
        <w:tc>
          <w:tcPr>
            <w:tcW w:w="1136" w:type="dxa"/>
            <w:tcBorders>
              <w:bottom w:val="single" w:sz="2" w:space="0" w:color="000000"/>
            </w:tcBorders>
            <w:vAlign w:val="center"/>
          </w:tcPr>
          <w:p w14:paraId="72441D2A"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5" w:type="dxa"/>
            <w:tcBorders>
              <w:bottom w:val="single" w:sz="2" w:space="0" w:color="000000"/>
            </w:tcBorders>
            <w:vAlign w:val="center"/>
          </w:tcPr>
          <w:p w14:paraId="3A1FC36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p w14:paraId="6F972219" w14:textId="77777777" w:rsidR="0047606C" w:rsidRPr="00706F03" w:rsidRDefault="0047606C" w:rsidP="002E2F39">
            <w:pPr>
              <w:keepNext/>
              <w:keepLines/>
              <w:spacing w:after="0" w:line="276" w:lineRule="auto"/>
              <w:ind w:firstLine="0"/>
              <w:jc w:val="center"/>
              <w:rPr>
                <w:rFonts w:cs="Times New Roman"/>
                <w:sz w:val="22"/>
                <w:szCs w:val="22"/>
              </w:rPr>
            </w:pPr>
          </w:p>
        </w:tc>
        <w:tc>
          <w:tcPr>
            <w:tcW w:w="2127" w:type="dxa"/>
            <w:tcBorders>
              <w:bottom w:val="single" w:sz="2" w:space="0" w:color="000000"/>
            </w:tcBorders>
            <w:vAlign w:val="center"/>
          </w:tcPr>
          <w:p w14:paraId="14040C53"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0" w:type="dxa"/>
            <w:tcBorders>
              <w:bottom w:val="single" w:sz="2" w:space="0" w:color="000000"/>
            </w:tcBorders>
            <w:vAlign w:val="center"/>
          </w:tcPr>
          <w:p w14:paraId="7A598DB6" w14:textId="77777777" w:rsidR="00DF543D"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Direct - MNIR</w:t>
            </w:r>
          </w:p>
          <w:p w14:paraId="589E7CD8" w14:textId="77777777" w:rsidR="0047606C" w:rsidRPr="00706F03" w:rsidRDefault="00DF543D" w:rsidP="002E2F39">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2E2F39">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2E2F39">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4"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13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5"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2127"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0"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2E2F39">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4"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13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5"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0"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2E2F39">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4"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13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5"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2127"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0"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2E2F39">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4"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13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5"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2127"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0"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0341814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整體而言，四類資料集結果方向一致，顯示在本研究資料與超參數設定下，</w:t>
      </w:r>
      <w:r w:rsidR="001E5412" w:rsidRPr="00706F03">
        <w:rPr>
          <w:rFonts w:cs="Times New Roman"/>
        </w:rPr>
        <w:t xml:space="preserve">Chi-square + SVM </w:t>
      </w:r>
      <w:r w:rsidR="00DF543D" w:rsidRPr="00706F03">
        <w:rPr>
          <w:rFonts w:cs="Times New Roman" w:hint="eastAsia"/>
        </w:rPr>
        <w:t>對比</w:t>
      </w:r>
      <w:r w:rsidRPr="00706F03">
        <w:rPr>
          <w:rFonts w:cs="Times New Roman"/>
        </w:rPr>
        <w:t xml:space="preserve"> </w:t>
      </w:r>
      <w:r w:rsidR="001E5412" w:rsidRPr="00706F03">
        <w:rPr>
          <w:rFonts w:cs="Times New Roman"/>
        </w:rPr>
        <w:t>Chi-square + MNIR + SVM</w:t>
      </w:r>
      <w:r w:rsidRPr="00706F03">
        <w:rPr>
          <w:rFonts w:cs="Times New Roman"/>
        </w:rPr>
        <w:t xml:space="preserve"> </w:t>
      </w:r>
      <w:r w:rsidRPr="00706F03">
        <w:rPr>
          <w:rFonts w:cs="Times New Roman"/>
        </w:rPr>
        <w:t>取得較佳分類表現。</w:t>
      </w:r>
      <w:r w:rsidR="00CE420E" w:rsidRPr="00706F03">
        <w:rPr>
          <w:rFonts w:cs="Times New Roman"/>
        </w:rPr>
        <w:t>換言之，在本研究的實驗設定中，</w:t>
      </w:r>
      <w:r w:rsidR="00CE420E" w:rsidRPr="00706F03">
        <w:rPr>
          <w:rFonts w:cs="Times New Roman"/>
        </w:rPr>
        <w:lastRenderedPageBreak/>
        <w:t>加入</w:t>
      </w:r>
      <w:r w:rsidR="00CE420E" w:rsidRPr="00706F03">
        <w:rPr>
          <w:rFonts w:cs="Times New Roman"/>
        </w:rPr>
        <w:t xml:space="preserve"> MNIR </w:t>
      </w:r>
      <w:r w:rsidR="00CE420E" w:rsidRPr="00706F03">
        <w:rPr>
          <w:rFonts w:cs="Times New Roman"/>
        </w:rPr>
        <w:t>特徵轉換並未在</w:t>
      </w:r>
      <w:r w:rsidR="00CE420E" w:rsidRPr="00706F03">
        <w:rPr>
          <w:rFonts w:cs="Times New Roman"/>
        </w:rPr>
        <w:t xml:space="preserve"> Chi-square + SVM </w:t>
      </w:r>
      <w:r w:rsidR="00CE420E" w:rsidRPr="00706F03">
        <w:rPr>
          <w:rFonts w:cs="Times New Roman"/>
        </w:rPr>
        <w:t>的基礎上帶來額外分類增益。此一結果可從法律文本特性、特徵壓縮效果與高維稀疏表示三個面向加以理解。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w:t>
      </w:r>
      <w:r w:rsidRPr="00706F03">
        <w:rPr>
          <w:rFonts w:cs="Times New Roman"/>
        </w:rPr>
        <w:t xml:space="preserve">Chi-square + SVM </w:t>
      </w:r>
      <w:r w:rsidRPr="00706F03">
        <w:rPr>
          <w:rFonts w:cs="Times New Roman"/>
        </w:rPr>
        <w:t>可直接利用這些具有判別力的稀疏詞彙特徵進行分類，不一定需要再透過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w:t>
      </w:r>
      <w:r w:rsidRPr="00706F03">
        <w:rPr>
          <w:rFonts w:cs="Times New Roman"/>
        </w:rPr>
        <w:t xml:space="preserve">MNIR </w:t>
      </w:r>
      <w:r w:rsidRPr="00706F03">
        <w:rPr>
          <w:rFonts w:cs="Times New Roman"/>
        </w:rPr>
        <w:t>並非無效，而是在本研究資料結構下，其低維化過程可能未能完整保留少數類別所需的判別訊息。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w:t>
      </w:r>
      <w:r w:rsidRPr="00706F03">
        <w:rPr>
          <w:rFonts w:cs="Times New Roman" w:hint="eastAsia"/>
        </w:rPr>
        <w:t xml:space="preserve">Chi-square + SVM </w:t>
      </w:r>
      <w:r w:rsidRPr="00706F03">
        <w:rPr>
          <w:rFonts w:cs="Times New Roman" w:hint="eastAsia"/>
        </w:rPr>
        <w:t>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w:t>
      </w:r>
      <w:r w:rsidRPr="00706F03">
        <w:rPr>
          <w:rFonts w:cs="Times New Roman" w:hint="eastAsia"/>
        </w:rPr>
        <w:t xml:space="preserve"> Lose</w:t>
      </w:r>
      <w:r w:rsidRPr="00706F03">
        <w:rPr>
          <w:rFonts w:cs="Times New Roman" w:hint="eastAsia"/>
        </w:rPr>
        <w:t>、</w:t>
      </w:r>
      <w:r w:rsidRPr="00706F03">
        <w:rPr>
          <w:rFonts w:cs="Times New Roman" w:hint="eastAsia"/>
        </w:rPr>
        <w:t xml:space="preserve">Mixed </w:t>
      </w:r>
      <w:r w:rsidRPr="00706F03">
        <w:rPr>
          <w:rFonts w:cs="Times New Roman" w:hint="eastAsia"/>
        </w:rPr>
        <w:t>與</w:t>
      </w:r>
      <w:r w:rsidRPr="00706F03">
        <w:rPr>
          <w:rFonts w:cs="Times New Roman" w:hint="eastAsia"/>
        </w:rPr>
        <w:t xml:space="preserve"> Win </w:t>
      </w:r>
      <w:r w:rsidRPr="00706F03">
        <w:rPr>
          <w:rFonts w:cs="Times New Roman" w:hint="eastAsia"/>
        </w:rPr>
        <w:t>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w:t>
      </w:r>
      <w:r w:rsidRPr="00706F03">
        <w:rPr>
          <w:rFonts w:cs="Times New Roman" w:hint="eastAsia"/>
        </w:rPr>
        <w:t xml:space="preserve">Chi-square + SVM </w:t>
      </w:r>
      <w:r w:rsidRPr="00706F03">
        <w:rPr>
          <w:rFonts w:cs="Times New Roman" w:hint="eastAsia"/>
        </w:rPr>
        <w:t>直接保留高維稀疏文字特徵，可能比先經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w:t>
      </w:r>
      <w:r w:rsidRPr="00706F03">
        <w:rPr>
          <w:rFonts w:cs="Times New Roman"/>
        </w:rPr>
        <w:t xml:space="preserve">Chi-square + SVM </w:t>
      </w:r>
      <w:r w:rsidRPr="00706F03">
        <w:rPr>
          <w:rFonts w:cs="Times New Roman"/>
        </w:rPr>
        <w:t>優於</w:t>
      </w:r>
      <w:r w:rsidRPr="00706F03">
        <w:rPr>
          <w:rFonts w:cs="Times New Roman"/>
        </w:rPr>
        <w:t xml:space="preserve"> Chi-square + MNIR + SVM </w:t>
      </w:r>
      <w:r w:rsidRPr="00706F03">
        <w:rPr>
          <w:rFonts w:cs="Times New Roman"/>
        </w:rPr>
        <w:t>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w:t>
      </w:r>
      <w:r w:rsidRPr="00706F03">
        <w:rPr>
          <w:rFonts w:cs="Times New Roman"/>
        </w:rPr>
        <w:lastRenderedPageBreak/>
        <w:t>律文本之分類訊號可能分散於多個高維詞彙特徵的情況下，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w:t>
      </w:r>
      <w:r w:rsidRPr="00706F03">
        <w:lastRenderedPageBreak/>
        <w:t>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5CF7F6EB">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w:t>
      </w:r>
      <w:r w:rsidRPr="00706F03">
        <w:lastRenderedPageBreak/>
        <w:t>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w:t>
      </w:r>
      <w:r w:rsidRPr="007A051D">
        <w:rPr>
          <w:rFonts w:cs="Times New Roman" w:hint="eastAsia"/>
        </w:rPr>
        <w:lastRenderedPageBreak/>
        <w:t>於錯誤數量較高，且合計占全部錯誤分類</w:t>
      </w:r>
      <w:r w:rsidRPr="007A051D">
        <w:rPr>
          <w:rFonts w:cs="Times New Roman" w:hint="eastAsia"/>
        </w:rPr>
        <w:t>91.2%</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w:t>
      </w:r>
      <w:r w:rsidRPr="00706F03">
        <w:rPr>
          <w:rFonts w:cs="Times New Roman"/>
        </w:rPr>
        <w:lastRenderedPageBreak/>
        <w:t>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w:t>
      </w:r>
      <w:r w:rsidRPr="00706F03">
        <w:rPr>
          <w:rFonts w:cs="Times New Roman"/>
        </w:rPr>
        <w:t>。</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77777777"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因此，後續研究若欲提升少數類別表現，除處理類別不平衡外，也可進一步細分部分勝訴型態。亦可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w:t>
      </w:r>
      <w:r w:rsidRPr="00706F03">
        <w:rPr>
          <w:rFonts w:cs="Times New Roman"/>
        </w:rPr>
        <w:lastRenderedPageBreak/>
        <w:t>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32285D5D" w14:textId="77777777" w:rsidR="004A07C8" w:rsidRPr="00706F03" w:rsidRDefault="001F5B08" w:rsidP="0004071A">
      <w:pPr>
        <w:spacing w:line="276" w:lineRule="auto"/>
        <w:ind w:firstLine="480"/>
        <w:rPr>
          <w:rFonts w:cs="Times New Roman"/>
        </w:rPr>
      </w:pPr>
      <w:r w:rsidRPr="00706F03">
        <w:rPr>
          <w:rFonts w:cs="Times New Roman"/>
        </w:rPr>
        <w:t>本章結果顯示，在移除明顯裁判結果詞彙後之文本版本下，</w:t>
      </w:r>
      <w:r w:rsidR="001E5412" w:rsidRPr="00706F03">
        <w:rPr>
          <w:rFonts w:cs="Times New Roman"/>
        </w:rPr>
        <w:t>Chi-square + MNIR + SVM</w:t>
      </w:r>
      <w:r w:rsidRPr="00706F03">
        <w:rPr>
          <w:rFonts w:cs="Times New Roman"/>
        </w:rPr>
        <w:t xml:space="preserve"> </w:t>
      </w:r>
      <w:r w:rsidRPr="00706F03">
        <w:rPr>
          <w:rFonts w:cs="Times New Roman"/>
        </w:rPr>
        <w:t>可形成一套可執行的智慧財產權判決文本分類流程；然而，在本研究資料與超參數設定下，</w:t>
      </w:r>
      <w:r w:rsidR="001E5412" w:rsidRPr="00706F03">
        <w:rPr>
          <w:rFonts w:cs="Times New Roman"/>
        </w:rPr>
        <w:t>Chi-square + MNIR + SVM</w:t>
      </w:r>
      <w:r w:rsidRPr="00706F03">
        <w:rPr>
          <w:rFonts w:cs="Times New Roman"/>
        </w:rPr>
        <w:t xml:space="preserve"> </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未帶來</w:t>
      </w:r>
      <w:r w:rsidRPr="00706F03">
        <w:rPr>
          <w:rFonts w:cs="Times New Roman"/>
        </w:rPr>
        <w:t>額外增益。</w:t>
      </w:r>
    </w:p>
    <w:p w14:paraId="51928CDB" w14:textId="77777777"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w:t>
      </w:r>
      <w:r w:rsidRPr="00706F03">
        <w:rPr>
          <w:rFonts w:cs="Times New Roman"/>
        </w:rPr>
        <w:t xml:space="preserve">Chi-square + SVM </w:t>
      </w:r>
      <w:r w:rsidRPr="00706F03">
        <w:rPr>
          <w:rFonts w:cs="Times New Roman"/>
        </w:rPr>
        <w:t>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w:t>
      </w:r>
      <w:r w:rsidRPr="00706F03">
        <w:rPr>
          <w:rFonts w:cs="Times New Roman"/>
        </w:rPr>
        <w:t xml:space="preserve"> </w:t>
      </w:r>
      <w:r w:rsidR="001E5412" w:rsidRPr="00706F03">
        <w:rPr>
          <w:rFonts w:cs="Times New Roman"/>
        </w:rPr>
        <w:t>Chi-square + MNIR + SVM</w:t>
      </w:r>
      <w:r w:rsidRPr="00706F03">
        <w:rPr>
          <w:rFonts w:cs="Times New Roman"/>
        </w:rPr>
        <w:t>，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w:t>
      </w:r>
      <w:r w:rsidRPr="00706F03">
        <w:rPr>
          <w:rFonts w:cs="Times New Roman"/>
        </w:rPr>
        <w:lastRenderedPageBreak/>
        <w:t>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敗訴、部分勝訴與勝訴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監督式特徵轉換是否能將高維法律文本特徵轉換為較具判別力的低維表示，進而改善裁判結果分類。然而，實證結果顯示，在本研究資料、標籤設定與超參數範圍下，</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雖可形成一套可執行的分類流程，但相較於</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007019C8" w:rsidRPr="00706F03">
        <w:rPr>
          <w:rFonts w:cs="Times New Roman" w:hint="eastAsia"/>
          <w:szCs w:val="28"/>
        </w:rPr>
        <w:t>未</w:t>
      </w:r>
      <w:r w:rsidRPr="00706F03">
        <w:rPr>
          <w:rFonts w:cs="Times New Roman"/>
          <w:szCs w:val="28"/>
        </w:rPr>
        <w:t>取得更佳表現。四類案件資料集中，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，顯示卡方特徵選擇後的稀疏文字特徵已保留相當程度與裁判結果相關的分類訊息。因此，本研究並不將此結果解讀為</w:t>
      </w:r>
      <w:r w:rsidRPr="00706F03">
        <w:rPr>
          <w:rFonts w:cs="Times New Roman"/>
          <w:szCs w:val="28"/>
        </w:rPr>
        <w:t xml:space="preserve"> MNIR </w:t>
      </w:r>
      <w:r w:rsidRPr="00706F03">
        <w:rPr>
          <w:rFonts w:cs="Times New Roman"/>
          <w:szCs w:val="28"/>
        </w:rPr>
        <w:t>方法本身無效，而是指出在本研究任務中，直接使用篩選後之高維稀疏詞彙特徵，反而較能保留分類所需訊息。其次，不同文字特徵表示在不同案件類型下呈現不同效果。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w:t>
      </w:r>
      <w:r w:rsidRPr="00706F03">
        <w:rPr>
          <w:rFonts w:cs="Times New Roman"/>
          <w:szCs w:val="28"/>
        </w:rPr>
        <w:lastRenderedPageBreak/>
        <w:t>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77777777"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 xml:space="preserve">Chi-square + MNIR + SVM </w:t>
      </w:r>
      <w:r w:rsidR="001E5412" w:rsidRPr="00706F03">
        <w:rPr>
          <w:rFonts w:cs="Times New Roman"/>
          <w:szCs w:val="28"/>
        </w:rPr>
        <w:t>未優於</w:t>
      </w:r>
      <w:r w:rsidR="001E5412" w:rsidRPr="00706F03">
        <w:rPr>
          <w:rFonts w:cs="Times New Roman"/>
          <w:szCs w:val="28"/>
        </w:rPr>
        <w:t xml:space="preserve"> Chi-square + SVM</w:t>
      </w:r>
      <w:r w:rsidRPr="00706F03">
        <w:rPr>
          <w:rFonts w:cs="Times New Roman"/>
          <w:szCs w:val="28"/>
        </w:rPr>
        <w:t>。此結果表示，在本研究資料、標籤設定與超參數範圍下，</w:t>
      </w:r>
      <w:r w:rsidRPr="00706F03">
        <w:rPr>
          <w:rFonts w:cs="Times New Roman"/>
          <w:szCs w:val="28"/>
        </w:rPr>
        <w:t xml:space="preserve">MNIR </w:t>
      </w:r>
      <w:r w:rsidRPr="00706F03">
        <w:rPr>
          <w:rFonts w:cs="Times New Roman"/>
          <w:szCs w:val="28"/>
        </w:rPr>
        <w:t>的降維優勢並未轉化為較佳分類效果。相對地，卡方篩選後的高維稀疏詞彙特徵仍具有重要分類價值。因此，本研究對</w:t>
      </w:r>
      <w:r w:rsidRPr="00706F03">
        <w:rPr>
          <w:rFonts w:cs="Times New Roman"/>
          <w:szCs w:val="28"/>
        </w:rPr>
        <w:t xml:space="preserve"> MNIR </w:t>
      </w:r>
      <w:r w:rsidRPr="00706F03">
        <w:rPr>
          <w:rFonts w:cs="Times New Roman"/>
          <w:szCs w:val="28"/>
        </w:rPr>
        <w:t>在中文智慧財產權判決文本分類中的適用條件與限制，提供了具體經驗證據。</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w:t>
      </w:r>
      <w:r w:rsidRPr="00706F03">
        <w:rPr>
          <w:rFonts w:cs="Times New Roman"/>
          <w:szCs w:val="28"/>
        </w:rPr>
        <w:t xml:space="preserve">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一步使用</w:t>
      </w:r>
      <w:r w:rsidRPr="00706F03">
        <w:rPr>
          <w:rFonts w:cs="Times New Roman"/>
          <w:szCs w:val="28"/>
        </w:rPr>
        <w:t xml:space="preserve"> Macro F1</w:t>
      </w:r>
      <w:r w:rsidRPr="00706F03">
        <w:rPr>
          <w:rFonts w:cs="Times New Roman"/>
          <w:szCs w:val="28"/>
        </w:rPr>
        <w:t>、分類報告與混淆矩陣，檢視模型在</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三類結果上的</w:t>
      </w:r>
      <w:r w:rsidRPr="00706F03">
        <w:rPr>
          <w:rFonts w:cs="Times New Roman"/>
          <w:szCs w:val="28"/>
        </w:rPr>
        <w:lastRenderedPageBreak/>
        <w:t>辨識能力。此一評估方式有助於揭露少數類別的分類限制，避免模型因主要預測多數類別而被高估。</w:t>
      </w:r>
    </w:p>
    <w:p w14:paraId="51B0CDD6" w14:textId="77777777" w:rsidR="002E2F39" w:rsidRPr="00706F03" w:rsidRDefault="00704996" w:rsidP="002E2F39">
      <w:pPr>
        <w:widowControl/>
        <w:spacing w:line="276" w:lineRule="auto"/>
        <w:rPr>
          <w:rFonts w:cs="Times New Roman"/>
          <w:szCs w:val="28"/>
        </w:rPr>
      </w:pPr>
      <w:r w:rsidRPr="00706F03">
        <w:rPr>
          <w:rFonts w:cs="Times New Roman"/>
          <w:szCs w:val="28"/>
        </w:rPr>
        <w:t>第三，在實務貢獻方面，本研究可作為智慧財產權判決文本整理與初步分類之參考。公開裁判書數量龐大。若完全仰賴人工閱讀與標記，將耗費大量時間與人力。本研究建立之分類流程，可協助研究者或實務工作者對大量智慧財產權判決進行初步整理。此流程亦可用於掌握不同案件類型與裁判結果分布，並作為後續人工審查、實證法律研究或法律科技系統開發的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77777777" w:rsidR="00704996" w:rsidRPr="00706F03" w:rsidRDefault="00704996" w:rsidP="007B138D">
      <w:pPr>
        <w:widowControl/>
        <w:spacing w:line="276" w:lineRule="auto"/>
        <w:rPr>
          <w:rFonts w:cs="Times New Roman"/>
          <w:szCs w:val="28"/>
        </w:rPr>
      </w:pPr>
      <w:r w:rsidRPr="00706F03">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大量判決文本初步分類、研究樣本整理與法律科技系統開發之輔助基礎，而不宜直接作為個案勝敗預測或法律意見之依據。</w:t>
      </w:r>
    </w:p>
    <w:p w14:paraId="130A9FD5" w14:textId="77777777"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綜合而言，本研究的貢獻不僅在於建立智慧財產權判決結果分類模型，更在於三個面向。理論上，本研究說明不同文字特徵表示與</w:t>
      </w:r>
      <w:r w:rsidRPr="00706F03">
        <w:rPr>
          <w:rFonts w:cs="Times New Roman"/>
          <w:szCs w:val="28"/>
        </w:rPr>
        <w:t xml:space="preserve"> MNIR </w:t>
      </w:r>
      <w:r w:rsidRPr="00706F03">
        <w:rPr>
          <w:rFonts w:cs="Times New Roman"/>
          <w:szCs w:val="28"/>
        </w:rPr>
        <w:t>監督式特徵轉換在法律文本分類中的適用差異。方法上，本研究建立可重複比較的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77777777" w:rsidR="00053F92" w:rsidRPr="00706F03" w:rsidRDefault="00872992" w:rsidP="0066788F">
      <w:pPr>
        <w:widowControl/>
        <w:spacing w:line="276" w:lineRule="auto"/>
        <w:rPr>
          <w:rFonts w:cs="Times New Roman"/>
          <w:szCs w:val="28"/>
        </w:rPr>
      </w:pPr>
      <w:r w:rsidRPr="00872992">
        <w:rPr>
          <w:rFonts w:cs="Times New Roman" w:hint="eastAsia"/>
          <w:szCs w:val="28"/>
        </w:rPr>
        <w:t>第一，本研究仍無法完全排除資料洩漏風險。首先，本研究雖已移除「駁回」、「有理由」、「准許」、「撤銷」等明顯裁判結果詞彙，以降低模型直接依賴結果詞彙進行分類的疑慮，但法律文本中仍可能保留間接反映裁判結果的線索，例如語境、請求類型、程序狀態或裁判理由結構。其次，本研究於資料集劃分前建立</w:t>
      </w:r>
      <w:r>
        <w:rPr>
          <w:rFonts w:cs="Times New Roman"/>
          <w:szCs w:val="28"/>
        </w:rPr>
        <w:t xml:space="preserve"> DTM</w:t>
      </w:r>
      <w:r w:rsidRPr="00872992">
        <w:rPr>
          <w:rFonts w:cs="Times New Roman" w:hint="eastAsia"/>
          <w:szCs w:val="28"/>
        </w:rPr>
        <w:t>，其中</w:t>
      </w:r>
      <w:r w:rsidRPr="00872992">
        <w:rPr>
          <w:rFonts w:cs="Times New Roman" w:hint="eastAsia"/>
          <w:szCs w:val="28"/>
        </w:rPr>
        <w:t>TF-IDF</w:t>
      </w:r>
      <w:r w:rsidRPr="00872992">
        <w:rPr>
          <w:rFonts w:cs="Times New Roman" w:hint="eastAsia"/>
          <w:szCs w:val="28"/>
        </w:rPr>
        <w:t>之</w:t>
      </w:r>
      <w:r w:rsidRPr="00872992">
        <w:rPr>
          <w:rFonts w:cs="Times New Roman" w:hint="eastAsia"/>
          <w:szCs w:val="28"/>
        </w:rPr>
        <w:t>IDF</w:t>
      </w:r>
      <w:r w:rsidRPr="00872992">
        <w:rPr>
          <w:rFonts w:cs="Times New Roman" w:hint="eastAsia"/>
          <w:szCs w:val="28"/>
        </w:rPr>
        <w:t>權重係依全部文件之</w:t>
      </w:r>
      <w:r w:rsidRPr="00872992">
        <w:rPr>
          <w:rFonts w:cs="Times New Roman" w:hint="eastAsia"/>
          <w:szCs w:val="28"/>
        </w:rPr>
        <w:lastRenderedPageBreak/>
        <w:t>文件頻率計算，因此可能包含驗證集與測試集之詞彙分布資訊。雖然後續卡方特徵選擇、</w:t>
      </w:r>
      <w:r w:rsidRPr="00872992">
        <w:rPr>
          <w:rFonts w:cs="Times New Roman" w:hint="eastAsia"/>
          <w:szCs w:val="28"/>
        </w:rPr>
        <w:t>MNIR</w:t>
      </w:r>
      <w:r w:rsidRPr="00872992">
        <w:rPr>
          <w:rFonts w:cs="Times New Roman" w:hint="eastAsia"/>
          <w:szCs w:val="28"/>
        </w:rPr>
        <w:t>估計、</w:t>
      </w:r>
      <w:r w:rsidRPr="00872992">
        <w:rPr>
          <w:rFonts w:cs="Times New Roman" w:hint="eastAsia"/>
          <w:szCs w:val="28"/>
        </w:rPr>
        <w:t>SVM</w:t>
      </w:r>
      <w:r w:rsidRPr="00872992">
        <w:rPr>
          <w:rFonts w:cs="Times New Roman" w:hint="eastAsia"/>
          <w:szCs w:val="28"/>
        </w:rPr>
        <w:t>訓練及超參數選擇皆未使用測試集進行估計或調整，</w:t>
      </w:r>
      <w:r w:rsidRPr="00872992">
        <w:rPr>
          <w:rFonts w:cs="Times New Roman" w:hint="eastAsia"/>
          <w:szCs w:val="28"/>
        </w:rPr>
        <w:t>TF-IDF</w:t>
      </w:r>
      <w:r w:rsidRPr="00872992">
        <w:rPr>
          <w:rFonts w:cs="Times New Roman" w:hint="eastAsia"/>
          <w:szCs w:val="28"/>
        </w:rPr>
        <w:t>特徵建構階段仍可能存在非監督式資料洩漏風險。未來研究宜先完成資料集劃分，再僅以訓練集估計</w:t>
      </w:r>
      <w:r w:rsidRPr="00872992">
        <w:rPr>
          <w:rFonts w:cs="Times New Roman" w:hint="eastAsia"/>
          <w:szCs w:val="28"/>
        </w:rPr>
        <w:t>IDF</w:t>
      </w:r>
      <w:r w:rsidRPr="00872992">
        <w:rPr>
          <w:rFonts w:cs="Times New Roman" w:hint="eastAsia"/>
          <w:szCs w:val="28"/>
        </w:rPr>
        <w:t>權重，並將相同轉換規則套用至驗證集與測試集，以降低資料洩漏風險。</w:t>
      </w:r>
    </w:p>
    <w:p w14:paraId="14DD4B84" w14:textId="77777777"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Pr>
          <w:rFonts w:cs="Times New Roman" w:hint="eastAsia"/>
          <w:szCs w:val="28"/>
        </w:rPr>
        <w:t xml:space="preserve"> </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w:t>
      </w:r>
      <w:r w:rsidRPr="00751733">
        <w:rPr>
          <w:rFonts w:cs="Times New Roman" w:hint="eastAsia"/>
          <w:szCs w:val="28"/>
        </w:rPr>
        <w:t>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Lose</w:t>
      </w:r>
      <w:r w:rsidRPr="00D32995">
        <w:rPr>
          <w:rFonts w:cs="Times New Roman"/>
          <w:szCs w:val="28"/>
        </w:rPr>
        <w:t>、</w:t>
      </w:r>
      <w:r w:rsidRPr="00D32995">
        <w:rPr>
          <w:rFonts w:cs="Times New Roman"/>
          <w:szCs w:val="28"/>
        </w:rPr>
        <w:t>Mixed</w:t>
      </w:r>
      <w:r w:rsidRPr="00D32995">
        <w:rPr>
          <w:rFonts w:cs="Times New Roman"/>
          <w:szCs w:val="28"/>
        </w:rPr>
        <w:t>與</w:t>
      </w:r>
      <w:r w:rsidRPr="00D32995">
        <w:rPr>
          <w:rFonts w:cs="Times New Roman"/>
          <w:szCs w:val="28"/>
        </w:rPr>
        <w:t>Win</w:t>
      </w:r>
      <w:r w:rsidRPr="00D32995">
        <w:rPr>
          <w:rFonts w:cs="Times New Roman"/>
          <w:szCs w:val="28"/>
        </w:rPr>
        <w:t>三類。然而，</w:t>
      </w:r>
      <w:r w:rsidRPr="00D32995">
        <w:rPr>
          <w:rFonts w:cs="Times New Roman"/>
          <w:szCs w:val="28"/>
        </w:rPr>
        <w:t>Mixed</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Mixed</w:t>
      </w:r>
      <w:r w:rsidRPr="00D32995">
        <w:rPr>
          <w:rFonts w:cs="Times New Roman"/>
          <w:szCs w:val="28"/>
        </w:rPr>
        <w:t>，但其法律意義與文本特徵未必一致，因此可能具有較高的類別內異質性。模型對</w:t>
      </w:r>
      <w:r w:rsidRPr="00D32995">
        <w:rPr>
          <w:rFonts w:cs="Times New Roman"/>
          <w:szCs w:val="28"/>
        </w:rPr>
        <w:t>Mixed</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70%</w:t>
      </w:r>
      <w:r w:rsidRPr="00383AAC">
        <w:rPr>
          <w:rFonts w:cs="Times New Roman"/>
          <w:szCs w:val="28"/>
        </w:rPr>
        <w:t>、</w:t>
      </w:r>
      <w:r w:rsidRPr="00383AAC">
        <w:rPr>
          <w:rFonts w:cs="Times New Roman"/>
          <w:szCs w:val="28"/>
        </w:rPr>
        <w:t>10%</w:t>
      </w:r>
      <w:r w:rsidRPr="00383AAC">
        <w:rPr>
          <w:rFonts w:cs="Times New Roman"/>
          <w:szCs w:val="28"/>
        </w:rPr>
        <w:t>與</w:t>
      </w:r>
      <w:r w:rsidRPr="00383AAC">
        <w:rPr>
          <w:rFonts w:cs="Times New Roman"/>
          <w:szCs w:val="28"/>
        </w:rPr>
        <w:t>20%</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paired bootstrap</w:t>
      </w:r>
      <w:r w:rsidRPr="00383AAC">
        <w:rPr>
          <w:rFonts w:cs="Times New Roman"/>
          <w:szCs w:val="28"/>
        </w:rPr>
        <w:t>檢視固定測試集下</w:t>
      </w:r>
      <w:r w:rsidRPr="00383AAC">
        <w:rPr>
          <w:rFonts w:cs="Times New Roman"/>
          <w:szCs w:val="28"/>
        </w:rPr>
        <w:t>Chi-square + SVM</w:t>
      </w:r>
      <w:r w:rsidRPr="00383AAC">
        <w:rPr>
          <w:rFonts w:cs="Times New Roman"/>
          <w:szCs w:val="28"/>
        </w:rPr>
        <w:t>與</w:t>
      </w:r>
      <w:r w:rsidRPr="00383AAC">
        <w:rPr>
          <w:rFonts w:cs="Times New Roman"/>
          <w:szCs w:val="28"/>
        </w:rPr>
        <w:t>Chi-square + MNIR + SVM</w:t>
      </w:r>
      <w:r w:rsidRPr="00383AAC">
        <w:rPr>
          <w:rFonts w:cs="Times New Roman"/>
          <w:szCs w:val="28"/>
        </w:rPr>
        <w:t>之表現差異，但該分析未涵蓋不同資料切分與重新訓練模型所產生的變異。因此，本研究結果仍可能受到特定樣本切分影響。後續研究可進一步採用</w:t>
      </w:r>
      <w:r w:rsidRPr="00383AAC">
        <w:rPr>
          <w:rFonts w:cs="Times New Roman"/>
          <w:szCs w:val="28"/>
        </w:rPr>
        <w:t>k-fold cross 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77777777"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例如程序狀態、爭點</w:t>
      </w:r>
      <w:r w:rsidRPr="00706F03">
        <w:rPr>
          <w:rFonts w:cs="Times New Roman"/>
          <w:szCs w:val="28"/>
        </w:rPr>
        <w:lastRenderedPageBreak/>
        <w:t>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BoW</w:t>
      </w:r>
      <w:r w:rsidRPr="00433214">
        <w:rPr>
          <w:rFonts w:cs="Times New Roman" w:hint="eastAsia"/>
          <w:szCs w:val="28"/>
        </w:rPr>
        <w:t>、</w:t>
      </w:r>
      <w:r w:rsidRPr="00433214">
        <w:rPr>
          <w:rFonts w:cs="Times New Roman" w:hint="eastAsia"/>
          <w:szCs w:val="28"/>
        </w:rPr>
        <w:t>TF</w:t>
      </w:r>
      <w:r w:rsidRPr="00433214">
        <w:rPr>
          <w:rFonts w:cs="Times New Roman" w:hint="eastAsia"/>
          <w:szCs w:val="28"/>
        </w:rPr>
        <w:t>與</w:t>
      </w:r>
      <w:r w:rsidRPr="00433214">
        <w:rPr>
          <w:rFonts w:cs="Times New Roman" w:hint="eastAsia"/>
          <w:szCs w:val="28"/>
        </w:rPr>
        <w:t>TF-IDF</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w:t>
      </w:r>
      <w:r w:rsidR="001E5412" w:rsidRPr="00706F03">
        <w:rPr>
          <w:rFonts w:cs="Times New Roman"/>
          <w:szCs w:val="28"/>
        </w:rPr>
        <w:t>Chi-square + MNIR + SVM</w:t>
      </w:r>
      <w:r w:rsidRPr="00706F03">
        <w:rPr>
          <w:rFonts w:cs="Times New Roman"/>
          <w:szCs w:val="28"/>
        </w:rPr>
        <w:t xml:space="preserve"> </w:t>
      </w:r>
      <w:r w:rsidR="001E5412" w:rsidRPr="00706F03">
        <w:rPr>
          <w:rFonts w:cs="Times New Roman"/>
          <w:szCs w:val="28"/>
        </w:rPr>
        <w:t>相較於</w:t>
      </w:r>
      <w:r w:rsidR="001E5412" w:rsidRPr="00706F03">
        <w:rPr>
          <w:rFonts w:cs="Times New Roman"/>
          <w:szCs w:val="28"/>
        </w:rPr>
        <w:t xml:space="preserve"> Chi-square + SVM </w:t>
      </w:r>
      <w:r w:rsidR="001E5412" w:rsidRPr="00706F03">
        <w:rPr>
          <w:rFonts w:cs="Times New Roman"/>
          <w:szCs w:val="28"/>
        </w:rPr>
        <w:t>未取得</w:t>
      </w:r>
      <w:r w:rsidRPr="00706F03">
        <w:rPr>
          <w:rFonts w:cs="Times New Roman"/>
          <w:szCs w:val="28"/>
        </w:rPr>
        <w:t>較佳表現。然而，此結果應限縮於本研究資料、標籤設定、文本處理方式與超參數範圍之下。本研究不能據此推論</w:t>
      </w:r>
      <w:r w:rsidRPr="00706F03">
        <w:rPr>
          <w:rFonts w:cs="Times New Roman"/>
          <w:szCs w:val="28"/>
        </w:rPr>
        <w:t xml:space="preserve"> MNIR </w:t>
      </w:r>
      <w:r w:rsidRPr="00706F03">
        <w:rPr>
          <w:rFonts w:cs="Times New Roman"/>
          <w:szCs w:val="28"/>
        </w:rPr>
        <w:t>在所有法律文本分類任務中皆不具效果。若後續研究採用不同案件類型、不同標籤設計、不同特徵數設定、重複交叉驗證或其他下游分類器，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MNIR</w:t>
      </w:r>
      <w:r w:rsidR="00433214" w:rsidRPr="00433214">
        <w:rPr>
          <w:rFonts w:cs="Times New Roman" w:hint="eastAsia"/>
          <w:szCs w:val="28"/>
        </w:rPr>
        <w:t>將卡方篩選後之</w:t>
      </w:r>
      <w:r w:rsidR="00433214" w:rsidRPr="00433214">
        <w:rPr>
          <w:rFonts w:cs="Times New Roman" w:hint="eastAsia"/>
          <w:szCs w:val="28"/>
        </w:rPr>
        <w:t>1,000</w:t>
      </w:r>
      <w:r w:rsidR="00433214" w:rsidRPr="00433214">
        <w:rPr>
          <w:rFonts w:cs="Times New Roman" w:hint="eastAsia"/>
          <w:szCs w:val="28"/>
        </w:rPr>
        <w:t>或</w:t>
      </w:r>
      <w:r w:rsidR="00433214" w:rsidRPr="00433214">
        <w:rPr>
          <w:rFonts w:cs="Times New Roman" w:hint="eastAsia"/>
          <w:szCs w:val="28"/>
        </w:rPr>
        <w:t>5,000</w:t>
      </w:r>
      <w:r w:rsidR="00433214" w:rsidRPr="00433214">
        <w:rPr>
          <w:rFonts w:cs="Times New Roman" w:hint="eastAsia"/>
          <w:szCs w:val="28"/>
        </w:rPr>
        <w:t>維文字特徵轉換為</w:t>
      </w:r>
      <w:r w:rsidR="00433214" w:rsidRPr="00433214">
        <w:rPr>
          <w:rFonts w:cs="Times New Roman" w:hint="eastAsia"/>
          <w:szCs w:val="28"/>
        </w:rPr>
        <w:t>2</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w:t>
      </w:r>
      <w:r w:rsidRPr="00C10485">
        <w:rPr>
          <w:rFonts w:cs="Times New Roman" w:hint="eastAsia"/>
          <w:szCs w:val="28"/>
        </w:rPr>
        <w:t>Chi-square + MNIR + SVM</w:t>
      </w:r>
      <w:r w:rsidRPr="00C10485">
        <w:rPr>
          <w:rFonts w:cs="Times New Roman" w:hint="eastAsia"/>
          <w:szCs w:val="28"/>
        </w:rPr>
        <w:t>與</w:t>
      </w:r>
      <w:r w:rsidRPr="00C10485">
        <w:rPr>
          <w:rFonts w:cs="Times New Roman" w:hint="eastAsia"/>
          <w:szCs w:val="28"/>
        </w:rPr>
        <w:t>Chi-square + SVM</w:t>
      </w:r>
      <w:r w:rsidRPr="00C10485">
        <w:rPr>
          <w:rFonts w:cs="Times New Roman" w:hint="eastAsia"/>
          <w:szCs w:val="28"/>
        </w:rPr>
        <w:t>兩種模型流程，並以</w:t>
      </w:r>
      <w:r w:rsidRPr="00C10485">
        <w:rPr>
          <w:rFonts w:cs="Times New Roman" w:hint="eastAsia"/>
          <w:szCs w:val="28"/>
        </w:rPr>
        <w:t>BoW</w:t>
      </w:r>
      <w:r w:rsidRPr="00C10485">
        <w:rPr>
          <w:rFonts w:cs="Times New Roman" w:hint="eastAsia"/>
          <w:szCs w:val="28"/>
        </w:rPr>
        <w:t>、</w:t>
      </w:r>
      <w:r w:rsidRPr="00C10485">
        <w:rPr>
          <w:rFonts w:cs="Times New Roman" w:hint="eastAsia"/>
          <w:szCs w:val="28"/>
        </w:rPr>
        <w:t>TF</w:t>
      </w:r>
      <w:r w:rsidRPr="00C10485">
        <w:rPr>
          <w:rFonts w:cs="Times New Roman" w:hint="eastAsia"/>
          <w:szCs w:val="28"/>
        </w:rPr>
        <w:t>與</w:t>
      </w:r>
      <w:r w:rsidRPr="00C10485">
        <w:rPr>
          <w:rFonts w:cs="Times New Roman" w:hint="eastAsia"/>
          <w:szCs w:val="28"/>
        </w:rPr>
        <w:t>TF-IDF</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Chi-square + SVM</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w:t>
      </w:r>
      <w:r w:rsidRPr="00706F03">
        <w:rPr>
          <w:rFonts w:cs="Times New Roman"/>
          <w:szCs w:val="28"/>
        </w:rPr>
        <w:lastRenderedPageBreak/>
        <w:t>識能力密切相關。尤其本研究結果顯示，在本研究資料、文本處理方式與超參數設定下，</w:t>
      </w:r>
      <w:r w:rsidRPr="00706F03">
        <w:rPr>
          <w:rFonts w:cs="Times New Roman"/>
          <w:szCs w:val="28"/>
        </w:rPr>
        <w:t xml:space="preserve">Chi-square + MNIR + SVM </w:t>
      </w:r>
      <w:r w:rsidRPr="00706F03">
        <w:rPr>
          <w:rFonts w:cs="Times New Roman"/>
          <w:szCs w:val="28"/>
        </w:rPr>
        <w:t>流程相較於</w:t>
      </w:r>
      <w:r w:rsidRPr="00706F03">
        <w:rPr>
          <w:rFonts w:cs="Times New Roman"/>
          <w:szCs w:val="28"/>
        </w:rPr>
        <w:t xml:space="preserve"> Chi-square + SVM </w:t>
      </w:r>
      <w:r w:rsidRPr="00706F03">
        <w:rPr>
          <w:rFonts w:cs="Times New Roman"/>
          <w:szCs w:val="28"/>
        </w:rPr>
        <w:t>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後發現，在四類案件資料集中，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。此結果顯示，在本研究資料、標籤設定與超參數範圍下，</w:t>
      </w:r>
      <w:r w:rsidRPr="00706F03">
        <w:rPr>
          <w:rFonts w:cs="Times New Roman"/>
          <w:szCs w:val="28"/>
        </w:rPr>
        <w:t xml:space="preserve">MNIR </w:t>
      </w:r>
      <w:r w:rsidRPr="00706F03">
        <w:rPr>
          <w:rFonts w:cs="Times New Roman"/>
          <w:szCs w:val="28"/>
        </w:rPr>
        <w:t>監督式特徵轉換相較於直接使用卡方篩選後之稀疏文字特徵</w:t>
      </w:r>
      <w:r w:rsidR="007019C8" w:rsidRPr="00706F03">
        <w:rPr>
          <w:rFonts w:cs="Times New Roman" w:hint="eastAsia"/>
          <w:szCs w:val="28"/>
        </w:rPr>
        <w:t>並未</w:t>
      </w:r>
      <w:r w:rsidRPr="00706F03">
        <w:rPr>
          <w:rFonts w:cs="Times New Roman"/>
          <w:szCs w:val="28"/>
        </w:rPr>
        <w:t>取得更佳表現。然而，此結果不應被解讀為</w:t>
      </w:r>
      <w:r w:rsidRPr="00706F03">
        <w:rPr>
          <w:rFonts w:cs="Times New Roman"/>
          <w:szCs w:val="28"/>
        </w:rPr>
        <w:t xml:space="preserve"> MNIR </w:t>
      </w:r>
      <w:r w:rsidRPr="00706F03">
        <w:rPr>
          <w:rFonts w:cs="Times New Roman"/>
          <w:szCs w:val="28"/>
        </w:rPr>
        <w:t>方法本身無效，而應限縮理解為：在本研究已先透過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 xml:space="preserve"> </w:t>
      </w:r>
      <w:r w:rsidRPr="00706F03">
        <w:rPr>
          <w:rFonts w:cs="Times New Roman"/>
          <w:szCs w:val="28"/>
        </w:rPr>
        <w:t>可作為一個具可比較性的基準流程；若後續模型能在此基準之上進一步改善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w:t>
      </w:r>
      <w:r w:rsidR="001E5412" w:rsidRPr="00706F03">
        <w:rPr>
          <w:rFonts w:cs="Times New Roman"/>
          <w:szCs w:val="28"/>
        </w:rPr>
        <w:t>第四章</w:t>
      </w:r>
      <w:r w:rsidR="001E5412" w:rsidRPr="00706F03">
        <w:rPr>
          <w:rFonts w:cs="Times New Roman"/>
          <w:szCs w:val="28"/>
        </w:rPr>
        <w:t xml:space="preserve"> Chi-square + SVM </w:t>
      </w:r>
      <w:r w:rsidR="001E5412" w:rsidRPr="00706F03">
        <w:rPr>
          <w:rFonts w:cs="Times New Roman"/>
          <w:szCs w:val="28"/>
        </w:rPr>
        <w:t>之實證結果</w:t>
      </w:r>
      <w:r w:rsidRPr="00706F03">
        <w:rPr>
          <w:rFonts w:cs="Times New Roman"/>
          <w:szCs w:val="28"/>
        </w:rPr>
        <w:t>，整理在本研究資料條件下，不同案件類型可優先考慮之文字特徵與模型流程如下。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2134"/>
        <w:gridCol w:w="5953"/>
      </w:tblGrid>
      <w:tr w:rsidR="00ED5D1D" w:rsidRPr="00706F03" w14:paraId="48BEE58B" w14:textId="77777777" w:rsidTr="002E2F39">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91"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045"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2E2F39">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91"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tcBorders>
              <w:bottom w:val="single" w:sz="2" w:space="0" w:color="000000"/>
            </w:tcBorders>
            <w:vAlign w:val="center"/>
            <w:hideMark/>
          </w:tcPr>
          <w:p w14:paraId="08D57EF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2E2F39">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91"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045" w:type="pct"/>
            <w:tcBorders>
              <w:bottom w:val="single" w:sz="2" w:space="0" w:color="000000"/>
            </w:tcBorders>
            <w:vAlign w:val="center"/>
            <w:hideMark/>
          </w:tcPr>
          <w:p w14:paraId="3E8D468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2E2F39">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91"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045" w:type="pct"/>
            <w:tcBorders>
              <w:bottom w:val="single" w:sz="2" w:space="0" w:color="000000"/>
            </w:tcBorders>
            <w:vAlign w:val="center"/>
            <w:hideMark/>
          </w:tcPr>
          <w:p w14:paraId="0A12C8B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2E2F39">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91"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045" w:type="pct"/>
            <w:vAlign w:val="center"/>
            <w:hideMark/>
          </w:tcPr>
          <w:p w14:paraId="1210609F"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4-4</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表現最高，表示原始詞彙出現或次數可能已包含較明確之分類訊號。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建立相對清楚的分類流程，但目前仍主要呈現模型表現，尚未深入分析模型實際依賴哪些詞彙或語境進行判斷。因此，後續研究可進一步檢視高卡方詞彙、</w:t>
      </w:r>
      <w:r w:rsidRPr="00706F03">
        <w:rPr>
          <w:rFonts w:cs="Times New Roman"/>
          <w:szCs w:val="28"/>
        </w:rPr>
        <w:lastRenderedPageBreak/>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5FDD2FF0"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分類模型之比較，本研究發現，在本研究資料與設定下，</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具有較佳分類表現，顯示卡方篩選後之稀疏文字特徵已能保留相當程度的裁判結果分類訊息。因此，傳統文字特徵結合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可作為智慧財產權判決文本分類任務中具參考價值的基準流程。然而，本研究亦顯示，模型表現不應僅以整體準確率判斷。由於裁判結果存在</w:t>
      </w:r>
      <w:r w:rsidRPr="00706F03">
        <w:rPr>
          <w:rFonts w:cs="Times New Roman"/>
          <w:szCs w:val="28"/>
        </w:rPr>
        <w:lastRenderedPageBreak/>
        <w:t>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4737C2B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）。刑事訴訟須知。</w:t>
      </w:r>
      <w:r w:rsidRPr="00706F03">
        <w:rPr>
          <w:rFonts w:cs="Times New Roman"/>
          <w:i/>
        </w:rPr>
        <w:t>司法院全球資訊網</w:t>
      </w:r>
      <w:r w:rsidRPr="00706F03">
        <w:rPr>
          <w:rFonts w:cs="Times New Roman"/>
        </w:rPr>
        <w:t>。</w:t>
      </w:r>
      <w:hyperlink r:id="rId18" w:history="1">
        <w:r w:rsidRPr="00706F03">
          <w:rPr>
            <w:rStyle w:val="Hyperlink"/>
            <w:rFonts w:cs="Times New Roman"/>
            <w:color w:val="auto"/>
          </w:rPr>
          <w:t>https://www.judicial.gov.tw/tw/cp-165-28-683b6-1.html</w:t>
        </w:r>
      </w:hyperlink>
    </w:p>
    <w:p w14:paraId="6BC6DDCC"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009F05B0" w:rsidRPr="00706F03">
        <w:rPr>
          <w:rFonts w:cs="Times New Roman"/>
        </w:rPr>
        <w:t>2025</w:t>
      </w:r>
      <w:r w:rsidR="009F05B0"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）。民事訴訟須知。</w:t>
      </w:r>
      <w:r w:rsidR="003F5CB6" w:rsidRPr="00706F03">
        <w:rPr>
          <w:rFonts w:cs="Times New Roman"/>
          <w:i/>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w:t>
      </w:r>
      <w:r w:rsidR="003F5CB6"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）。刑事附帶民事訴訟起訴狀。</w:t>
      </w:r>
      <w:r w:rsidRPr="00706F03">
        <w:rPr>
          <w:rFonts w:cs="Times New Roman"/>
          <w:i/>
        </w:rPr>
        <w:t>司法院全球資訊網</w:t>
      </w:r>
      <w:r w:rsidRPr="00706F03">
        <w:rPr>
          <w:rFonts w:cs="Times New Roman"/>
        </w:rPr>
        <w:t>。</w:t>
      </w:r>
      <w:hyperlink r:id="rId20" w:history="1">
        <w:r w:rsidRPr="00706F03">
          <w:rPr>
            <w:rStyle w:val="Hyperlink"/>
            <w:rFonts w:cs="Times New Roman"/>
            <w:color w:val="auto"/>
          </w:rPr>
          <w:t>https://www.judicial.gov.tw/tw/cp-137</w:t>
        </w:r>
        <w:r w:rsidRPr="00706F03">
          <w:rPr>
            <w:rStyle w:val="Hyperlink"/>
            <w:rFonts w:cs="Times New Roman"/>
            <w:color w:val="auto"/>
          </w:rPr>
          <w:t>0</w:t>
        </w:r>
        <w:r w:rsidRPr="00706F03">
          <w:rPr>
            <w:rStyle w:val="Hyperlink"/>
            <w:rFonts w:cs="Times New Roman"/>
            <w:color w:val="auto"/>
          </w:rPr>
          <w:t>-</w:t>
        </w:r>
        <w:r w:rsidRPr="00706F03">
          <w:rPr>
            <w:rStyle w:val="Hyperlink"/>
            <w:rFonts w:cs="Times New Roman"/>
            <w:color w:val="auto"/>
          </w:rPr>
          <w:t>4</w:t>
        </w:r>
        <w:r w:rsidRPr="00706F03">
          <w:rPr>
            <w:rStyle w:val="Hyperlink"/>
            <w:rFonts w:cs="Times New Roman"/>
            <w:color w:val="auto"/>
          </w:rPr>
          <w:t>310-e5078-1.html</w:t>
        </w:r>
      </w:hyperlink>
    </w:p>
    <w:p w14:paraId="7FC60BFD" w14:textId="55E8FAF3" w:rsidR="00FC1982" w:rsidRPr="00706F03" w:rsidRDefault="00FC1982"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2026</w:t>
      </w:r>
      <w:r w:rsidRPr="00706F03">
        <w:rPr>
          <w:rFonts w:cs="Times New Roman"/>
        </w:rPr>
        <w:t>，</w:t>
      </w:r>
      <w:r w:rsidR="00020E45">
        <w:rPr>
          <w:rFonts w:cs="Times New Roman"/>
        </w:rPr>
        <w:t>7</w:t>
      </w:r>
      <w:r w:rsidR="00141ACE" w:rsidRPr="00706F03">
        <w:rPr>
          <w:rFonts w:cs="Times New Roman"/>
        </w:rPr>
        <w:t xml:space="preserve"> </w:t>
      </w:r>
      <w:r w:rsidRPr="00706F03">
        <w:rPr>
          <w:rFonts w:cs="Times New Roman"/>
        </w:rPr>
        <w:t>月</w:t>
      </w:r>
      <w:r w:rsidR="00020E45">
        <w:rPr>
          <w:rFonts w:cs="Times New Roman"/>
        </w:rPr>
        <w:t>9</w:t>
      </w:r>
      <w:r w:rsidR="00141ACE" w:rsidRPr="00706F03">
        <w:rPr>
          <w:rFonts w:cs="Times New Roman"/>
        </w:rPr>
        <w:t xml:space="preserve"> </w:t>
      </w:r>
      <w:r w:rsidRPr="00706F03">
        <w:rPr>
          <w:rFonts w:cs="Times New Roman"/>
        </w:rPr>
        <w:t>日）。行政訴訟。</w:t>
      </w:r>
      <w:r w:rsidR="003F5CB6" w:rsidRPr="00706F03">
        <w:rPr>
          <w:rFonts w:cs="Times New Roman"/>
          <w:i/>
        </w:rPr>
        <w:t>司法院全球資訊網</w:t>
      </w:r>
      <w:r w:rsidRPr="00706F03">
        <w:rPr>
          <w:rFonts w:cs="Times New Roman"/>
        </w:rPr>
        <w:t>。</w:t>
      </w:r>
      <w:hyperlink r:id="rId21" w:history="1">
        <w:r w:rsidRPr="00706F03">
          <w:rPr>
            <w:rStyle w:val="Hyperlink"/>
            <w:rFonts w:cs="Times New Roman"/>
            <w:color w:val="auto"/>
          </w:rPr>
          <w:t>https://www.judicial.gov.t</w:t>
        </w:r>
        <w:r w:rsidRPr="00706F03">
          <w:rPr>
            <w:rStyle w:val="Hyperlink"/>
            <w:rFonts w:cs="Times New Roman"/>
            <w:color w:val="auto"/>
          </w:rPr>
          <w:t>w</w:t>
        </w:r>
        <w:r w:rsidRPr="00706F03">
          <w:rPr>
            <w:rStyle w:val="Hyperlink"/>
            <w:rFonts w:cs="Times New Roman"/>
            <w:color w:val="auto"/>
          </w:rPr>
          <w:t>/tw/np-85-1.html</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2" w:history="1">
        <w:r w:rsidR="00461938" w:rsidRPr="00706F03">
          <w:rPr>
            <w:rStyle w:val="Hyperlink"/>
            <w:rFonts w:cs="Times New Roman"/>
            <w:color w:val="auto"/>
          </w:rPr>
          <w:t>https://law.moj.gov.tw/LawClass/LawAll.aspx?pcode=A0010090</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rPr>
        <w:t>經濟論文</w:t>
      </w:r>
      <w:r w:rsidRPr="00706F03">
        <w:rPr>
          <w:rFonts w:cs="Times New Roman"/>
        </w:rPr>
        <w:t>，</w:t>
      </w:r>
      <w:r w:rsidRPr="00706F03">
        <w:rPr>
          <w:rFonts w:cs="Times New Roman"/>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3" w:history="1">
        <w:r w:rsidRPr="00706F03">
          <w:rPr>
            <w:rStyle w:val="Hyperlink"/>
            <w:rFonts w:cs="Times New Roman"/>
            <w:color w:val="auto"/>
          </w:rPr>
          <w:t>https://www.airitilibrary.com/Article/Detail/1018161x-201912-201912300022-201912300022-533-546</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年專利審判實務之總體觀察及建議〉。《專利師》，</w:t>
      </w:r>
      <w:r w:rsidRPr="00F47BAC">
        <w:rPr>
          <w:rFonts w:cs="Times New Roman" w:hint="eastAsia"/>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Hyperlink"/>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rPr>
        <w:t>科技法學評論</w:t>
      </w:r>
      <w:r w:rsidRPr="00706F03">
        <w:rPr>
          <w:rFonts w:cs="Times New Roman"/>
        </w:rPr>
        <w:t>，</w:t>
      </w:r>
      <w:r w:rsidRPr="00706F03">
        <w:rPr>
          <w:rFonts w:cs="Times New Roman"/>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Hyperlink"/>
            <w:rFonts w:cs="Times New Roman"/>
            <w:color w:val="auto"/>
          </w:rPr>
          <w:t>https://lawdata.com.tw/tw/doi/?doi=10.3966/181130952013121002001</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rPr>
        <w:t>專利師</w:t>
      </w:r>
      <w:r w:rsidRPr="00706F03">
        <w:rPr>
          <w:rFonts w:cs="Times New Roman"/>
        </w:rPr>
        <w:t>，</w:t>
      </w:r>
      <w:r w:rsidRPr="00706F03">
        <w:rPr>
          <w:rFonts w:cs="Times New Roman"/>
        </w:rPr>
        <w:t>47</w:t>
      </w:r>
      <w:r w:rsidR="00B57FD2" w:rsidRPr="00706F03">
        <w:rPr>
          <w:rFonts w:cs="Times New Roman"/>
        </w:rPr>
        <w:t>，</w:t>
      </w:r>
      <w:r w:rsidR="00B57FD2" w:rsidRPr="00706F03">
        <w:rPr>
          <w:rFonts w:cs="Times New Roman"/>
        </w:rPr>
        <w:t>1-11</w:t>
      </w:r>
      <w:r w:rsidRPr="00706F03">
        <w:rPr>
          <w:rFonts w:cs="Times New Roman"/>
        </w:rPr>
        <w:t>。</w:t>
      </w:r>
      <w:hyperlink r:id="rId26" w:history="1">
        <w:r w:rsidR="00B57FD2" w:rsidRPr="00706F03">
          <w:rPr>
            <w:rStyle w:val="Hyperlink"/>
            <w:rFonts w:cs="Times New Roman"/>
            <w:color w:val="auto"/>
          </w:rPr>
          <w:t>https://lawdata.com.tw/tw/doi/?doi=10.3966/221845622021100047001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）。從數據一探智慧財產法院運作實況：專題三，民事訴訟。</w:t>
      </w:r>
      <w:r w:rsidRPr="00706F03">
        <w:rPr>
          <w:rFonts w:cs="Times New Roman"/>
          <w:i/>
        </w:rPr>
        <w:t>Winkler Partners</w:t>
      </w:r>
      <w:r w:rsidRPr="00706F03">
        <w:rPr>
          <w:rFonts w:cs="Times New Roman"/>
        </w:rPr>
        <w:t>。</w:t>
      </w:r>
      <w:hyperlink r:id="rId27" w:history="1">
        <w:r w:rsidRPr="00706F03">
          <w:rPr>
            <w:rStyle w:val="Hyperlink"/>
            <w:rFonts w:cs="Times New Roman"/>
            <w:color w:val="auto"/>
          </w:rPr>
          <w:t>https://winklerpartners.com/zh/%E5%BE%9E%E6%95%B8%E6%93%9A%E4%B8%80%E6%8E%A2%E6%99%BA%E6%85%A7%E8%B2%A1%E7%94%A2%E6%B3%95%E9%99%A2%E9%81%8B%E4%BD%9C%E5%AF%A6%E6%B3%81-%E5%B0%88%E9%A1%8C%E4%B8%89-%E6%B0%91%E4%BA%8B/</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）。著作權濫用與不當使用之研究。《公平交易季刊》，</w:t>
      </w:r>
      <w:r w:rsidRPr="00706F03">
        <w:rPr>
          <w:rFonts w:cs="Times New Roman"/>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Hyperlink"/>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7</w:t>
      </w:r>
      <w:r w:rsidRPr="00F47BAC">
        <w:rPr>
          <w:rFonts w:cs="Times New Roman" w:hint="eastAsia"/>
        </w:rPr>
        <w:t>月</w:t>
      </w:r>
      <w:r w:rsidRPr="00F47BAC">
        <w:rPr>
          <w:rFonts w:cs="Times New Roman" w:hint="eastAsia"/>
        </w:rPr>
        <w:t>29</w:t>
      </w:r>
      <w:r w:rsidRPr="00F47BAC">
        <w:rPr>
          <w:rFonts w:cs="Times New Roman" w:hint="eastAsia"/>
        </w:rPr>
        <w:t>日）。〈著作權數位侵權判決之損害賠償實證研究〉。智慧財產權培訓學院。</w:t>
      </w:r>
      <w:hyperlink r:id="rId29" w:history="1">
        <w:r w:rsidRPr="009602E7">
          <w:rPr>
            <w:rStyle w:val="Hyperlink"/>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）。〈智慧財產法院成立</w:t>
      </w:r>
      <w:r w:rsidRPr="00F47BAC">
        <w:rPr>
          <w:rFonts w:cs="Times New Roman" w:hint="eastAsia"/>
        </w:rPr>
        <w:t>10</w:t>
      </w:r>
      <w:r w:rsidRPr="00F47BAC">
        <w:rPr>
          <w:rFonts w:cs="Times New Roman" w:hint="eastAsia"/>
        </w:rPr>
        <w:t>年以來受理各類案件審理績效指標及相關訴訟制度之審理實務操作狀況分析〉。智慧財產法院統計室。</w:t>
      </w:r>
      <w:hyperlink r:id="rId30" w:history="1">
        <w:r w:rsidRPr="009602E7">
          <w:rPr>
            <w:rStyle w:val="Hyperlink"/>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rPr>
        <w:t>PeerJ Computer Science, 2</w:t>
      </w:r>
      <w:r w:rsidRPr="00706F03">
        <w:rPr>
          <w:rFonts w:cs="Times New Roman"/>
        </w:rPr>
        <w:t xml:space="preserve">, Article e93. </w:t>
      </w:r>
      <w:hyperlink r:id="rId31"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rPr>
        <w:t>Mathematics, 10</w:t>
      </w:r>
      <w:r w:rsidRPr="00706F03">
        <w:rPr>
          <w:rFonts w:cs="Times New Roman"/>
        </w:rPr>
        <w:t xml:space="preserve">(5), Article 683. </w:t>
      </w:r>
      <w:hyperlink r:id="rId32" w:history="1">
        <w:r w:rsidRPr="00706F03">
          <w:rPr>
            <w:rStyle w:val="Hyperlink"/>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Ariai, F., Mackenzie, J., &amp; Demartini, G. (2026). Natural language processing for the legal domain: A survey of tasks, datasets, models, and challenges. ACM Computing Surveys, 58(6), Article 163.</w:t>
      </w:r>
      <w:r w:rsidR="003F43CC" w:rsidRPr="00706F03">
        <w:rPr>
          <w:rFonts w:cs="Times New Roman"/>
        </w:rPr>
        <w:t xml:space="preserve"> </w:t>
      </w:r>
      <w:hyperlink r:id="rId33" w:history="1">
        <w:r w:rsidR="003F43CC" w:rsidRPr="00706F03">
          <w:rPr>
            <w:rStyle w:val="Hyperlink"/>
            <w:rFonts w:cs="Times New Roman"/>
            <w:color w:val="auto"/>
          </w:rPr>
          <w:t>https://doi.org/10.</w:t>
        </w:r>
        <w:r w:rsidR="003F43CC" w:rsidRPr="00706F03">
          <w:rPr>
            <w:rStyle w:val="Hyperlink"/>
            <w:rFonts w:cs="Times New Roman"/>
            <w:color w:val="auto"/>
          </w:rPr>
          <w:t>1</w:t>
        </w:r>
        <w:r w:rsidR="003F43CC" w:rsidRPr="00706F03">
          <w:rPr>
            <w:rStyle w:val="Hyperlink"/>
            <w:rFonts w:cs="Times New Roman"/>
            <w:color w:val="auto"/>
          </w:rPr>
          <w:t>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Hyperlink"/>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Chang, Y.-C., Chen, K.-P., &amp; Lin, C.-C. (2016). Anchoring effect in real litigation: An empirical study (University of Chicago Coase-Sandor Institute for Law &amp; Economics Research Paper No. 744). SSRN.</w:t>
      </w:r>
      <w:r w:rsidR="002A1805" w:rsidRPr="00706F03">
        <w:rPr>
          <w:rFonts w:cs="Times New Roman"/>
        </w:rPr>
        <w:t xml:space="preserve"> </w:t>
      </w:r>
      <w:hyperlink r:id="rId35" w:history="1">
        <w:r w:rsidRPr="006E6541">
          <w:rPr>
            <w:rStyle w:val="Hyperlink"/>
          </w:rPr>
          <w:t>https://doi.org/10.2139/ssrn.27</w:t>
        </w:r>
        <w:r w:rsidRPr="006E6541">
          <w:rPr>
            <w:rStyle w:val="Hyperlink"/>
          </w:rPr>
          <w:t>2</w:t>
        </w:r>
        <w:r w:rsidRPr="006E6541">
          <w:rPr>
            <w:rStyle w:val="Hyperlink"/>
          </w:rPr>
          <w:t>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 31</w:t>
      </w:r>
      <w:r w:rsidRPr="00706F03">
        <w:rPr>
          <w:rFonts w:cs="Times New Roman"/>
        </w:rPr>
        <w:t xml:space="preserve">(1), 93–126. </w:t>
      </w:r>
      <w:hyperlink r:id="rId36"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rPr>
        <w:t>American Economic Journal: Applied Economics, 10</w:t>
      </w:r>
      <w:r w:rsidRPr="00706F03">
        <w:rPr>
          <w:rFonts w:cs="Times New Roman"/>
        </w:rPr>
        <w:t xml:space="preserve">(3), 171–205. </w:t>
      </w:r>
      <w:hyperlink r:id="rId38"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Saberian, S. (2019). Temperature and decisions: Evidence from 207,000 court cases. </w:t>
      </w:r>
      <w:r w:rsidRPr="00706F03">
        <w:rPr>
          <w:rFonts w:cs="Times New Roman"/>
          <w:i/>
        </w:rPr>
        <w:t>American Economic Journal: Applied Economics, 11</w:t>
      </w:r>
      <w:r w:rsidRPr="00706F03">
        <w:rPr>
          <w:rFonts w:cs="Times New Roman"/>
        </w:rPr>
        <w:t xml:space="preserve">(2), 238–265. </w:t>
      </w:r>
      <w:hyperlink r:id="rId40"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 11</w:t>
      </w:r>
      <w:r w:rsidRPr="00706F03">
        <w:rPr>
          <w:rFonts w:cs="Times New Roman"/>
        </w:rPr>
        <w:t xml:space="preserve">(21), Article 10361. </w:t>
      </w:r>
      <w:hyperlink r:id="rId41"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Hyperlink"/>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hint="eastAsia"/>
        </w:rPr>
      </w:pPr>
      <w:r w:rsidRPr="00020E45">
        <w:rPr>
          <w:rFonts w:cs="Times New Roman"/>
        </w:rPr>
        <w:t xml:space="preserve">Manning, C. D., Raghavan, P., &amp; Schütze, H. (2008). Introduction to information retrieval. Cambridge University Press. </w:t>
      </w:r>
      <w:hyperlink r:id="rId43" w:history="1">
        <w:r w:rsidRPr="00020E45">
          <w:rPr>
            <w:rStyle w:val="Hyperlink"/>
            <w:rFonts w:cs="Times New Roman"/>
          </w:rPr>
          <w:t>https://doi.org/10</w:t>
        </w:r>
        <w:r w:rsidRPr="00020E45">
          <w:rPr>
            <w:rStyle w:val="Hyperlink"/>
            <w:rFonts w:cs="Times New Roman"/>
          </w:rPr>
          <w:t>.</w:t>
        </w:r>
        <w:r w:rsidRPr="00020E45">
          <w:rPr>
            <w:rStyle w:val="Hyperlink"/>
            <w:rFonts w:cs="Times New Roman"/>
          </w:rPr>
          <w:t>1017/CBO9780511809071</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sklearn.feature_selection.chi2. scikit-learn. Retrieved May 10, 2026, from </w:t>
      </w:r>
      <w:hyperlink r:id="rId44" w:history="1">
        <w:r w:rsidRPr="00706F03">
          <w:rPr>
            <w:rStyle w:val="Hyperlink"/>
            <w:rFonts w:cs="Times New Roman"/>
            <w:color w:val="auto"/>
          </w:rPr>
          <w:t>https://scikit-learn.org/stable/modules/generated/sklearn.feature_selection.chi2.html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rPr>
        <w:t>Proceedings of the 13th International Conference on Artificial Intelligence and Law</w:t>
      </w:r>
      <w:r w:rsidRPr="00706F03">
        <w:rPr>
          <w:rFonts w:cs="Times New Roman"/>
        </w:rPr>
        <w:t xml:space="preserve"> (pp. 116–120). Association for Computing Machinery. </w:t>
      </w:r>
      <w:hyperlink r:id="rId45"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rPr>
        <w:t>Journal of the American Statistical Association, 108</w:t>
      </w:r>
      <w:r w:rsidRPr="00706F03">
        <w:rPr>
          <w:rFonts w:cs="Times New Roman"/>
        </w:rPr>
        <w:t xml:space="preserve">(503), 755–770. </w:t>
      </w:r>
      <w:hyperlink r:id="rId46"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hint="eastAsia"/>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7"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t>Knowledge-Based Systems, 239</w:t>
      </w:r>
      <w:r w:rsidRPr="00706F03">
        <w:rPr>
          <w:rFonts w:cs="Times New Roman"/>
        </w:rPr>
        <w:t>, Article 107960.</w:t>
      </w:r>
      <w:r w:rsidRPr="00706F03">
        <w:rPr>
          <w:rFonts w:cs="Times New Roman"/>
          <w:kern w:val="0"/>
          <w14:ligatures w14:val="none"/>
        </w:rPr>
        <w:t xml:space="preserve"> </w:t>
      </w:r>
      <w:hyperlink r:id="rId48" w:history="1">
        <w:r w:rsidRPr="00706F03">
          <w:rPr>
            <w:rStyle w:val="Hyperlink"/>
            <w:rFonts w:cs="Times New Roman"/>
            <w:color w:val="auto"/>
          </w:rPr>
          <w:t>https://doi.org/10.1016/j.knosys.2021.107960</w:t>
        </w:r>
      </w:hyperlink>
    </w:p>
    <w:sectPr w:rsidR="004C1AE9" w:rsidRPr="00706F03" w:rsidSect="0004071A">
      <w:headerReference w:type="even" r:id="rId49"/>
      <w:headerReference w:type="default" r:id="rId50"/>
      <w:headerReference w:type="first" r:id="rId51"/>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F98795" w14:textId="77777777" w:rsidR="0006786A" w:rsidRDefault="0006786A" w:rsidP="00204DC5">
      <w:pPr>
        <w:spacing w:after="0" w:line="240" w:lineRule="auto"/>
      </w:pPr>
      <w:r>
        <w:separator/>
      </w:r>
    </w:p>
  </w:endnote>
  <w:endnote w:type="continuationSeparator" w:id="0">
    <w:p w14:paraId="6D8EA9B1" w14:textId="77777777" w:rsidR="0006786A" w:rsidRDefault="0006786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BiauKaiHK Regular"/>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BF8246" w14:textId="77777777" w:rsidR="0006786A" w:rsidRDefault="0006786A" w:rsidP="00204DC5">
      <w:pPr>
        <w:spacing w:after="0" w:line="240" w:lineRule="auto"/>
      </w:pPr>
      <w:r>
        <w:separator/>
      </w:r>
    </w:p>
  </w:footnote>
  <w:footnote w:type="continuationSeparator" w:id="0">
    <w:p w14:paraId="2C18948B" w14:textId="77777777" w:rsidR="0006786A" w:rsidRDefault="0006786A"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EF3C1" w14:textId="77777777" w:rsidR="00E53FEC" w:rsidRDefault="0006786A">
    <w:pPr>
      <w:pStyle w:val="Header"/>
    </w:pPr>
    <w:r>
      <w:rPr>
        <w:noProof/>
      </w:rPr>
      <w:pict w14:anchorId="3284B3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68BB2" w14:textId="77777777" w:rsidR="00E53FEC" w:rsidRDefault="0006786A">
    <w:pPr>
      <w:pStyle w:val="Header"/>
    </w:pPr>
    <w:r>
      <w:rPr>
        <w:noProof/>
      </w:rPr>
      <w:pict w14:anchorId="51D77D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59E" w14:textId="77777777" w:rsidR="00E53FEC" w:rsidRDefault="0006786A">
    <w:pPr>
      <w:pStyle w:val="Header"/>
    </w:pPr>
    <w:r>
      <w:rPr>
        <w:noProof/>
      </w:rPr>
      <w:pict w14:anchorId="2B6BF4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0E45"/>
    <w:rsid w:val="000232AA"/>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48F4"/>
    <w:rsid w:val="00163113"/>
    <w:rsid w:val="0016343E"/>
    <w:rsid w:val="0016554C"/>
    <w:rsid w:val="001707F2"/>
    <w:rsid w:val="00170EBB"/>
    <w:rsid w:val="00173AA7"/>
    <w:rsid w:val="0017461F"/>
    <w:rsid w:val="00175228"/>
    <w:rsid w:val="00184888"/>
    <w:rsid w:val="001903E2"/>
    <w:rsid w:val="0019066D"/>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931"/>
    <w:rsid w:val="006E5AFF"/>
    <w:rsid w:val="006E6541"/>
    <w:rsid w:val="006E7085"/>
    <w:rsid w:val="006F51FC"/>
    <w:rsid w:val="006F60ED"/>
    <w:rsid w:val="006F6F97"/>
    <w:rsid w:val="007019C8"/>
    <w:rsid w:val="00701E11"/>
    <w:rsid w:val="00702DCB"/>
    <w:rsid w:val="0070310B"/>
    <w:rsid w:val="00704208"/>
    <w:rsid w:val="0070491A"/>
    <w:rsid w:val="00704996"/>
    <w:rsid w:val="00706F03"/>
    <w:rsid w:val="00707432"/>
    <w:rsid w:val="00707A84"/>
    <w:rsid w:val="00707EA2"/>
    <w:rsid w:val="00714DEA"/>
    <w:rsid w:val="00734F6F"/>
    <w:rsid w:val="00737C2E"/>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3A62"/>
    <w:rsid w:val="00DD36CA"/>
    <w:rsid w:val="00DE36ED"/>
    <w:rsid w:val="00DE4C52"/>
    <w:rsid w:val="00DE6133"/>
    <w:rsid w:val="00DE7A89"/>
    <w:rsid w:val="00DF4347"/>
    <w:rsid w:val="00DF44BC"/>
    <w:rsid w:val="00DF543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8-683b6-1.html" TargetMode="External"/><Relationship Id="rId26" Type="http://schemas.openxmlformats.org/officeDocument/2006/relationships/hyperlink" Target="https://lawdata.com.tw/tw/doi/?doi=10.3966/221845622021100047001"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np-85-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8653/v1/2025.emnlp-main.179" TargetMode="External"/><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doi.org/10.1145/2018358.2018375"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selection.chi2.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law.moj.gov.tw/LawClass/LawAll.aspx?pcode=A0010090" TargetMode="External"/><Relationship Id="rId27" Type="http://schemas.openxmlformats.org/officeDocument/2006/relationships/hyperlink" Target="https://winklerpartners.com/zh/%E5%BE%9E%E6%95%B8%E6%93%9A%E4%B8%80%E6%8E%A2%E6%99%BA%E6%85%A7%E8%B2%A1%E7%94%A2%E6%B3%95%E9%99%A2%E9%81%8B%E4%BD%9C%E5%AF%A6%E6%B3%81-%E5%B0%88%E9%A1%8C%E4%B8%89-%E6%B0%91%E4%BA%8B/"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016/j.knosys.2021.107960" TargetMode="External"/><Relationship Id="rId8" Type="http://schemas.openxmlformats.org/officeDocument/2006/relationships/image" Target="media/image1.pn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080/01621459.2012.734168"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www.airitilibrary.com/Article/Detail/1018161x-201912-201912300022-201912300022-533-546"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72</Pages>
  <Words>11336</Words>
  <Characters>64619</Characters>
  <Application>Microsoft Office Word</Application>
  <DocSecurity>0</DocSecurity>
  <Lines>538</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48</cp:revision>
  <cp:lastPrinted>2026-06-16T12:21:00Z</cp:lastPrinted>
  <dcterms:created xsi:type="dcterms:W3CDTF">2026-07-04T13:22:00Z</dcterms:created>
  <dcterms:modified xsi:type="dcterms:W3CDTF">2026-07-15T10:41:00Z</dcterms:modified>
</cp:coreProperties>
</file>