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315DC458" w14:textId="71816645" w:rsidR="00CD012C" w:rsidRPr="00AB44DB"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75422A79" w14:textId="77777777" w:rsidR="00CD012C" w:rsidRPr="0000210D" w:rsidRDefault="00CD012C" w:rsidP="00CD012C">
      <w:pPr>
        <w:widowControl/>
        <w:rPr>
          <w:rFonts w:ascii="Times New Roman" w:eastAsia="標楷體" w:hAnsi="Times New Roman" w:cs="Times New Roman"/>
          <w:sz w:val="28"/>
          <w:szCs w:val="28"/>
        </w:rPr>
      </w:pPr>
    </w:p>
    <w:p w14:paraId="0664613E" w14:textId="1692FA91" w:rsidR="00CD012C" w:rsidRPr="004E7D6C" w:rsidRDefault="00EE558B" w:rsidP="004E7D6C">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AB44DB" w:rsidRPr="007730BA">
        <w:rPr>
          <w:rFonts w:ascii="Times New Roman" w:eastAsia="標楷體" w:hAnsi="Times New Roman" w:cs="Times New Roman" w:hint="eastAsia"/>
          <w:sz w:val="28"/>
          <w:szCs w:val="28"/>
          <w:vertAlign w:val="superscript"/>
        </w:rPr>
        <w:t>1</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53F32F9C" w14:textId="77777777" w:rsidR="00CD012C" w:rsidRPr="004E7D6C" w:rsidRDefault="00CD012C" w:rsidP="00CD012C">
      <w:pPr>
        <w:widowControl/>
        <w:rPr>
          <w:rFonts w:ascii="Times New Roman" w:eastAsia="標楷體" w:hAnsi="Times New Roman" w:cs="Times New Roman"/>
          <w:sz w:val="28"/>
          <w:szCs w:val="28"/>
        </w:rPr>
      </w:pPr>
    </w:p>
    <w:p w14:paraId="5D8E007E" w14:textId="4B8DD2CC" w:rsidR="00CD012C" w:rsidRPr="00483EF1" w:rsidRDefault="007730BA" w:rsidP="00CD012C">
      <w:pPr>
        <w:widowControl/>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在智慧財產權（</w:t>
      </w:r>
      <w:r w:rsidRPr="00483EF1">
        <w:rPr>
          <w:rFonts w:ascii="Times New Roman" w:eastAsia="標楷體" w:hAnsi="Times New Roman" w:cs="Times New Roman" w:hint="eastAsia"/>
          <w:sz w:val="28"/>
          <w:szCs w:val="28"/>
        </w:rPr>
        <w:t>IP</w:t>
      </w:r>
      <w:r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Pr="00483EF1">
        <w:rPr>
          <w:rFonts w:ascii="Times New Roman" w:eastAsia="標楷體" w:hAnsi="Times New Roman" w:cs="Times New Roman" w:hint="eastAsia"/>
          <w:sz w:val="28"/>
          <w:szCs w:val="28"/>
        </w:rPr>
        <w:t>Doctrine of Equivalents</w:t>
      </w:r>
      <w:r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Pr="00483EF1">
        <w:rPr>
          <w:rFonts w:ascii="Times New Roman" w:eastAsia="標楷體" w:hAnsi="Times New Roman" w:cs="Times New Roman" w:hint="eastAsia"/>
          <w:sz w:val="28"/>
          <w:szCs w:val="28"/>
        </w:rPr>
        <w:t>Public Notice</w:t>
      </w:r>
      <w:r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）存在內在衝突。這種衝突使得均等論在司法實務中的界限變得模糊，充滿高度不確定性，甚至被公認為專利法原則中「最困難且最不可預測」的部</w:t>
      </w:r>
      <w:r w:rsidRPr="00483EF1">
        <w:rPr>
          <w:rFonts w:ascii="Times New Roman" w:eastAsia="標楷體" w:hAnsi="Times New Roman" w:cs="Times New Roman" w:hint="eastAsia"/>
          <w:sz w:val="28"/>
          <w:szCs w:val="28"/>
        </w:rPr>
        <w:lastRenderedPageBreak/>
        <w:t>分。由於法律要件具備極大的裁量彈性，單純的關鍵字檢索往往難以判定法院的真實取徑</w:t>
      </w:r>
      <w:r w:rsidR="00483EF1">
        <w:rPr>
          <w:rFonts w:ascii="Times New Roman" w:eastAsia="標楷體" w:hAnsi="Times New Roman" w:cs="Times New Roman" w:hint="eastAsia"/>
          <w:sz w:val="28"/>
          <w:szCs w:val="28"/>
          <w:vertAlign w:val="superscript"/>
        </w:rPr>
        <w:t>2</w:t>
      </w:r>
      <w:r w:rsidRPr="00483EF1">
        <w:rPr>
          <w:rFonts w:ascii="Times New Roman" w:eastAsia="標楷體" w:hAnsi="Times New Roman" w:cs="Times New Roman" w:hint="eastAsia"/>
          <w:sz w:val="28"/>
          <w:szCs w:val="28"/>
        </w:rPr>
        <w:t>。</w:t>
      </w:r>
    </w:p>
    <w:p w14:paraId="15A846CD" w14:textId="77777777" w:rsidR="007730BA" w:rsidRPr="00CD012C" w:rsidRDefault="007730BA" w:rsidP="00CD012C">
      <w:pPr>
        <w:widowControl/>
        <w:rPr>
          <w:rFonts w:ascii="Times New Roman" w:eastAsia="標楷體" w:hAnsi="Times New Roman" w:cs="Times New Roman"/>
          <w:sz w:val="28"/>
          <w:szCs w:val="28"/>
        </w:rPr>
      </w:pPr>
    </w:p>
    <w:p w14:paraId="7724999C" w14:textId="44F308EE" w:rsid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483EF1" w:rsidRPr="00C5051C">
        <w:rPr>
          <w:rFonts w:ascii="Times New Roman" w:eastAsia="標楷體" w:hAnsi="Times New Roman" w:cs="Times New Roman" w:hint="eastAsia"/>
          <w:sz w:val="28"/>
          <w:szCs w:val="28"/>
          <w:vertAlign w:val="superscript"/>
        </w:rPr>
        <w:t>3</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35602AC9" w14:textId="77777777" w:rsidR="00483EF1" w:rsidRPr="00CD012C" w:rsidRDefault="00483EF1" w:rsidP="00CD012C">
      <w:pPr>
        <w:widowControl/>
        <w:rPr>
          <w:rFonts w:ascii="Times New Roman" w:eastAsia="標楷體" w:hAnsi="Times New Roman" w:cs="Times New Roman"/>
          <w:sz w:val="28"/>
          <w:szCs w:val="28"/>
        </w:rPr>
      </w:pPr>
    </w:p>
    <w:p w14:paraId="1131B3EC" w14:textId="3D11BD9D"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00C5051C">
        <w:rPr>
          <w:rFonts w:ascii="Times New Roman" w:eastAsia="標楷體" w:hAnsi="Times New Roman" w:cs="Times New Roman" w:hint="eastAsia"/>
          <w:sz w:val="28"/>
          <w:szCs w:val="28"/>
          <w:vertAlign w:val="superscript"/>
        </w:rPr>
        <w:t>4</w:t>
      </w:r>
      <w:r w:rsidRPr="00F002F7">
        <w:rPr>
          <w:rFonts w:ascii="Times New Roman" w:eastAsia="標楷體" w:hAnsi="Times New Roman" w:cs="Times New Roman" w:hint="eastAsia"/>
          <w:sz w:val="28"/>
          <w:szCs w:val="28"/>
        </w:rPr>
        <w:t>。這種極端的「類別不平衡」（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w:t>
      </w:r>
      <w:r w:rsidR="00C5051C">
        <w:rPr>
          <w:rFonts w:ascii="Times New Roman" w:eastAsia="標楷體" w:hAnsi="Times New Roman" w:cs="Times New Roman" w:hint="eastAsia"/>
          <w:sz w:val="28"/>
          <w:szCs w:val="28"/>
          <w:vertAlign w:val="superscript"/>
        </w:rPr>
        <w:t>5</w:t>
      </w:r>
      <w:r w:rsidRPr="00F002F7">
        <w:rPr>
          <w:rFonts w:ascii="Times New Roman" w:eastAsia="標楷體" w:hAnsi="Times New Roman" w:cs="Times New Roman" w:hint="eastAsia"/>
          <w:sz w:val="28"/>
          <w:szCs w:val="28"/>
        </w:rPr>
        <w:t>。因此，開發具備高精確率的預測模型，協助律師評估訴訟籌碼、企業配置研發資源具備極高的實務意義。本研究旨在透過導入深度學習架構，針對智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7A9451DA" w14:textId="77777777" w:rsidR="004E796F" w:rsidRPr="00C7356B" w:rsidRDefault="004E796F" w:rsidP="004E796F">
      <w:pPr>
        <w:widowControl/>
        <w:rPr>
          <w:rFonts w:ascii="Times New Roman" w:eastAsia="標楷體" w:hAnsi="Times New Roman" w:cs="Times New Roman"/>
          <w:color w:val="EE0000"/>
          <w:sz w:val="28"/>
          <w:szCs w:val="28"/>
        </w:rPr>
      </w:pPr>
      <w:r w:rsidRPr="00C7356B">
        <w:rPr>
          <w:rFonts w:ascii="Times New Roman" w:eastAsia="標楷體" w:hAnsi="Times New Roman" w:cs="Times New Roman" w:hint="eastAsia"/>
          <w:color w:val="EE0000"/>
          <w:sz w:val="28"/>
          <w:szCs w:val="28"/>
        </w:rPr>
        <w:t>基於前述的研究背景與動機，本論文旨在達成以下三項具體的研究目的：</w:t>
      </w:r>
    </w:p>
    <w:p w14:paraId="27151088" w14:textId="30F66E7D" w:rsidR="004E796F" w:rsidRPr="00C7356B" w:rsidRDefault="004E796F" w:rsidP="004E796F">
      <w:pPr>
        <w:pStyle w:val="a9"/>
        <w:widowControl/>
        <w:numPr>
          <w:ilvl w:val="0"/>
          <w:numId w:val="11"/>
        </w:numPr>
        <w:rPr>
          <w:rFonts w:ascii="Times New Roman" w:eastAsia="標楷體" w:hAnsi="Times New Roman" w:cs="Times New Roman"/>
          <w:color w:val="EE0000"/>
          <w:sz w:val="28"/>
          <w:szCs w:val="28"/>
        </w:rPr>
      </w:pPr>
      <w:r w:rsidRPr="00C7356B">
        <w:rPr>
          <w:rFonts w:ascii="Times New Roman" w:eastAsia="標楷體" w:hAnsi="Times New Roman" w:cs="Times New Roman" w:hint="eastAsia"/>
          <w:b/>
          <w:bCs/>
          <w:color w:val="EE0000"/>
          <w:sz w:val="28"/>
          <w:szCs w:val="28"/>
        </w:rPr>
        <w:t>探索並建立標準化法律文本處理流程</w:t>
      </w:r>
      <w:r w:rsidRPr="00C7356B">
        <w:rPr>
          <w:rFonts w:ascii="Times New Roman" w:eastAsia="標楷體" w:hAnsi="Times New Roman" w:cs="Times New Roman" w:hint="eastAsia"/>
          <w:color w:val="EE0000"/>
          <w:sz w:val="28"/>
          <w:szCs w:val="28"/>
        </w:rPr>
        <w:t>：本研究的首要目標在於建立一套適用於台灣智慧財產權判決書的文字探勘與機器學習處理流程。透過整合具備深度語意理解能力的斷詞技術，克服法律術語之辨識障礙，並為後續量化法律研究提供一套可複製且具備擴展性的分析框架</w:t>
      </w:r>
      <w:r w:rsidRPr="00C7356B">
        <w:rPr>
          <w:rFonts w:ascii="Times New Roman" w:eastAsia="標楷體" w:hAnsi="Times New Roman" w:cs="Times New Roman" w:hint="eastAsia"/>
          <w:color w:val="EE0000"/>
          <w:sz w:val="28"/>
          <w:szCs w:val="28"/>
          <w:vertAlign w:val="superscript"/>
        </w:rPr>
        <w:t>6</w:t>
      </w:r>
      <w:r w:rsidRPr="00C7356B">
        <w:rPr>
          <w:rFonts w:ascii="Times New Roman" w:eastAsia="標楷體" w:hAnsi="Times New Roman" w:cs="Times New Roman" w:hint="eastAsia"/>
          <w:color w:val="EE0000"/>
          <w:sz w:val="28"/>
          <w:szCs w:val="28"/>
        </w:rPr>
        <w:t>。</w:t>
      </w:r>
    </w:p>
    <w:p w14:paraId="6E280074" w14:textId="77777777" w:rsidR="004E796F" w:rsidRPr="00C7356B" w:rsidRDefault="004E796F" w:rsidP="004E796F">
      <w:pPr>
        <w:pStyle w:val="a9"/>
        <w:widowControl/>
        <w:numPr>
          <w:ilvl w:val="0"/>
          <w:numId w:val="11"/>
        </w:numPr>
        <w:rPr>
          <w:rFonts w:ascii="Times New Roman" w:eastAsia="標楷體" w:hAnsi="Times New Roman" w:cs="Times New Roman"/>
          <w:color w:val="EE0000"/>
          <w:sz w:val="28"/>
          <w:szCs w:val="28"/>
        </w:rPr>
      </w:pPr>
      <w:r w:rsidRPr="00C7356B">
        <w:rPr>
          <w:rFonts w:ascii="Times New Roman" w:eastAsia="標楷體" w:hAnsi="Times New Roman" w:cs="Times New Roman" w:hint="eastAsia"/>
          <w:b/>
          <w:bCs/>
          <w:color w:val="EE0000"/>
          <w:sz w:val="28"/>
          <w:szCs w:val="28"/>
        </w:rPr>
        <w:t>開發具備高精確率之多類別裁判結果預測模型</w:t>
      </w:r>
      <w:r w:rsidRPr="00C7356B">
        <w:rPr>
          <w:rFonts w:ascii="Times New Roman" w:eastAsia="標楷體" w:hAnsi="Times New Roman" w:cs="Times New Roman" w:hint="eastAsia"/>
          <w:color w:val="EE0000"/>
          <w:sz w:val="28"/>
          <w:szCs w:val="28"/>
        </w:rPr>
        <w:t>：運用監督式機器學習演算法，開發能根據判決書內文特徵預測「侵權成立」、「侵權不成立」及「部分勝訴」之模型。並針對司法數據中極端的類別不平衡特性，導入最佳化訓練策略，以驗證預測模型在高度專業法律領域的科學有效性。</w:t>
      </w:r>
    </w:p>
    <w:p w14:paraId="75AD8C54" w14:textId="77777777" w:rsidR="004E796F" w:rsidRPr="00C7356B" w:rsidRDefault="004E796F" w:rsidP="004E796F">
      <w:pPr>
        <w:pStyle w:val="a9"/>
        <w:widowControl/>
        <w:numPr>
          <w:ilvl w:val="0"/>
          <w:numId w:val="11"/>
        </w:numPr>
        <w:rPr>
          <w:rFonts w:ascii="Times New Roman" w:eastAsia="標楷體" w:hAnsi="Times New Roman" w:cs="Times New Roman"/>
          <w:color w:val="EE0000"/>
          <w:sz w:val="28"/>
          <w:szCs w:val="28"/>
        </w:rPr>
      </w:pPr>
      <w:r w:rsidRPr="00C7356B">
        <w:rPr>
          <w:rFonts w:ascii="Times New Roman" w:eastAsia="標楷體" w:hAnsi="Times New Roman" w:cs="Times New Roman" w:hint="eastAsia"/>
          <w:b/>
          <w:bCs/>
          <w:color w:val="EE0000"/>
          <w:sz w:val="28"/>
          <w:szCs w:val="28"/>
        </w:rPr>
        <w:t>強化長篇裁判書之全局語意特徵提取能力</w:t>
      </w:r>
      <w:r w:rsidRPr="00C7356B">
        <w:rPr>
          <w:rFonts w:ascii="Times New Roman" w:eastAsia="標楷體" w:hAnsi="Times New Roman" w:cs="Times New Roman" w:hint="eastAsia"/>
          <w:color w:val="EE0000"/>
          <w:sz w:val="28"/>
          <w:szCs w:val="28"/>
        </w:rPr>
        <w:t>：針對智慧財產權判決書篇幅冗長且邏輯高度依賴上下文的特性，研究如何有效捕捉長程語意關係，確保模型在分析過程中不因文本長度而遺失關鍵之裁判理由與法理推論，進而提升對於複雜法律論證的理解深度。</w:t>
      </w:r>
    </w:p>
    <w:p w14:paraId="124FD2C2" w14:textId="309F9896" w:rsidR="00836709" w:rsidRPr="004E796F" w:rsidRDefault="00836709"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19713B82" w14:textId="47071783"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研究貢獻</w:t>
      </w:r>
    </w:p>
    <w:p w14:paraId="2488F276" w14:textId="77777777"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本研究之貢獻體現於統計建模與專業法律實務的結合，具體價值包含：</w:t>
      </w:r>
    </w:p>
    <w:p w14:paraId="1864C6A3" w14:textId="77777777" w:rsid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一、彌補智財權實證研究之領域空缺並拓寬研究深度。過往台灣智財權之實證研究多側重於侵害事實認定後之「損害賠償金額」數據分佈與審酌因素分析。本研究則將分析維度往前推進至「裁判結果預測」，直接探討全文術語分佈與勝敗結果間的關聯，填補了從非結構化文本到裁判結果預測間的研究斷層。</w:t>
      </w:r>
    </w:p>
    <w:p w14:paraId="546EA922" w14:textId="775EFAAD"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第二、模型效能之系統性評估與選型參考。本研究並非單一演算法之應用，而是透過多種機器學習模型（如</w:t>
      </w:r>
      <w:r w:rsidRPr="00427CCE">
        <w:rPr>
          <w:rFonts w:ascii="Times New Roman" w:eastAsia="標楷體" w:hAnsi="Times New Roman" w:cs="Times New Roman" w:hint="eastAsia"/>
          <w:sz w:val="28"/>
          <w:szCs w:val="28"/>
        </w:rPr>
        <w:t xml:space="preserve"> SVM</w:t>
      </w:r>
      <w:r w:rsidRPr="00427CCE">
        <w:rPr>
          <w:rFonts w:ascii="Times New Roman" w:eastAsia="標楷體" w:hAnsi="Times New Roman" w:cs="Times New Roman" w:hint="eastAsia"/>
          <w:sz w:val="28"/>
          <w:szCs w:val="28"/>
        </w:rPr>
        <w:t>、隨機森林、</w:t>
      </w:r>
      <w:r w:rsidRPr="00427CCE">
        <w:rPr>
          <w:rFonts w:ascii="Times New Roman" w:eastAsia="標楷體" w:hAnsi="Times New Roman" w:cs="Times New Roman" w:hint="eastAsia"/>
          <w:sz w:val="28"/>
          <w:szCs w:val="28"/>
        </w:rPr>
        <w:t xml:space="preserve">ANN </w:t>
      </w:r>
      <w:r w:rsidRPr="00427CCE">
        <w:rPr>
          <w:rFonts w:ascii="Times New Roman" w:eastAsia="標楷體" w:hAnsi="Times New Roman" w:cs="Times New Roman" w:hint="eastAsia"/>
          <w:sz w:val="28"/>
          <w:szCs w:val="28"/>
        </w:rPr>
        <w:t>等）的對比實驗，詳細分析不同邏輯框架在智財法律文本上的適應性。此結果可為未來法律科技研發者在模型選型與參數調校上，提供具備實務支撐的在地化數據參考。</w:t>
      </w:r>
    </w:p>
    <w:p w14:paraId="345B6594" w14:textId="19AA97B3"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第三、本研究模型能作為訴訟前的量化評估工具，協助律師與企業法務預判訴訟走向，降低因資訊不對稱導致的法律風險</w:t>
      </w:r>
      <w:r w:rsidRPr="00427CCE">
        <w:rPr>
          <w:rFonts w:ascii="Times New Roman" w:eastAsia="標楷體" w:hAnsi="Times New Roman" w:cs="Times New Roman" w:hint="eastAsia"/>
          <w:sz w:val="28"/>
          <w:szCs w:val="28"/>
        </w:rPr>
        <w:t xml:space="preserve"> </w:t>
      </w:r>
      <w:r w:rsidRPr="00427CCE">
        <w:rPr>
          <w:rFonts w:ascii="Times New Roman" w:eastAsia="標楷體" w:hAnsi="Times New Roman" w:cs="Times New Roman" w:hint="eastAsia"/>
          <w:sz w:val="28"/>
          <w:szCs w:val="28"/>
        </w:rPr>
        <w:t>。同時，透過大規模數據回測，展示了統計模型捕捉司法趨勢的能力，為未來發展「智慧化裁判輔助系統」提供了實證基礎。</w:t>
      </w:r>
    </w:p>
    <w:p w14:paraId="23D21934" w14:textId="4F41A5F8" w:rsidR="00CC5EA4" w:rsidRDefault="00CC5EA4" w:rsidP="006F60ED">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543BC713" w14:textId="77777777" w:rsidR="00CC5EA4" w:rsidRPr="00CC5EA4" w:rsidRDefault="00CC5EA4" w:rsidP="008613E4">
      <w:pPr>
        <w:outlineLvl w:val="0"/>
        <w:rPr>
          <w:rFonts w:ascii="Times New Roman" w:eastAsia="標楷體" w:hAnsi="Times New Roman" w:cs="Times New Roman"/>
          <w:sz w:val="28"/>
          <w:szCs w:val="28"/>
        </w:rPr>
      </w:pP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1E6544D6"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vertAlign w:val="superscript"/>
        </w:rPr>
        <w:t>7</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2BB424DC" w14:textId="049C9580"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000E2DE2">
        <w:rPr>
          <w:rFonts w:ascii="Times New Roman" w:eastAsia="標楷體" w:hAnsi="Times New Roman" w:cs="Times New Roman" w:hint="eastAsia"/>
          <w:sz w:val="28"/>
          <w:szCs w:val="28"/>
          <w:vertAlign w:val="superscript"/>
        </w:rPr>
        <w:t>8</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Saberian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000E2DE2">
        <w:rPr>
          <w:rFonts w:ascii="Times New Roman" w:eastAsia="標楷體" w:hAnsi="Times New Roman" w:cs="Times New Roman" w:hint="eastAsia"/>
          <w:sz w:val="28"/>
          <w:szCs w:val="28"/>
          <w:vertAlign w:val="superscript"/>
        </w:rPr>
        <w:t>9</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38F6C5C4" w14:textId="77777777" w:rsidR="00A82637" w:rsidRPr="00A82637" w:rsidRDefault="00A82637" w:rsidP="00A82637">
      <w:pPr>
        <w:outlineLvl w:val="0"/>
        <w:rPr>
          <w:rFonts w:ascii="Times New Roman" w:eastAsia="標楷體" w:hAnsi="Times New Roman" w:cs="Times New Roman"/>
          <w:sz w:val="28"/>
          <w:szCs w:val="28"/>
        </w:rPr>
      </w:pPr>
    </w:p>
    <w:p w14:paraId="6E0DD2BB" w14:textId="4F936D0E"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vertAlign w:val="superscript"/>
        </w:rPr>
        <w:t>10</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vertAlign w:val="superscript"/>
        </w:rPr>
        <w:t>11</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235A4AAB" w14:textId="77777777" w:rsidR="00A82637" w:rsidRPr="00A82637" w:rsidRDefault="00A82637" w:rsidP="00A82637">
      <w:pPr>
        <w:outlineLvl w:val="0"/>
        <w:rPr>
          <w:rFonts w:ascii="Times New Roman" w:eastAsia="標楷體" w:hAnsi="Times New Roman" w:cs="Times New Roman"/>
          <w:sz w:val="28"/>
          <w:szCs w:val="28"/>
        </w:rPr>
      </w:pP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BoW</w:t>
      </w:r>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DFEC042" w:rsidR="00C207D2" w:rsidRPr="00C207D2" w:rsidRDefault="00C207D2" w:rsidP="00C207D2">
      <w:pPr>
        <w:outlineLvl w:val="0"/>
        <w:rPr>
          <w:rFonts w:ascii="Times New Roman" w:eastAsia="標楷體" w:hAnsi="Times New Roman" w:cs="Times New Roman"/>
          <w:sz w:val="28"/>
          <w:szCs w:val="28"/>
        </w:rPr>
      </w:pPr>
      <w:r w:rsidRPr="00C207D2">
        <w:rPr>
          <w:rFonts w:ascii="Times New Roman" w:eastAsia="標楷體" w:hAnsi="Times New Roman" w:cs="Times New Roman" w:hint="eastAsia"/>
          <w:sz w:val="28"/>
          <w:szCs w:val="28"/>
        </w:rPr>
        <w:lastRenderedPageBreak/>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Bag-of-Words, BoW</w:t>
      </w:r>
      <w:r w:rsidRPr="00C207D2">
        <w:rPr>
          <w:rFonts w:ascii="Times New Roman" w:eastAsia="標楷體" w:hAnsi="Times New Roman" w:cs="Times New Roman" w:hint="eastAsia"/>
          <w:sz w:val="28"/>
          <w:szCs w:val="28"/>
        </w:rPr>
        <w:t>）在處理語意任務時，其表現甚至能超越部分密集的語意嵌入（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Pr>
          <w:rFonts w:ascii="Times New Roman" w:eastAsia="標楷體" w:hAnsi="Times New Roman" w:cs="Times New Roman" w:hint="eastAsia"/>
          <w:sz w:val="28"/>
          <w:szCs w:val="28"/>
          <w:vertAlign w:val="superscript"/>
        </w:rPr>
        <w:t>12</w:t>
      </w:r>
      <w:r w:rsidR="00751AD4">
        <w:rPr>
          <w:rFonts w:ascii="Times New Roman" w:eastAsia="標楷體" w:hAnsi="Times New Roman" w:cs="Times New Roman" w:hint="eastAsia"/>
          <w:sz w:val="28"/>
          <w:szCs w:val="28"/>
          <w:vertAlign w:val="superscript"/>
        </w:rPr>
        <w:t xml:space="preserve"> 13</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2F134629"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）明確揭示哪些法律關鍵字主導了判決結果，使其非常適合應用於實務決策中。在台灣的司法實證研究中，亦有學者運用隨機森林結合排列特徵重要性（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w:t>
      </w:r>
      <w:r w:rsidRPr="00751AD4">
        <w:rPr>
          <w:rFonts w:ascii="Times New Roman" w:eastAsia="標楷體" w:hAnsi="Times New Roman" w:cs="Times New Roman" w:hint="eastAsia"/>
          <w:sz w:val="28"/>
          <w:szCs w:val="28"/>
        </w:rPr>
        <w:lastRenderedPageBreak/>
        <w:t>神慰撫金，並精確梳理出法官審酌的關鍵因素排名</w:t>
      </w:r>
      <w:r w:rsidR="00214D9F">
        <w:rPr>
          <w:rFonts w:ascii="Times New Roman" w:eastAsia="標楷體" w:hAnsi="Times New Roman" w:cs="Times New Roman" w:hint="eastAsia"/>
          <w:sz w:val="28"/>
          <w:szCs w:val="28"/>
          <w:vertAlign w:val="superscript"/>
        </w:rPr>
        <w:t>14</w:t>
      </w:r>
      <w:r w:rsidRPr="00751AD4">
        <w:rPr>
          <w:rFonts w:ascii="Times New Roman" w:eastAsia="標楷體" w:hAnsi="Times New Roman" w:cs="Times New Roman" w:hint="eastAsia"/>
          <w:sz w:val="28"/>
          <w:szCs w:val="28"/>
        </w:rPr>
        <w:t>。</w:t>
      </w:r>
    </w:p>
    <w:p w14:paraId="48E3961E" w14:textId="3076447A"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另一方面，儘管文獻指出基礎深度學習模型（如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w:t>
      </w:r>
      <w:r>
        <w:rPr>
          <w:rFonts w:ascii="Times New Roman" w:eastAsia="標楷體" w:hAnsi="Times New Roman" w:cs="Times New Roman" w:hint="eastAsia"/>
          <w:sz w:val="28"/>
          <w:szCs w:val="28"/>
          <w:vertAlign w:val="superscript"/>
        </w:rPr>
        <w:t>15</w:t>
      </w:r>
      <w:r w:rsidRPr="00214D9F">
        <w:rPr>
          <w:rFonts w:ascii="Times New Roman" w:eastAsia="標楷體" w:hAnsi="Times New Roman" w:cs="Times New Roman" w:hint="eastAsia"/>
          <w:sz w:val="28"/>
          <w:szCs w:val="28"/>
        </w:rPr>
        <w:t>，但其黑箱特性仍難以完全滿足實務上對「判決理由」的透明度要求。因此，將具備高可解釋性的傳統機器學習模型與基礎神經網路並列比較，以探討模型準確率與決策透明度之間的權衡（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289B59D8" w14:textId="77777777" w:rsidR="00CC5EA4" w:rsidRDefault="00CC5EA4">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2AA4D9F" w14:textId="77777777" w:rsidR="008613E4" w:rsidRPr="008613E4" w:rsidRDefault="008613E4" w:rsidP="008613E4">
      <w:pPr>
        <w:outlineLvl w:val="0"/>
        <w:rPr>
          <w:rFonts w:ascii="Times New Roman" w:eastAsia="標楷體" w:hAnsi="Times New Roman" w:cs="Times New Roman"/>
          <w:sz w:val="28"/>
          <w:szCs w:val="28"/>
        </w:rPr>
      </w:pPr>
    </w:p>
    <w:p w14:paraId="42330752" w14:textId="3FCDC03D"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18504C04" w14:textId="7B3E3031" w:rsidR="002C6512" w:rsidRDefault="002C6512" w:rsidP="008613E4">
      <w:pPr>
        <w:outlineLvl w:val="0"/>
        <w:rPr>
          <w:rFonts w:ascii="Times New Roman" w:eastAsia="標楷體" w:hAnsi="Times New Roman" w:cs="Times New Roman"/>
          <w:sz w:val="28"/>
          <w:szCs w:val="28"/>
        </w:rPr>
      </w:pPr>
    </w:p>
    <w:p w14:paraId="05089DA6" w14:textId="50FA2EA7"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w:t>
      </w:r>
    </w:p>
    <w:p w14:paraId="3504C2AE" w14:textId="49014737" w:rsidR="002C6512" w:rsidRDefault="00B171A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w:t>
      </w:r>
      <w:r w:rsidR="004365B1">
        <w:rPr>
          <w:rFonts w:ascii="Times New Roman" w:eastAsia="標楷體" w:hAnsi="Times New Roman" w:cs="Times New Roman" w:hint="eastAsia"/>
          <w:sz w:val="28"/>
          <w:szCs w:val="28"/>
        </w:rPr>
        <w:t>，並呼叫</w:t>
      </w:r>
      <w:r w:rsidR="004365B1">
        <w:rPr>
          <w:rFonts w:ascii="Times New Roman" w:eastAsia="標楷體" w:hAnsi="Times New Roman" w:cs="Times New Roman" w:hint="eastAsia"/>
          <w:sz w:val="28"/>
          <w:szCs w:val="28"/>
        </w:rPr>
        <w:t>7-zip</w:t>
      </w:r>
      <w:r w:rsidR="004365B1">
        <w:rPr>
          <w:rFonts w:ascii="Times New Roman" w:eastAsia="標楷體" w:hAnsi="Times New Roman" w:cs="Times New Roman" w:hint="eastAsia"/>
          <w:sz w:val="28"/>
          <w:szCs w:val="28"/>
        </w:rPr>
        <w:t>執行解壓縮，獲得裁判書之</w:t>
      </w:r>
      <w:r w:rsidR="004365B1">
        <w:rPr>
          <w:rFonts w:ascii="Times New Roman" w:eastAsia="標楷體" w:hAnsi="Times New Roman" w:cs="Times New Roman" w:hint="eastAsia"/>
          <w:sz w:val="28"/>
          <w:szCs w:val="28"/>
        </w:rPr>
        <w:t>json</w:t>
      </w:r>
      <w:r w:rsidR="004365B1">
        <w:rPr>
          <w:rFonts w:ascii="Times New Roman" w:eastAsia="標楷體" w:hAnsi="Times New Roman" w:cs="Times New Roman" w:hint="eastAsia"/>
          <w:sz w:val="28"/>
          <w:szCs w:val="28"/>
        </w:rPr>
        <w:t>檔</w:t>
      </w:r>
    </w:p>
    <w:p w14:paraId="17CF1AB2" w14:textId="77777777" w:rsidR="00B9506F" w:rsidRPr="00B9506F" w:rsidRDefault="00B9506F" w:rsidP="00B9506F">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篩選關鍵字</w:t>
      </w:r>
      <w:r w:rsidRPr="00B9506F">
        <w:rPr>
          <w:rFonts w:ascii="Times New Roman" w:eastAsia="標楷體" w:hAnsi="Times New Roman" w:cs="Times New Roman"/>
          <w:sz w:val="28"/>
          <w:szCs w:val="28"/>
        </w:rPr>
        <w:t>：包含「智慧財產」、「專利」、「商標」、「著作權」及「營業秘密」。</w:t>
      </w:r>
    </w:p>
    <w:p w14:paraId="612EF72D" w14:textId="7B845F5B" w:rsidR="00B9506F" w:rsidRPr="00B9506F" w:rsidRDefault="00B9506F" w:rsidP="008613E4">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資料清理</w:t>
      </w:r>
      <w:r w:rsidRPr="00B9506F">
        <w:rPr>
          <w:rFonts w:ascii="Times New Roman" w:eastAsia="標楷體" w:hAnsi="Times New Roman" w:cs="Times New Roman"/>
          <w:sz w:val="28"/>
          <w:szCs w:val="28"/>
        </w:rPr>
        <w:t>：針對符合篩選條件之判決書，提取其案號（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w:t>
      </w:r>
      <w:r w:rsidRPr="00B9506F">
        <w:rPr>
          <w:rFonts w:ascii="Times New Roman" w:eastAsia="標楷體" w:hAnsi="Times New Roman" w:cs="Times New Roman"/>
          <w:sz w:val="28"/>
          <w:szCs w:val="28"/>
        </w:rPr>
        <w:t>JTITLE</w:t>
      </w:r>
      <w:r w:rsidRPr="00B9506F">
        <w:rPr>
          <w:rFonts w:ascii="Times New Roman" w:eastAsia="標楷體" w:hAnsi="Times New Roman" w:cs="Times New Roman"/>
          <w:sz w:val="28"/>
          <w:szCs w:val="28"/>
        </w:rPr>
        <w:t>）及全文（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）與多餘空白，以利後續自然語言處理程式讀取。</w:t>
      </w:r>
    </w:p>
    <w:p w14:paraId="4E24758C" w14:textId="72B5F416" w:rsidR="004365B1" w:rsidRDefault="004365B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資料前處理</w:t>
      </w:r>
    </w:p>
    <w:p w14:paraId="3B811D20" w14:textId="03DF5109"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lastRenderedPageBreak/>
        <w:t>由於法律判決書屬於長文本且包含許多法律專有名詞，本研究採用以下步驟進行前處理：</w:t>
      </w:r>
    </w:p>
    <w:p w14:paraId="1EFB0479" w14:textId="3AD8E080" w:rsidR="00B9506F" w:rsidRPr="00B9506F" w:rsidRDefault="00B9506F" w:rsidP="00B9506F">
      <w:pPr>
        <w:numPr>
          <w:ilvl w:val="0"/>
          <w:numId w:val="3"/>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中文斷詞</w:t>
      </w:r>
      <w:r w:rsidRPr="00B9506F">
        <w:rPr>
          <w:rFonts w:ascii="Times New Roman" w:eastAsia="標楷體" w:hAnsi="Times New Roman" w:cs="Times New Roman"/>
          <w:sz w:val="28"/>
          <w:szCs w:val="28"/>
        </w:rPr>
        <w:t>：採用中央研究院開發的</w:t>
      </w:r>
      <w:r w:rsidRPr="00B9506F">
        <w:rPr>
          <w:rFonts w:ascii="Times New Roman" w:eastAsia="標楷體" w:hAnsi="Times New Roman" w:cs="Times New Roman"/>
          <w:sz w:val="28"/>
          <w:szCs w:val="28"/>
        </w:rPr>
        <w:t> </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sidRPr="00B9506F">
        <w:rPr>
          <w:rFonts w:ascii="Times New Roman" w:eastAsia="標楷體" w:hAnsi="Times New Roman" w:cs="Times New Roman"/>
          <w:sz w:val="28"/>
          <w:szCs w:val="28"/>
        </w:rPr>
        <w:t>進行斷詞，該模型基於</w:t>
      </w:r>
      <w:r w:rsidRPr="00B9506F">
        <w:rPr>
          <w:rFonts w:ascii="Times New Roman" w:eastAsia="標楷體" w:hAnsi="Times New Roman" w:cs="Times New Roman"/>
          <w:sz w:val="28"/>
          <w:szCs w:val="28"/>
        </w:rPr>
        <w:t xml:space="preserve"> Transformer </w:t>
      </w:r>
      <w:r w:rsidRPr="00B9506F">
        <w:rPr>
          <w:rFonts w:ascii="Times New Roman" w:eastAsia="標楷體" w:hAnsi="Times New Roman" w:cs="Times New Roman"/>
          <w:sz w:val="28"/>
          <w:szCs w:val="28"/>
        </w:rPr>
        <w:t>架構，能有效處理繁體中文之語意斷詞，提升法律術語的辨識準確度。</w:t>
      </w:r>
    </w:p>
    <w:p w14:paraId="1EE74D68" w14:textId="1E565968" w:rsidR="00B9506F" w:rsidRPr="00B9506F" w:rsidRDefault="00B9506F" w:rsidP="00B9506F">
      <w:pPr>
        <w:numPr>
          <w:ilvl w:val="0"/>
          <w:numId w:val="3"/>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停用詞過濾</w:t>
      </w:r>
      <w:r w:rsidRPr="00B9506F">
        <w:rPr>
          <w:rFonts w:ascii="Times New Roman" w:eastAsia="標楷體" w:hAnsi="Times New Roman" w:cs="Times New Roman"/>
          <w:sz w:val="28"/>
          <w:szCs w:val="28"/>
        </w:rPr>
        <w:t>：載入繁體中文停用詞表以及自定義的刪除詞彙表，過濾掉對分類無顯著幫助的虛詞、連接詞與常見冗詞。</w:t>
      </w:r>
    </w:p>
    <w:p w14:paraId="2A915225" w14:textId="7E29C2CE" w:rsidR="00B9506F" w:rsidRPr="00B9506F" w:rsidRDefault="00B9506F" w:rsidP="00B9506F">
      <w:pPr>
        <w:numPr>
          <w:ilvl w:val="0"/>
          <w:numId w:val="3"/>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標籤整合</w:t>
      </w:r>
      <w:r w:rsidRPr="00B9506F">
        <w:rPr>
          <w:rFonts w:ascii="Times New Roman" w:eastAsia="標楷體" w:hAnsi="Times New Roman" w:cs="Times New Roman"/>
          <w:sz w:val="28"/>
          <w:szCs w:val="28"/>
        </w:rPr>
        <w:t>：整合判決書之勝敗訴結果（勝訴、敗訴、部分勝訴</w:t>
      </w:r>
      <w:r w:rsidRPr="00B9506F">
        <w:rPr>
          <w:rFonts w:ascii="Times New Roman" w:eastAsia="標楷體" w:hAnsi="Times New Roman" w:cs="Times New Roman"/>
          <w:sz w:val="28"/>
          <w:szCs w:val="28"/>
        </w:rPr>
        <w:t>/</w:t>
      </w:r>
      <w:r w:rsidRPr="00B9506F">
        <w:rPr>
          <w:rFonts w:ascii="Times New Roman" w:eastAsia="標楷體" w:hAnsi="Times New Roman" w:cs="Times New Roman"/>
          <w:sz w:val="28"/>
          <w:szCs w:val="28"/>
        </w:rPr>
        <w:t>敗訴）作為模型訓練的目標標籤（</w:t>
      </w:r>
      <w:r w:rsidRPr="00B9506F">
        <w:rPr>
          <w:rFonts w:ascii="Times New Roman" w:eastAsia="標楷體" w:hAnsi="Times New Roman" w:cs="Times New Roman"/>
          <w:sz w:val="28"/>
          <w:szCs w:val="28"/>
        </w:rPr>
        <w:t>Metadata</w:t>
      </w:r>
      <w:r w:rsidRPr="00B9506F">
        <w:rPr>
          <w:rFonts w:ascii="Times New Roman" w:eastAsia="標楷體" w:hAnsi="Times New Roman" w:cs="Times New Roman"/>
          <w:sz w:val="28"/>
          <w:szCs w:val="28"/>
        </w:rPr>
        <w:t>）。</w:t>
      </w: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14785F43" w14:textId="5C6FD5C9" w:rsid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51855976" w14:textId="5A3E7226"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 xml:space="preserve">TF-IDF </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Term Frequency-Inverse Document Frequency</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 xml:space="preserve"> </w:t>
      </w:r>
      <w:r>
        <w:rPr>
          <w:rFonts w:ascii="Times New Roman" w:eastAsia="標楷體" w:hAnsi="Times New Roman" w:cs="Times New Roman" w:hint="eastAsia"/>
          <w:sz w:val="28"/>
          <w:szCs w:val="28"/>
        </w:rPr>
        <w:t>：</w:t>
      </w:r>
    </w:p>
    <w:p w14:paraId="3191987F" w14:textId="631FAEE4" w:rsidR="00523799" w:rsidRPr="00523799" w:rsidRDefault="00523799" w:rsidP="00523799">
      <w:pPr>
        <w:ind w:left="1440"/>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lastRenderedPageBreak/>
        <w:t>為了進一步優化特徵的辨識度，本研究亦導入</w:t>
      </w:r>
      <w:r w:rsidRPr="00523799">
        <w:rPr>
          <w:rFonts w:ascii="Times New Roman" w:eastAsia="標楷體" w:hAnsi="Times New Roman" w:cs="Times New Roman"/>
          <w:sz w:val="28"/>
          <w:szCs w:val="28"/>
        </w:rPr>
        <w:t xml:space="preserve"> TF-IDF </w:t>
      </w:r>
      <w:r w:rsidRPr="00523799">
        <w:rPr>
          <w:rFonts w:ascii="Times New Roman" w:eastAsia="標楷體" w:hAnsi="Times New Roman" w:cs="Times New Roman"/>
          <w:sz w:val="28"/>
          <w:szCs w:val="28"/>
        </w:rPr>
        <w:t>加權技術進行對照。該指標旨在衡量一個詞彙對於特定判決書的重要性：透過計算詞頻（</w:t>
      </w:r>
      <w:r w:rsidRPr="00523799">
        <w:rPr>
          <w:rFonts w:ascii="Times New Roman" w:eastAsia="標楷體" w:hAnsi="Times New Roman" w:cs="Times New Roman"/>
          <w:sz w:val="28"/>
          <w:szCs w:val="28"/>
        </w:rPr>
        <w:t>TF</w:t>
      </w:r>
      <w:r w:rsidRPr="00523799">
        <w:rPr>
          <w:rFonts w:ascii="Times New Roman" w:eastAsia="標楷體" w:hAnsi="Times New Roman" w:cs="Times New Roman"/>
          <w:sz w:val="28"/>
          <w:szCs w:val="28"/>
        </w:rPr>
        <w:t>）與逆文件頻率（</w:t>
      </w:r>
      <w:r w:rsidRPr="00523799">
        <w:rPr>
          <w:rFonts w:ascii="Times New Roman" w:eastAsia="標楷體" w:hAnsi="Times New Roman" w:cs="Times New Roman"/>
          <w:sz w:val="28"/>
          <w:szCs w:val="28"/>
        </w:rPr>
        <w:t>IDF</w:t>
      </w:r>
      <w:r w:rsidRPr="00523799">
        <w:rPr>
          <w:rFonts w:ascii="Times New Roman" w:eastAsia="標楷體" w:hAnsi="Times New Roman" w:cs="Times New Roman"/>
          <w:sz w:val="28"/>
          <w:szCs w:val="28"/>
        </w:rPr>
        <w:t>），有效降低如「當事人」、「法院」等在所有判決中高頻出現但缺乏鑑別力之詞彙權重，並提升具備特定法律爭點意義之關鍵字權重。本研究藉此技術平衡長文本導致的噪訊，提升模型捕捉核心法律特徵的能力。</w:t>
      </w:r>
    </w:p>
    <w:p w14:paraId="39941B1A" w14:textId="77777777"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資料集劃分</w:t>
      </w:r>
      <w:r w:rsidRPr="00523799">
        <w:rPr>
          <w:rFonts w:ascii="Times New Roman" w:eastAsia="標楷體" w:hAnsi="Times New Roman" w:cs="Times New Roman"/>
          <w:sz w:val="28"/>
          <w:szCs w:val="28"/>
        </w:rPr>
        <w:t>：將資料集依照</w:t>
      </w:r>
      <w:r w:rsidRPr="00523799">
        <w:rPr>
          <w:rFonts w:ascii="Times New Roman" w:eastAsia="標楷體" w:hAnsi="Times New Roman" w:cs="Times New Roman"/>
          <w:sz w:val="28"/>
          <w:szCs w:val="28"/>
        </w:rPr>
        <w:t> </w:t>
      </w:r>
      <w:r w:rsidRPr="00523799">
        <w:rPr>
          <w:rFonts w:ascii="Times New Roman" w:eastAsia="標楷體" w:hAnsi="Times New Roman" w:cs="Times New Roman"/>
          <w:b/>
          <w:bCs/>
          <w:sz w:val="28"/>
          <w:szCs w:val="28"/>
        </w:rPr>
        <w:t>80:10:10</w:t>
      </w:r>
      <w:r w:rsidRPr="00523799">
        <w:rPr>
          <w:rFonts w:ascii="Times New Roman" w:eastAsia="標楷體" w:hAnsi="Times New Roman" w:cs="Times New Roman"/>
          <w:sz w:val="28"/>
          <w:szCs w:val="28"/>
        </w:rPr>
        <w:t> </w:t>
      </w:r>
      <w:r w:rsidRPr="00523799">
        <w:rPr>
          <w:rFonts w:ascii="Times New Roman" w:eastAsia="標楷體" w:hAnsi="Times New Roman" w:cs="Times New Roman"/>
          <w:sz w:val="28"/>
          <w:szCs w:val="28"/>
        </w:rPr>
        <w:t>的比例劃分為訓練集（</w:t>
      </w:r>
      <w:r w:rsidRPr="00523799">
        <w:rPr>
          <w:rFonts w:ascii="Times New Roman" w:eastAsia="標楷體" w:hAnsi="Times New Roman" w:cs="Times New Roman"/>
          <w:sz w:val="28"/>
          <w:szCs w:val="28"/>
        </w:rPr>
        <w:t>Training Set</w:t>
      </w:r>
      <w:r w:rsidRPr="00523799">
        <w:rPr>
          <w:rFonts w:ascii="Times New Roman" w:eastAsia="標楷體" w:hAnsi="Times New Roman" w:cs="Times New Roman"/>
          <w:sz w:val="28"/>
          <w:szCs w:val="28"/>
        </w:rPr>
        <w:t>）、驗證集（</w:t>
      </w:r>
      <w:r w:rsidRPr="00523799">
        <w:rPr>
          <w:rFonts w:ascii="Times New Roman" w:eastAsia="標楷體" w:hAnsi="Times New Roman" w:cs="Times New Roman"/>
          <w:sz w:val="28"/>
          <w:szCs w:val="28"/>
        </w:rPr>
        <w:t>Validation Set</w:t>
      </w:r>
      <w:r w:rsidRPr="00523799">
        <w:rPr>
          <w:rFonts w:ascii="Times New Roman" w:eastAsia="標楷體" w:hAnsi="Times New Roman" w:cs="Times New Roman"/>
          <w:sz w:val="28"/>
          <w:szCs w:val="28"/>
        </w:rPr>
        <w:t>）與測試集（</w:t>
      </w:r>
      <w:r w:rsidRPr="00523799">
        <w:rPr>
          <w:rFonts w:ascii="Times New Roman" w:eastAsia="標楷體" w:hAnsi="Times New Roman" w:cs="Times New Roman"/>
          <w:sz w:val="28"/>
          <w:szCs w:val="28"/>
        </w:rPr>
        <w:t>Test Set</w:t>
      </w:r>
      <w:r w:rsidRPr="00523799">
        <w:rPr>
          <w:rFonts w:ascii="Times New Roman" w:eastAsia="標楷體" w:hAnsi="Times New Roman" w:cs="Times New Roman"/>
          <w:sz w:val="28"/>
          <w:szCs w:val="28"/>
        </w:rPr>
        <w:t>），以確保模型評估的客觀性。</w:t>
      </w:r>
    </w:p>
    <w:p w14:paraId="01E07B8E" w14:textId="13B50711" w:rsidR="00523799" w:rsidRP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訓練集：</w:t>
      </w:r>
      <w:r w:rsidR="00512832">
        <w:rPr>
          <w:rFonts w:ascii="Times New Roman" w:eastAsia="標楷體" w:hAnsi="Times New Roman" w:cs="Times New Roman" w:hint="eastAsia"/>
          <w:sz w:val="28"/>
          <w:szCs w:val="28"/>
        </w:rPr>
        <w:t>7</w:t>
      </w:r>
      <w:r w:rsidRPr="00523799">
        <w:rPr>
          <w:rFonts w:ascii="Times New Roman" w:eastAsia="標楷體" w:hAnsi="Times New Roman" w:cs="Times New Roman"/>
          <w:sz w:val="28"/>
          <w:szCs w:val="28"/>
        </w:rPr>
        <w:t>0%</w:t>
      </w:r>
    </w:p>
    <w:p w14:paraId="1BF0B886" w14:textId="77777777" w:rsidR="00523799" w:rsidRP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驗證集：</w:t>
      </w:r>
      <w:r w:rsidRPr="00523799">
        <w:rPr>
          <w:rFonts w:ascii="Times New Roman" w:eastAsia="標楷體" w:hAnsi="Times New Roman" w:cs="Times New Roman"/>
          <w:sz w:val="28"/>
          <w:szCs w:val="28"/>
        </w:rPr>
        <w:t>10%</w:t>
      </w:r>
    </w:p>
    <w:p w14:paraId="7CE3C086" w14:textId="0ABEE133" w:rsidR="00523799" w:rsidRP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測試集：</w:t>
      </w:r>
      <w:r w:rsidR="00512832">
        <w:rPr>
          <w:rFonts w:ascii="Times New Roman" w:eastAsia="標楷體" w:hAnsi="Times New Roman" w:cs="Times New Roman" w:hint="eastAsia"/>
          <w:sz w:val="28"/>
          <w:szCs w:val="28"/>
        </w:rPr>
        <w:t>2</w:t>
      </w:r>
      <w:r w:rsidRPr="00523799">
        <w:rPr>
          <w:rFonts w:ascii="Times New Roman" w:eastAsia="標楷體" w:hAnsi="Times New Roman" w:cs="Times New Roman"/>
          <w:sz w:val="28"/>
          <w:szCs w:val="28"/>
        </w:rPr>
        <w:t>0%</w:t>
      </w:r>
    </w:p>
    <w:p w14:paraId="6D530F30" w14:textId="387E7E9E"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基於多項是逆回歸之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hint="eastAsia"/>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77777777" w:rsidR="00512832" w:rsidRPr="00512832" w:rsidRDefault="00512832" w:rsidP="00512832">
      <w:pPr>
        <w:outlineLvl w:val="0"/>
        <w:rPr>
          <w:rFonts w:ascii="Times New Roman" w:eastAsia="標楷體" w:hAnsi="Times New Roman" w:cs="Times New Roman" w:hint="eastAsia"/>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w:r w:rsidRPr="00512832">
        <w:rPr>
          <w:rFonts w:ascii="Times New Roman" w:eastAsia="標楷體" w:hAnsi="Times New Roman" w:cs="Times New Roman" w:hint="eastAsia"/>
          <w:sz w:val="28"/>
          <w:szCs w:val="28"/>
        </w:rPr>
        <w:t xml:space="preserve"> y </w:t>
      </w:r>
      <w:r w:rsidRPr="00512832">
        <w:rPr>
          <w:rFonts w:ascii="Times New Roman" w:eastAsia="標楷體" w:hAnsi="Times New Roman" w:cs="Times New Roman" w:hint="eastAsia"/>
          <w:sz w:val="28"/>
          <w:szCs w:val="28"/>
        </w:rPr>
        <w:t>直接對高維詞頻向量</w:t>
      </w:r>
      <w:r w:rsidRPr="00512832">
        <w:rPr>
          <w:rFonts w:ascii="Times New Roman" w:eastAsia="標楷體" w:hAnsi="Times New Roman" w:cs="Times New Roman" w:hint="eastAsia"/>
          <w:sz w:val="28"/>
          <w:szCs w:val="28"/>
        </w:rPr>
        <w:t xml:space="preserve"> x </w:t>
      </w:r>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Pr="00512832">
        <w:rPr>
          <w:rFonts w:ascii="Times New Roman" w:eastAsia="標楷體" w:hAnsi="Times New Roman" w:cs="Times New Roman" w:hint="eastAsia"/>
          <w:sz w:val="28"/>
          <w:szCs w:val="28"/>
        </w:rPr>
        <w:t xml:space="preserve"> x</w:t>
      </w:r>
      <w:r w:rsidRPr="00512832">
        <w:rPr>
          <w:rFonts w:ascii="Times New Roman" w:eastAsia="標楷體" w:hAnsi="Times New Roman" w:cs="Times New Roman" w:hint="eastAsia"/>
          <w:sz w:val="28"/>
          <w:szCs w:val="28"/>
        </w:rPr>
        <w:t>∣</w:t>
      </w:r>
      <w:r w:rsidRPr="00512832">
        <w:rPr>
          <w:rFonts w:ascii="Times New Roman" w:eastAsia="標楷體" w:hAnsi="Times New Roman" w:cs="Times New Roman" w:hint="eastAsia"/>
          <w:sz w:val="28"/>
          <w:szCs w:val="28"/>
        </w:rPr>
        <w:t>y</w:t>
      </w:r>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w:r w:rsidRPr="00512832">
        <w:rPr>
          <w:rFonts w:ascii="Times New Roman" w:eastAsia="標楷體" w:hAnsi="Times New Roman" w:cs="Times New Roman" w:hint="eastAsia"/>
          <w:sz w:val="28"/>
          <w:szCs w:val="28"/>
        </w:rPr>
        <w:t xml:space="preserve"> y </w:t>
      </w:r>
      <w:r w:rsidRPr="00512832">
        <w:rPr>
          <w:rFonts w:ascii="Times New Roman" w:eastAsia="標楷體" w:hAnsi="Times New Roman" w:cs="Times New Roman" w:hint="eastAsia"/>
          <w:sz w:val="28"/>
          <w:szCs w:val="28"/>
        </w:rPr>
        <w:t>相關的變異，而非僅僅是描述文本自身的隨機特徵。</w:t>
      </w:r>
    </w:p>
    <w:p w14:paraId="67387087" w14:textId="1CA5EE7A" w:rsid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lastRenderedPageBreak/>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i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5ADC9761" w:rsidR="00512832" w:rsidRPr="001B6901" w:rsidRDefault="001B6901" w:rsidP="00512832">
      <w:pPr>
        <w:outlineLvl w:val="0"/>
        <w:rPr>
          <w:rFonts w:ascii="Times New Roman" w:eastAsia="標楷體" w:hAnsi="Times New Roman" w:cs="Times New Roman" w:hint="eastAsia"/>
          <w:sz w:val="28"/>
          <w:szCs w:val="28"/>
        </w:rPr>
      </w:pPr>
      <m:oMathPara>
        <m:oMath>
          <m:r>
            <w:rPr>
              <w:rFonts w:ascii="Cambria Math" w:eastAsia="標楷體" w:hAnsi="Cambria Math" w:cs="Times New Roman"/>
              <w:sz w:val="28"/>
              <w:szCs w:val="28"/>
            </w:rPr>
            <m:t>x ~ MN()</m:t>
          </m:r>
        </m:oMath>
      </m:oMathPara>
    </w:p>
    <w:p w14:paraId="639C87DD" w14:textId="77777777" w:rsidR="001B6901" w:rsidRPr="001B6901" w:rsidRDefault="001B6901" w:rsidP="00512832">
      <w:pPr>
        <w:outlineLvl w:val="0"/>
        <w:rPr>
          <w:rFonts w:ascii="Times New Roman" w:eastAsia="標楷體" w:hAnsi="Times New Roman" w:cs="Times New Roman" w:hint="eastAsia"/>
          <w:sz w:val="28"/>
          <w:szCs w:val="28"/>
        </w:rPr>
      </w:pPr>
    </w:p>
    <w:p w14:paraId="5CBBB2FF" w14:textId="77777777" w:rsidR="001B6901" w:rsidRPr="001B6901" w:rsidRDefault="001B6901" w:rsidP="00512832">
      <w:pPr>
        <w:outlineLvl w:val="0"/>
        <w:rPr>
          <w:rFonts w:ascii="Times New Roman" w:eastAsia="標楷體" w:hAnsi="Times New Roman" w:cs="Times New Roman" w:hint="eastAsia"/>
          <w:sz w:val="28"/>
          <w:szCs w:val="28"/>
        </w:rPr>
      </w:pP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3364375E" w14:textId="7B41CE78" w:rsidR="00523799" w:rsidRDefault="00523799" w:rsidP="00512832">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效能評估</w:t>
      </w:r>
    </w:p>
    <w:p w14:paraId="3E5016D6"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為全面且客觀地評估各預測模型之效能，本研究採用多維度的評估指標。考量到法律判決中「勝訴」、「敗訴」及「部分勝訴</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敗訴」之樣本分佈不均（類別不平衡），本研究除計算整體指標外，亦針對各類別分別進行效能分析：</w:t>
      </w:r>
    </w:p>
    <w:p w14:paraId="2188D354" w14:textId="7C227587"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1. </w:t>
      </w:r>
      <w:r w:rsidRPr="00523799">
        <w:rPr>
          <w:rFonts w:ascii="Times New Roman" w:eastAsia="標楷體" w:hAnsi="Times New Roman" w:cs="Times New Roman"/>
          <w:b/>
          <w:bCs/>
          <w:sz w:val="28"/>
          <w:szCs w:val="28"/>
        </w:rPr>
        <w:t>準確率</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Accuracy</w:t>
      </w:r>
      <w:r w:rsidR="000E2DE2">
        <w:rPr>
          <w:rFonts w:ascii="Times New Roman" w:eastAsia="標楷體" w:hAnsi="Times New Roman" w:cs="Times New Roman"/>
          <w:b/>
          <w:bCs/>
          <w:sz w:val="28"/>
          <w:szCs w:val="28"/>
        </w:rPr>
        <w:t>）</w:t>
      </w:r>
    </w:p>
    <w:p w14:paraId="19201137"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準確率衡量模型對整體案件正確分類之比例。計算公式如下：</w:t>
      </w:r>
    </w:p>
    <w:p w14:paraId="43F78CCB" w14:textId="34B6B327" w:rsidR="00523799" w:rsidRPr="00523799" w:rsidRDefault="00523799" w:rsidP="008613E4">
      <w:pPr>
        <w:outlineLvl w:val="0"/>
        <w:rPr>
          <w:rFonts w:ascii="Times New Roman" w:eastAsia="標楷體" w:hAnsi="Times New Roman" w:cs="Times New Roman"/>
          <w:sz w:val="28"/>
          <w:szCs w:val="28"/>
        </w:rPr>
      </w:pPr>
      <m:oMathPara>
        <m:oMath>
          <m:r>
            <w:rPr>
              <w:rFonts w:ascii="Cambria Math" w:eastAsia="標楷體" w:hAnsi="Cambria Math" w:cs="Times New Roman" w:hint="eastAsia"/>
              <w:sz w:val="28"/>
              <w:szCs w:val="28"/>
            </w:rPr>
            <m:t>A</m:t>
          </m:r>
          <m:r>
            <w:rPr>
              <w:rFonts w:ascii="Cambria Math" w:eastAsia="標楷體" w:hAnsi="Cambria Math" w:cs="Times New Roman"/>
              <w:sz w:val="28"/>
              <w:szCs w:val="28"/>
            </w:rPr>
            <m:t>ccuracy=</m:t>
          </m:r>
          <m:f>
            <m:fPr>
              <m:ctrlPr>
                <w:rPr>
                  <w:rFonts w:ascii="Cambria Math" w:eastAsia="標楷體" w:hAnsi="Cambria Math" w:cs="Times New Roman"/>
                  <w:i/>
                  <w:sz w:val="28"/>
                  <w:szCs w:val="28"/>
                </w:rPr>
              </m:ctrlPr>
            </m:fPr>
            <m:num>
              <m:r>
                <w:rPr>
                  <w:rFonts w:ascii="Cambria Math" w:eastAsia="標楷體" w:hAnsi="Cambria Math" w:cs="Times New Roman"/>
                  <w:sz w:val="28"/>
                  <w:szCs w:val="28"/>
                </w:rPr>
                <m:t>TP+TN</m:t>
              </m:r>
            </m:num>
            <m:den>
              <m:r>
                <w:rPr>
                  <w:rFonts w:ascii="Cambria Math" w:eastAsia="標楷體" w:hAnsi="Cambria Math" w:cs="Times New Roman"/>
                  <w:sz w:val="28"/>
                  <w:szCs w:val="28"/>
                </w:rPr>
                <m:t>TP+YN+FP+FN</m:t>
              </m:r>
            </m:den>
          </m:f>
        </m:oMath>
      </m:oMathPara>
    </w:p>
    <w:p w14:paraId="0E033C8B"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雖為最直觀之指標，但在類別分佈不平衡的智財裁判數據中，準確率可能產生誤導，故本研究僅將其作為初步參考。</w:t>
      </w:r>
    </w:p>
    <w:p w14:paraId="2D3666DB" w14:textId="18706204"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2. </w:t>
      </w:r>
      <w:r w:rsidRPr="00523799">
        <w:rPr>
          <w:rFonts w:ascii="Times New Roman" w:eastAsia="標楷體" w:hAnsi="Times New Roman" w:cs="Times New Roman"/>
          <w:b/>
          <w:bCs/>
          <w:sz w:val="28"/>
          <w:szCs w:val="28"/>
        </w:rPr>
        <w:t>精確率</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Precision</w:t>
      </w:r>
      <w:r w:rsidR="000E2DE2">
        <w:rPr>
          <w:rFonts w:ascii="Times New Roman" w:eastAsia="標楷體" w:hAnsi="Times New Roman" w:cs="Times New Roman"/>
          <w:b/>
          <w:bCs/>
          <w:sz w:val="28"/>
          <w:szCs w:val="28"/>
        </w:rPr>
        <w:t>）</w:t>
      </w:r>
    </w:p>
    <w:p w14:paraId="1B14A88B"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精確率代表在模型預測為特定判決類別（如「勝訴」）的案件中，實際亦屬於該類別之比例。在法律實務中，高精確率意味著模型之預測結果具備較高的可靠性，能有效減少當事人對訴訟結果的錯誤期待。</w:t>
      </w:r>
    </w:p>
    <w:p w14:paraId="02928CD4" w14:textId="32288480"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3. </w:t>
      </w:r>
      <w:r w:rsidRPr="00523799">
        <w:rPr>
          <w:rFonts w:ascii="Times New Roman" w:eastAsia="標楷體" w:hAnsi="Times New Roman" w:cs="Times New Roman"/>
          <w:b/>
          <w:bCs/>
          <w:sz w:val="28"/>
          <w:szCs w:val="28"/>
        </w:rPr>
        <w:t>召回率</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Recall</w:t>
      </w:r>
      <w:r w:rsidR="000E2DE2">
        <w:rPr>
          <w:rFonts w:ascii="Times New Roman" w:eastAsia="標楷體" w:hAnsi="Times New Roman" w:cs="Times New Roman"/>
          <w:b/>
          <w:bCs/>
          <w:sz w:val="28"/>
          <w:szCs w:val="28"/>
        </w:rPr>
        <w:t>）</w:t>
      </w:r>
    </w:p>
    <w:p w14:paraId="4B315A8F"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召回率指在所有實際為某一類別的案件中，模型成功偵測並預測出的比例。高召回率代表模型能廣泛捕捉到具備特定法律特徵之案件，減少對潛在裁判結果的遺漏。</w:t>
      </w:r>
    </w:p>
    <w:p w14:paraId="3F6C0CF9" w14:textId="77777777"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4. F1-Score</w:t>
      </w:r>
    </w:p>
    <w:p w14:paraId="2F3A81F4"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 xml:space="preserve">F1-Score </w:t>
      </w:r>
      <w:r w:rsidRPr="00523799">
        <w:rPr>
          <w:rFonts w:ascii="Times New Roman" w:eastAsia="標楷體" w:hAnsi="Times New Roman" w:cs="Times New Roman"/>
          <w:sz w:val="28"/>
          <w:szCs w:val="28"/>
        </w:rPr>
        <w:t>為精確率與召回率之調和平均數（</w:t>
      </w:r>
      <w:r w:rsidRPr="00523799">
        <w:rPr>
          <w:rFonts w:ascii="Times New Roman" w:eastAsia="標楷體" w:hAnsi="Times New Roman" w:cs="Times New Roman"/>
          <w:sz w:val="28"/>
          <w:szCs w:val="28"/>
        </w:rPr>
        <w:t>Harmonic Mean</w:t>
      </w:r>
      <w:r w:rsidRPr="00523799">
        <w:rPr>
          <w:rFonts w:ascii="Times New Roman" w:eastAsia="標楷體" w:hAnsi="Times New Roman" w:cs="Times New Roman"/>
          <w:sz w:val="28"/>
          <w:szCs w:val="28"/>
        </w:rPr>
        <w:t>）。鑑於智慧財產權案件中「部分勝訴」樣本較為稀缺，本研究將</w:t>
      </w:r>
      <w:r w:rsidRPr="00523799">
        <w:rPr>
          <w:rFonts w:ascii="Times New Roman" w:eastAsia="標楷體" w:hAnsi="Times New Roman" w:cs="Times New Roman"/>
          <w:sz w:val="28"/>
          <w:szCs w:val="28"/>
        </w:rPr>
        <w:t xml:space="preserve"> F1-Score </w:t>
      </w:r>
      <w:r w:rsidRPr="00523799">
        <w:rPr>
          <w:rFonts w:ascii="Times New Roman" w:eastAsia="標楷體" w:hAnsi="Times New Roman" w:cs="Times New Roman"/>
          <w:sz w:val="28"/>
          <w:szCs w:val="28"/>
        </w:rPr>
        <w:t>視為核心評估指標，藉此平衡精確</w:t>
      </w:r>
      <w:r w:rsidRPr="00523799">
        <w:rPr>
          <w:rFonts w:ascii="Times New Roman" w:eastAsia="標楷體" w:hAnsi="Times New Roman" w:cs="Times New Roman"/>
          <w:sz w:val="28"/>
          <w:szCs w:val="28"/>
        </w:rPr>
        <w:lastRenderedPageBreak/>
        <w:t>度與涵蓋面，確保模型在各判決類別上皆具備穩健的辨識能力。</w:t>
      </w:r>
    </w:p>
    <w:p w14:paraId="72982AC8" w14:textId="7CA0D940"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5. </w:t>
      </w:r>
      <w:r w:rsidRPr="00523799">
        <w:rPr>
          <w:rFonts w:ascii="Times New Roman" w:eastAsia="標楷體" w:hAnsi="Times New Roman" w:cs="Times New Roman"/>
          <w:b/>
          <w:bCs/>
          <w:sz w:val="28"/>
          <w:szCs w:val="28"/>
        </w:rPr>
        <w:t>混淆矩陣</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Confusion Matrix</w:t>
      </w:r>
      <w:r w:rsidR="000E2DE2">
        <w:rPr>
          <w:rFonts w:ascii="Times New Roman" w:eastAsia="標楷體" w:hAnsi="Times New Roman" w:cs="Times New Roman"/>
          <w:b/>
          <w:bCs/>
          <w:sz w:val="28"/>
          <w:szCs w:val="28"/>
        </w:rPr>
        <w:t>）</w:t>
      </w:r>
    </w:p>
    <w:p w14:paraId="52AE1CE3"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透過混淆矩陣將模型的預測結果與實際標籤進行交叉比對。透過視覺化矩陣，本研究能具體觀察模型在「勝訴」與「部分勝訴」等模糊地帶之誤判傾向，進而從法理與文本特徵角度分析模型分類偏誤之成因，提供更具深度的誤差解析（</w:t>
      </w:r>
      <w:r w:rsidRPr="00523799">
        <w:rPr>
          <w:rFonts w:ascii="Times New Roman" w:eastAsia="標楷體" w:hAnsi="Times New Roman" w:cs="Times New Roman"/>
          <w:sz w:val="28"/>
          <w:szCs w:val="28"/>
        </w:rPr>
        <w:t>Error Analysis</w:t>
      </w:r>
      <w:r w:rsidRPr="00523799">
        <w:rPr>
          <w:rFonts w:ascii="Times New Roman" w:eastAsia="標楷體" w:hAnsi="Times New Roman" w:cs="Times New Roman"/>
          <w:sz w:val="28"/>
          <w:szCs w:val="28"/>
        </w:rPr>
        <w:t>）。</w:t>
      </w:r>
    </w:p>
    <w:p w14:paraId="084805A3" w14:textId="77777777" w:rsidR="00523799" w:rsidRPr="00523799" w:rsidRDefault="00523799" w:rsidP="008613E4">
      <w:pPr>
        <w:outlineLvl w:val="0"/>
        <w:rPr>
          <w:rFonts w:ascii="Times New Roman" w:eastAsia="標楷體" w:hAnsi="Times New Roman" w:cs="Times New Roman"/>
          <w:sz w:val="28"/>
          <w:szCs w:val="28"/>
        </w:rPr>
      </w:pPr>
    </w:p>
    <w:p w14:paraId="7BC6E990" w14:textId="7E5783EB" w:rsidR="00292760" w:rsidRDefault="00292760">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75EC764" w14:textId="48C52492" w:rsidR="00292760" w:rsidRDefault="00292760">
      <w:pPr>
        <w:widowControl/>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br w:type="page"/>
      </w:r>
    </w:p>
    <w:p w14:paraId="4D442E97" w14:textId="54D23D3F"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6"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7"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8"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9"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0"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1"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2"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3"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4"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15"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16"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https://www.mdpi.com/2227-7390/10/5/683</w:t>
        </w:r>
      </w:hyperlink>
    </w:p>
    <w:p w14:paraId="0CA506B4" w14:textId="77777777" w:rsidR="00214D9F" w:rsidRPr="007730BA" w:rsidRDefault="00214D9F"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21"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7"/>
  </w:num>
  <w:num w:numId="2" w16cid:durableId="332495658">
    <w:abstractNumId w:val="5"/>
  </w:num>
  <w:num w:numId="3" w16cid:durableId="1474056755">
    <w:abstractNumId w:val="10"/>
  </w:num>
  <w:num w:numId="4" w16cid:durableId="618529923">
    <w:abstractNumId w:val="4"/>
  </w:num>
  <w:num w:numId="5" w16cid:durableId="1926111099">
    <w:abstractNumId w:val="3"/>
  </w:num>
  <w:num w:numId="6" w16cid:durableId="1487816332">
    <w:abstractNumId w:val="1"/>
  </w:num>
  <w:num w:numId="7" w16cid:durableId="23483166">
    <w:abstractNumId w:val="6"/>
  </w:num>
  <w:num w:numId="8" w16cid:durableId="497426110">
    <w:abstractNumId w:val="9"/>
  </w:num>
  <w:num w:numId="9" w16cid:durableId="128788852">
    <w:abstractNumId w:val="8"/>
  </w:num>
  <w:num w:numId="10" w16cid:durableId="1123499005">
    <w:abstractNumId w:val="2"/>
  </w:num>
  <w:num w:numId="11" w16cid:durableId="1262228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210D"/>
    <w:rsid w:val="000232AA"/>
    <w:rsid w:val="00066B5D"/>
    <w:rsid w:val="000E2DE2"/>
    <w:rsid w:val="000E77F6"/>
    <w:rsid w:val="001421BD"/>
    <w:rsid w:val="00173AA7"/>
    <w:rsid w:val="001B6901"/>
    <w:rsid w:val="001F2EA2"/>
    <w:rsid w:val="00214D9F"/>
    <w:rsid w:val="00292760"/>
    <w:rsid w:val="002B6C4C"/>
    <w:rsid w:val="002C6512"/>
    <w:rsid w:val="002E79BA"/>
    <w:rsid w:val="003857B4"/>
    <w:rsid w:val="00404833"/>
    <w:rsid w:val="00427CCE"/>
    <w:rsid w:val="004365B1"/>
    <w:rsid w:val="00440C39"/>
    <w:rsid w:val="00483EF1"/>
    <w:rsid w:val="004E796F"/>
    <w:rsid w:val="004E7D6C"/>
    <w:rsid w:val="00512832"/>
    <w:rsid w:val="00523799"/>
    <w:rsid w:val="006F60ED"/>
    <w:rsid w:val="00734F6F"/>
    <w:rsid w:val="00751AA0"/>
    <w:rsid w:val="00751AD4"/>
    <w:rsid w:val="007730BA"/>
    <w:rsid w:val="007C5F68"/>
    <w:rsid w:val="00812D17"/>
    <w:rsid w:val="00816C7D"/>
    <w:rsid w:val="00836709"/>
    <w:rsid w:val="008613E4"/>
    <w:rsid w:val="00890639"/>
    <w:rsid w:val="0095337E"/>
    <w:rsid w:val="00A70996"/>
    <w:rsid w:val="00A82637"/>
    <w:rsid w:val="00A96572"/>
    <w:rsid w:val="00AB44DB"/>
    <w:rsid w:val="00AF1944"/>
    <w:rsid w:val="00B164D4"/>
    <w:rsid w:val="00B171A1"/>
    <w:rsid w:val="00B40694"/>
    <w:rsid w:val="00B9506F"/>
    <w:rsid w:val="00C207D2"/>
    <w:rsid w:val="00C5051C"/>
    <w:rsid w:val="00C7356B"/>
    <w:rsid w:val="00CC5EA4"/>
    <w:rsid w:val="00CD012C"/>
    <w:rsid w:val="00DE6133"/>
    <w:rsid w:val="00E335FB"/>
    <w:rsid w:val="00E446DA"/>
    <w:rsid w:val="00E56BC5"/>
    <w:rsid w:val="00EA1EC8"/>
    <w:rsid w:val="00EB1D54"/>
    <w:rsid w:val="00EE558B"/>
    <w:rsid w:val="00F002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21EF"/>
  <w15:chartTrackingRefBased/>
  <w15:docId w15:val="{CF473736-3BB9-461A-AF52-8BDFDDDD0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wdata.com.tw/File/DC/Journal/J441/A00700047_001.pdf" TargetMode="External"/><Relationship Id="rId13" Type="http://schemas.openxmlformats.org/officeDocument/2006/relationships/hyperlink" Target="https://www.aeaweb.org/articles?id=10.1257/app.20160390" TargetMode="External"/><Relationship Id="rId18" Type="http://schemas.openxmlformats.org/officeDocument/2006/relationships/hyperlink" Target="https://arxiv.org/abs/2502.10990" TargetMode="External"/><Relationship Id="rId3" Type="http://schemas.openxmlformats.org/officeDocument/2006/relationships/styles" Target="styles.xml"/><Relationship Id="rId21" Type="http://schemas.openxmlformats.org/officeDocument/2006/relationships/hyperlink" Target="https://naipnews.naipo.com/22251/" TargetMode="External"/><Relationship Id="rId7" Type="http://schemas.openxmlformats.org/officeDocument/2006/relationships/hyperlink" Target="https://lawdata.com.tw/tw/doi/?doi=10.3966/181130952013121002001" TargetMode="External"/><Relationship Id="rId12" Type="http://schemas.openxmlformats.org/officeDocument/2006/relationships/hyperlink" Target="https://www.researchgate.net/publication/385352804_Natural_Language_Processing_for_the_Legal_Domain_A_Survey_of_Tasks_Datasets_Models_and_Challenges" TargetMode="External"/><Relationship Id="rId17" Type="http://schemas.openxmlformats.org/officeDocument/2006/relationships/hyperlink" Target="https://arxiv.org/abs/2211.00974" TargetMode="External"/><Relationship Id="rId2" Type="http://schemas.openxmlformats.org/officeDocument/2006/relationships/numbering" Target="numbering.xml"/><Relationship Id="rId16" Type="http://schemas.openxmlformats.org/officeDocument/2006/relationships/hyperlink" Target="https://papers.ssrn.com/sol3/papers.cfm?abstract_id=2726903" TargetMode="External"/><Relationship Id="rId20" Type="http://schemas.openxmlformats.org/officeDocument/2006/relationships/hyperlink" Target="https://www.mdpi.com/2227-7390/10/5/683" TargetMode="External"/><Relationship Id="rId1" Type="http://schemas.openxmlformats.org/officeDocument/2006/relationships/customXml" Target="../customXml/item1.xml"/><Relationship Id="rId6" Type="http://schemas.openxmlformats.org/officeDocument/2006/relationships/hyperlink" Target="https://www.airitilibrary.com/Article/Detail/1018161x-201912-201912300022-201912300022-533-546" TargetMode="External"/><Relationship Id="rId11" Type="http://schemas.openxmlformats.org/officeDocument/2006/relationships/hyperlink" Target="https://github.com/ckiplab/ckip-transformers" TargetMode="External"/><Relationship Id="rId5" Type="http://schemas.openxmlformats.org/officeDocument/2006/relationships/webSettings" Target="webSettings.xml"/><Relationship Id="rId15" Type="http://schemas.openxmlformats.org/officeDocument/2006/relationships/hyperlink" Target="https://academic.oup.com/jleo/article/31/1/93/989593" TargetMode="External"/><Relationship Id="rId23" Type="http://schemas.openxmlformats.org/officeDocument/2006/relationships/theme" Target="theme/theme1.xml"/><Relationship Id="rId10" Type="http://schemas.openxmlformats.org/officeDocument/2006/relationships/hyperlink" Target="https://blog.csdn.net/superY_26/article/details/114844370" TargetMode="External"/><Relationship Id="rId19" Type="http://schemas.openxmlformats.org/officeDocument/2006/relationships/hyperlink" Target="https://www.mdpi.com/2076-3417/11/21/10361" TargetMode="External"/><Relationship Id="rId4" Type="http://schemas.openxmlformats.org/officeDocument/2006/relationships/settings" Target="settings.xml"/><Relationship Id="rId9" Type="http://schemas.openxmlformats.org/officeDocument/2006/relationships/hyperlink" Target="https://winklerpartners.com/zh/%E5%BE%9E%E6%95%B8%E6%93%9A%E4%B8%80%E6%8E%A2%E6%99%BA%E6%85%A7%E8%B2%A1%E7%94%A2%E6%B3%95%E9%99%A2%E9%81%8B%E4%BD%9C%E5%AF%A6%E6%B3%81-%E5%B0%88%E9%A1%8C%E4%B8%89-%E6%B0%91%E4%BA%8B/" TargetMode="External"/><Relationship Id="rId14" Type="http://schemas.openxmlformats.org/officeDocument/2006/relationships/hyperlink" Target="https://www.aeaweb.org/articles?id=10.1257/app.20170223" TargetMode="External"/><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1507</Words>
  <Characters>8591</Characters>
  <Application>Microsoft Office Word</Application>
  <DocSecurity>0</DocSecurity>
  <Lines>71</Lines>
  <Paragraphs>20</Paragraphs>
  <ScaleCrop>false</ScaleCrop>
  <Company/>
  <LinksUpToDate>false</LinksUpToDate>
  <CharactersWithSpaces>10078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cp:revision>
  <dcterms:created xsi:type="dcterms:W3CDTF">2026-01-27T06:28:00Z</dcterms:created>
  <dcterms:modified xsi:type="dcterms:W3CDTF">2026-03-05T12:51:00Z</dcterms:modified>
</cp:coreProperties>
</file>