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6584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3947DAC3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6160F0F0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50EE3D49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6A22B57E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2BE3DDFC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0F6E9D37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7773357C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06AAF95D" w14:textId="77777777" w:rsid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</w:p>
    <w:p w14:paraId="14F3DBD1" w14:textId="19D7CB9D" w:rsidR="00D00A10" w:rsidRPr="00D00A10" w:rsidRDefault="00D00A10" w:rsidP="00D00A10">
      <w:pPr>
        <w:rPr>
          <w:rFonts w:ascii="標楷體" w:eastAsia="標楷體" w:hAnsi="標楷體"/>
          <w:b/>
          <w:bCs/>
          <w:sz w:val="36"/>
          <w:szCs w:val="36"/>
        </w:rPr>
      </w:pPr>
      <w:r w:rsidRPr="00D00A10">
        <w:rPr>
          <w:rFonts w:ascii="標楷體" w:eastAsia="標楷體" w:hAnsi="標楷體"/>
          <w:b/>
          <w:bCs/>
          <w:sz w:val="36"/>
          <w:szCs w:val="36"/>
        </w:rPr>
        <w:t>2019 年度</w:t>
      </w:r>
      <w:proofErr w:type="gramStart"/>
      <w:r w:rsidRPr="00D00A10">
        <w:rPr>
          <w:rFonts w:ascii="標楷體" w:eastAsia="標楷體" w:hAnsi="標楷體"/>
          <w:b/>
          <w:bCs/>
          <w:sz w:val="36"/>
          <w:szCs w:val="36"/>
        </w:rPr>
        <w:t>臺</w:t>
      </w:r>
      <w:proofErr w:type="gramEnd"/>
      <w:r w:rsidRPr="00D00A10">
        <w:rPr>
          <w:rFonts w:ascii="標楷體" w:eastAsia="標楷體" w:hAnsi="標楷體"/>
          <w:b/>
          <w:bCs/>
          <w:sz w:val="36"/>
          <w:szCs w:val="36"/>
        </w:rPr>
        <w:t>指選擇權 (TXO) 隱含波動率分析摘要</w:t>
      </w:r>
    </w:p>
    <w:p w14:paraId="720E729A" w14:textId="77777777" w:rsidR="00D00A10" w:rsidRDefault="00D00A10" w:rsidP="00D00A10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                  </w:t>
      </w:r>
    </w:p>
    <w:p w14:paraId="167F36CD" w14:textId="77777777" w:rsidR="00D00A10" w:rsidRDefault="00D00A10" w:rsidP="00D00A10">
      <w:pPr>
        <w:rPr>
          <w:rFonts w:ascii="標楷體" w:eastAsia="標楷體" w:hAnsi="標楷體"/>
          <w:b/>
          <w:bCs/>
        </w:rPr>
      </w:pPr>
    </w:p>
    <w:p w14:paraId="4AE61D75" w14:textId="77777777" w:rsidR="00D00A10" w:rsidRDefault="00D00A10" w:rsidP="00D00A10">
      <w:pPr>
        <w:rPr>
          <w:rFonts w:ascii="標楷體" w:eastAsia="標楷體" w:hAnsi="標楷體"/>
          <w:b/>
          <w:bCs/>
        </w:rPr>
      </w:pPr>
    </w:p>
    <w:p w14:paraId="4D46BAD2" w14:textId="77777777" w:rsidR="00D00A10" w:rsidRDefault="00D00A10" w:rsidP="00D00A10">
      <w:pPr>
        <w:rPr>
          <w:rFonts w:ascii="標楷體" w:eastAsia="標楷體" w:hAnsi="標楷體"/>
          <w:b/>
          <w:bCs/>
        </w:rPr>
      </w:pPr>
    </w:p>
    <w:p w14:paraId="39178D51" w14:textId="77777777" w:rsidR="00D00A10" w:rsidRDefault="00D00A10" w:rsidP="00D00A10">
      <w:pPr>
        <w:rPr>
          <w:rFonts w:ascii="標楷體" w:eastAsia="標楷體" w:hAnsi="標楷體"/>
          <w:b/>
          <w:bCs/>
        </w:rPr>
      </w:pPr>
    </w:p>
    <w:p w14:paraId="0ED48878" w14:textId="77777777" w:rsidR="00D00A10" w:rsidRDefault="00D00A10" w:rsidP="00D00A10">
      <w:pPr>
        <w:rPr>
          <w:rFonts w:ascii="標楷體" w:eastAsia="標楷體" w:hAnsi="標楷體"/>
          <w:b/>
          <w:bCs/>
        </w:rPr>
      </w:pPr>
    </w:p>
    <w:p w14:paraId="0A1F4C13" w14:textId="77777777" w:rsidR="00D00A10" w:rsidRDefault="00D00A10" w:rsidP="00D00A10">
      <w:pPr>
        <w:rPr>
          <w:rFonts w:ascii="標楷體" w:eastAsia="標楷體" w:hAnsi="標楷體"/>
          <w:b/>
          <w:bCs/>
        </w:rPr>
      </w:pPr>
    </w:p>
    <w:p w14:paraId="00BC1CF7" w14:textId="77777777" w:rsidR="00D00A10" w:rsidRDefault="00D00A10" w:rsidP="00D00A10">
      <w:pPr>
        <w:rPr>
          <w:rFonts w:ascii="標楷體" w:eastAsia="標楷體" w:hAnsi="標楷體"/>
          <w:b/>
          <w:bCs/>
        </w:rPr>
      </w:pPr>
    </w:p>
    <w:p w14:paraId="6A44B059" w14:textId="6DB62BD3" w:rsidR="00D00A10" w:rsidRPr="00D00A10" w:rsidRDefault="00D00A10" w:rsidP="00D00A10">
      <w:pPr>
        <w:jc w:val="right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411236022 財金三 鄭廷宸 </w:t>
      </w:r>
      <w:r w:rsidRPr="00D00A10">
        <w:rPr>
          <w:rFonts w:ascii="標楷體" w:eastAsia="標楷體" w:hAnsi="標楷體"/>
          <w:b/>
          <w:bCs/>
        </w:rPr>
        <w:t>負責年度：2019</w:t>
      </w:r>
    </w:p>
    <w:p w14:paraId="49AD5028" w14:textId="77777777" w:rsidR="00E50005" w:rsidRPr="00E50005" w:rsidRDefault="00E50005" w:rsidP="00E50005">
      <w:pPr>
        <w:rPr>
          <w:rFonts w:ascii="標楷體" w:eastAsia="標楷體" w:hAnsi="標楷體"/>
          <w:b/>
          <w:bCs/>
          <w:sz w:val="28"/>
          <w:szCs w:val="28"/>
        </w:rPr>
      </w:pPr>
      <w:r w:rsidRPr="00E50005">
        <w:rPr>
          <w:rFonts w:ascii="標楷體" w:eastAsia="標楷體" w:hAnsi="標楷體"/>
          <w:b/>
          <w:bCs/>
          <w:sz w:val="28"/>
          <w:szCs w:val="28"/>
        </w:rPr>
        <w:lastRenderedPageBreak/>
        <w:t>一、 研究大綱與資料說明</w:t>
      </w:r>
    </w:p>
    <w:p w14:paraId="18E8DC3C" w14:textId="77777777" w:rsidR="00E50005" w:rsidRPr="00E50005" w:rsidRDefault="00E50005" w:rsidP="00E50005">
      <w:pPr>
        <w:numPr>
          <w:ilvl w:val="0"/>
          <w:numId w:val="6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資料來源</w:t>
      </w:r>
      <w:r w:rsidRPr="00E50005">
        <w:rPr>
          <w:rFonts w:ascii="標楷體" w:eastAsia="標楷體" w:hAnsi="標楷體"/>
        </w:rPr>
        <w:t>：</w:t>
      </w:r>
      <w:proofErr w:type="gramStart"/>
      <w:r w:rsidRPr="00E50005">
        <w:rPr>
          <w:rFonts w:ascii="標楷體" w:eastAsia="標楷體" w:hAnsi="標楷體"/>
        </w:rPr>
        <w:t>臺</w:t>
      </w:r>
      <w:proofErr w:type="gramEnd"/>
      <w:r w:rsidRPr="00E50005">
        <w:rPr>
          <w:rFonts w:ascii="標楷體" w:eastAsia="標楷體" w:hAnsi="標楷體"/>
        </w:rPr>
        <w:t>指選擇權 (TXO) 逐筆交易資料。</w:t>
      </w:r>
    </w:p>
    <w:p w14:paraId="3855AB23" w14:textId="77777777" w:rsidR="00E50005" w:rsidRPr="00E50005" w:rsidRDefault="00E50005" w:rsidP="00E50005">
      <w:pPr>
        <w:numPr>
          <w:ilvl w:val="0"/>
          <w:numId w:val="6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指標定義</w:t>
      </w:r>
      <w:r w:rsidRPr="00E50005">
        <w:rPr>
          <w:rFonts w:ascii="標楷體" w:eastAsia="標楷體" w:hAnsi="標楷體"/>
        </w:rPr>
        <w:t>：</w:t>
      </w:r>
    </w:p>
    <w:p w14:paraId="4993202D" w14:textId="77777777" w:rsidR="00E50005" w:rsidRPr="00E50005" w:rsidRDefault="00E50005" w:rsidP="00E50005">
      <w:pPr>
        <w:numPr>
          <w:ilvl w:val="1"/>
          <w:numId w:val="6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平均數 (Mean)</w:t>
      </w:r>
      <w:r w:rsidRPr="00E50005">
        <w:rPr>
          <w:rFonts w:ascii="標楷體" w:eastAsia="標楷體" w:hAnsi="標楷體"/>
        </w:rPr>
        <w:t>：衡量市場情緒中心，反映當前</w:t>
      </w:r>
      <w:proofErr w:type="gramStart"/>
      <w:r w:rsidRPr="00E50005">
        <w:rPr>
          <w:rFonts w:ascii="標楷體" w:eastAsia="標楷體" w:hAnsi="標楷體"/>
        </w:rPr>
        <w:t>恐慌溢</w:t>
      </w:r>
      <w:proofErr w:type="gramEnd"/>
      <w:r w:rsidRPr="00E50005">
        <w:rPr>
          <w:rFonts w:ascii="標楷體" w:eastAsia="標楷體" w:hAnsi="標楷體"/>
        </w:rPr>
        <w:t>價。</w:t>
      </w:r>
    </w:p>
    <w:p w14:paraId="2C463C9C" w14:textId="77777777" w:rsidR="00E50005" w:rsidRPr="00E50005" w:rsidRDefault="00E50005" w:rsidP="00E50005">
      <w:pPr>
        <w:numPr>
          <w:ilvl w:val="1"/>
          <w:numId w:val="6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樣本標準差 (Std)</w:t>
      </w:r>
      <w:r w:rsidRPr="00E50005">
        <w:rPr>
          <w:rFonts w:ascii="標楷體" w:eastAsia="標楷體" w:hAnsi="標楷體"/>
        </w:rPr>
        <w:t>：衡量投資人看法分歧度。Std 越大，代表定價共識越低。</w:t>
      </w:r>
    </w:p>
    <w:p w14:paraId="1D8FF37B" w14:textId="77777777" w:rsidR="00E50005" w:rsidRPr="00E50005" w:rsidRDefault="00E50005" w:rsidP="00E50005">
      <w:pPr>
        <w:numPr>
          <w:ilvl w:val="1"/>
          <w:numId w:val="6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PCR</w:t>
      </w:r>
      <w:r w:rsidRPr="00E50005">
        <w:rPr>
          <w:rFonts w:ascii="標楷體" w:eastAsia="標楷體" w:hAnsi="標楷體"/>
        </w:rPr>
        <w:t>：作為多空情緒輔助指標。</w:t>
      </w:r>
    </w:p>
    <w:p w14:paraId="367C821D" w14:textId="77777777" w:rsidR="00E50005" w:rsidRPr="00E50005" w:rsidRDefault="00E50005" w:rsidP="00E50005">
      <w:pPr>
        <w:numPr>
          <w:ilvl w:val="0"/>
          <w:numId w:val="6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資料清理備註</w:t>
      </w:r>
      <w:r w:rsidRPr="00E50005">
        <w:rPr>
          <w:rFonts w:ascii="標楷體" w:eastAsia="標楷體" w:hAnsi="標楷體"/>
        </w:rPr>
        <w:t>：</w:t>
      </w:r>
    </w:p>
    <w:p w14:paraId="61985080" w14:textId="77777777" w:rsidR="00E50005" w:rsidRPr="00E50005" w:rsidRDefault="00E50005" w:rsidP="00E50005">
      <w:pPr>
        <w:numPr>
          <w:ilvl w:val="1"/>
          <w:numId w:val="6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</w:rPr>
        <w:t>在處理 1 月份原始資料時，發現 1/2 及 1/11 有少數樣本 IV 低於 3%（如 2.2%），判定為開盤初期成交量極低之</w:t>
      </w:r>
      <w:r w:rsidRPr="00E50005">
        <w:rPr>
          <w:rFonts w:ascii="標楷體" w:eastAsia="標楷體" w:hAnsi="標楷體"/>
          <w:b/>
          <w:bCs/>
        </w:rPr>
        <w:t>異常離群值</w:t>
      </w:r>
      <w:r w:rsidRPr="00E50005">
        <w:rPr>
          <w:rFonts w:ascii="標楷體" w:eastAsia="標楷體" w:hAnsi="標楷體"/>
        </w:rPr>
        <w:t xml:space="preserve">。分析時以 1 月中旬後趨於穩定的 </w:t>
      </w:r>
      <w:r w:rsidRPr="00E50005">
        <w:rPr>
          <w:rFonts w:ascii="標楷體" w:eastAsia="標楷體" w:hAnsi="標楷體"/>
          <w:b/>
          <w:bCs/>
        </w:rPr>
        <w:t>10% - 13%</w:t>
      </w:r>
      <w:r w:rsidRPr="00E50005">
        <w:rPr>
          <w:rFonts w:ascii="標楷體" w:eastAsia="標楷體" w:hAnsi="標楷體"/>
        </w:rPr>
        <w:t xml:space="preserve"> 區間作為研究起點。</w:t>
      </w:r>
    </w:p>
    <w:p w14:paraId="2B5520A8" w14:textId="77777777" w:rsidR="00E50005" w:rsidRPr="00E50005" w:rsidRDefault="00E50005" w:rsidP="00E50005">
      <w:pPr>
        <w:rPr>
          <w:rFonts w:ascii="標楷體" w:eastAsia="標楷體" w:hAnsi="標楷體"/>
          <w:b/>
          <w:bCs/>
          <w:sz w:val="28"/>
          <w:szCs w:val="28"/>
        </w:rPr>
      </w:pPr>
      <w:r w:rsidRPr="00E50005">
        <w:rPr>
          <w:rFonts w:ascii="標楷體" w:eastAsia="標楷體" w:hAnsi="標楷體"/>
          <w:b/>
          <w:bCs/>
          <w:sz w:val="28"/>
          <w:szCs w:val="28"/>
        </w:rPr>
        <w:t>二、 實證結果分析</w:t>
      </w:r>
    </w:p>
    <w:p w14:paraId="7BD2A4EB" w14:textId="77777777" w:rsidR="00E50005" w:rsidRDefault="00E50005" w:rsidP="00E50005">
      <w:pPr>
        <w:rPr>
          <w:rFonts w:ascii="標楷體" w:eastAsia="標楷體" w:hAnsi="標楷體"/>
          <w:b/>
          <w:bCs/>
        </w:rPr>
      </w:pPr>
      <w:r w:rsidRPr="00E50005">
        <w:rPr>
          <w:rFonts w:ascii="標楷體" w:eastAsia="標楷體" w:hAnsi="標楷體"/>
          <w:b/>
          <w:bCs/>
        </w:rPr>
        <w:t xml:space="preserve">1. 隱含波動率 (IV) </w:t>
      </w:r>
      <w:proofErr w:type="gramStart"/>
      <w:r w:rsidRPr="00E50005">
        <w:rPr>
          <w:rFonts w:ascii="標楷體" w:eastAsia="標楷體" w:hAnsi="標楷體"/>
          <w:b/>
          <w:bCs/>
        </w:rPr>
        <w:t>均值趨勢</w:t>
      </w:r>
      <w:proofErr w:type="gramEnd"/>
    </w:p>
    <w:p w14:paraId="0208EBA5" w14:textId="526377C4" w:rsidR="00E50005" w:rsidRPr="00E50005" w:rsidRDefault="00E50005" w:rsidP="00E50005">
      <w:pPr>
        <w:rPr>
          <w:rFonts w:ascii="標楷體" w:eastAsia="標楷體" w:hAnsi="標楷體" w:hint="eastAsia"/>
          <w:b/>
          <w:bCs/>
        </w:rPr>
      </w:pPr>
      <w:r w:rsidRPr="00E50005">
        <w:rPr>
          <w:rFonts w:ascii="標楷體" w:eastAsia="標楷體" w:hAnsi="標楷體"/>
          <w:b/>
          <w:bCs/>
        </w:rPr>
        <w:drawing>
          <wp:inline distT="0" distB="0" distL="0" distR="0" wp14:anchorId="4CF66D99" wp14:editId="613A7B6D">
            <wp:extent cx="3528060" cy="1887768"/>
            <wp:effectExtent l="0" t="0" r="0" b="0"/>
            <wp:docPr id="1286280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80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2086" cy="18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CE0B" w14:textId="77777777" w:rsidR="00E50005" w:rsidRPr="00E50005" w:rsidRDefault="00E50005" w:rsidP="00E50005">
      <w:pPr>
        <w:numPr>
          <w:ilvl w:val="0"/>
          <w:numId w:val="7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趨勢觀察</w:t>
      </w:r>
      <w:r w:rsidRPr="00E50005">
        <w:rPr>
          <w:rFonts w:ascii="標楷體" w:eastAsia="標楷體" w:hAnsi="標楷體"/>
        </w:rPr>
        <w:t xml:space="preserve">：2019 年初 IV </w:t>
      </w:r>
      <w:proofErr w:type="gramStart"/>
      <w:r w:rsidRPr="00E50005">
        <w:rPr>
          <w:rFonts w:ascii="標楷體" w:eastAsia="標楷體" w:hAnsi="標楷體"/>
        </w:rPr>
        <w:t>均值約</w:t>
      </w:r>
      <w:proofErr w:type="gramEnd"/>
      <w:r w:rsidRPr="00E50005">
        <w:rPr>
          <w:rFonts w:ascii="標楷體" w:eastAsia="標楷體" w:hAnsi="標楷體"/>
        </w:rPr>
        <w:t xml:space="preserve">落在 </w:t>
      </w:r>
      <w:r w:rsidRPr="00E50005">
        <w:rPr>
          <w:rFonts w:ascii="標楷體" w:eastAsia="標楷體" w:hAnsi="標楷體"/>
          <w:b/>
          <w:bCs/>
        </w:rPr>
        <w:t>10% 至 13%</w:t>
      </w:r>
      <w:r w:rsidRPr="00E50005">
        <w:rPr>
          <w:rFonts w:ascii="標楷體" w:eastAsia="標楷體" w:hAnsi="標楷體"/>
        </w:rPr>
        <w:t>。全年度呈現震盪墊高的趨勢。</w:t>
      </w:r>
    </w:p>
    <w:p w14:paraId="3BA673CF" w14:textId="77777777" w:rsidR="00E50005" w:rsidRPr="00E50005" w:rsidRDefault="00E50005" w:rsidP="00E50005">
      <w:pPr>
        <w:numPr>
          <w:ilvl w:val="0"/>
          <w:numId w:val="7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關鍵轉折</w:t>
      </w:r>
      <w:r w:rsidRPr="00E50005">
        <w:rPr>
          <w:rFonts w:ascii="標楷體" w:eastAsia="標楷體" w:hAnsi="標楷體"/>
        </w:rPr>
        <w:t xml:space="preserve">：進入第四季後，IV 出現顯著爬升，12 月最高點觸及 </w:t>
      </w:r>
      <w:r w:rsidRPr="00E50005">
        <w:rPr>
          <w:rFonts w:ascii="標楷體" w:eastAsia="標楷體" w:hAnsi="標楷體"/>
          <w:b/>
          <w:bCs/>
        </w:rPr>
        <w:t>20.3%</w:t>
      </w:r>
      <w:r w:rsidRPr="00E50005">
        <w:rPr>
          <w:rFonts w:ascii="標楷體" w:eastAsia="標楷體" w:hAnsi="標楷體"/>
        </w:rPr>
        <w:t>。</w:t>
      </w:r>
    </w:p>
    <w:p w14:paraId="7BB590AE" w14:textId="77777777" w:rsidR="00E50005" w:rsidRPr="00E50005" w:rsidRDefault="00E50005" w:rsidP="00E50005">
      <w:pPr>
        <w:numPr>
          <w:ilvl w:val="0"/>
          <w:numId w:val="7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財務含意</w:t>
      </w:r>
      <w:r w:rsidRPr="00E50005">
        <w:rPr>
          <w:rFonts w:ascii="標楷體" w:eastAsia="標楷體" w:hAnsi="標楷體"/>
        </w:rPr>
        <w:t>：這量化了市場避險成本在</w:t>
      </w:r>
      <w:proofErr w:type="gramStart"/>
      <w:r w:rsidRPr="00E50005">
        <w:rPr>
          <w:rFonts w:ascii="標楷體" w:eastAsia="標楷體" w:hAnsi="標楷體"/>
        </w:rPr>
        <w:t>一</w:t>
      </w:r>
      <w:proofErr w:type="gramEnd"/>
      <w:r w:rsidRPr="00E50005">
        <w:rPr>
          <w:rFonts w:ascii="標楷體" w:eastAsia="標楷體" w:hAnsi="標楷體"/>
        </w:rPr>
        <w:t>年內增長了近一</w:t>
      </w:r>
      <w:proofErr w:type="gramStart"/>
      <w:r w:rsidRPr="00E50005">
        <w:rPr>
          <w:rFonts w:ascii="標楷體" w:eastAsia="標楷體" w:hAnsi="標楷體"/>
        </w:rPr>
        <w:t>倍</w:t>
      </w:r>
      <w:proofErr w:type="gramEnd"/>
      <w:r w:rsidRPr="00E50005">
        <w:rPr>
          <w:rFonts w:ascii="標楷體" w:eastAsia="標楷體" w:hAnsi="標楷體"/>
        </w:rPr>
        <w:t xml:space="preserve">。反映出在 </w:t>
      </w:r>
      <w:r w:rsidRPr="00E50005">
        <w:rPr>
          <w:rFonts w:ascii="標楷體" w:eastAsia="標楷體" w:hAnsi="標楷體"/>
        </w:rPr>
        <w:lastRenderedPageBreak/>
        <w:t>2020 年</w:t>
      </w:r>
      <w:proofErr w:type="gramStart"/>
      <w:r w:rsidRPr="00E50005">
        <w:rPr>
          <w:rFonts w:ascii="標楷體" w:eastAsia="標楷體" w:hAnsi="標楷體"/>
        </w:rPr>
        <w:t>疫</w:t>
      </w:r>
      <w:proofErr w:type="gramEnd"/>
      <w:r w:rsidRPr="00E50005">
        <w:rPr>
          <w:rFonts w:ascii="標楷體" w:eastAsia="標楷體" w:hAnsi="標楷體"/>
        </w:rPr>
        <w:t>情爆發前，市場已針對美中貿易戰等不確定因素進行「風險預警定價」。</w:t>
      </w:r>
    </w:p>
    <w:p w14:paraId="7F7C6429" w14:textId="77777777" w:rsidR="00E50005" w:rsidRDefault="00E50005" w:rsidP="00E50005">
      <w:pPr>
        <w:rPr>
          <w:rFonts w:ascii="標楷體" w:eastAsia="標楷體" w:hAnsi="標楷體"/>
          <w:b/>
          <w:bCs/>
        </w:rPr>
      </w:pPr>
      <w:r w:rsidRPr="00E50005">
        <w:rPr>
          <w:rFonts w:ascii="標楷體" w:eastAsia="標楷體" w:hAnsi="標楷體"/>
          <w:b/>
          <w:bCs/>
        </w:rPr>
        <w:t>2. 市場看法分歧度分析 (Std)</w:t>
      </w:r>
    </w:p>
    <w:p w14:paraId="1534204A" w14:textId="6F2C5334" w:rsidR="00E50005" w:rsidRPr="00E50005" w:rsidRDefault="00E50005" w:rsidP="00E50005">
      <w:pPr>
        <w:rPr>
          <w:rFonts w:ascii="標楷體" w:eastAsia="標楷體" w:hAnsi="標楷體"/>
          <w:b/>
          <w:bCs/>
        </w:rPr>
      </w:pPr>
      <w:r w:rsidRPr="00E50005">
        <w:rPr>
          <w:rFonts w:ascii="標楷體" w:eastAsia="標楷體" w:hAnsi="標楷體"/>
          <w:b/>
          <w:bCs/>
        </w:rPr>
        <w:drawing>
          <wp:inline distT="0" distB="0" distL="0" distR="0" wp14:anchorId="1280E775" wp14:editId="0ABC0A43">
            <wp:extent cx="3596640" cy="2076675"/>
            <wp:effectExtent l="0" t="0" r="3810" b="0"/>
            <wp:docPr id="7450910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9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1159" cy="209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69F6" w14:textId="77777777" w:rsidR="00E50005" w:rsidRPr="00E50005" w:rsidRDefault="00E50005" w:rsidP="00E50005">
      <w:pPr>
        <w:numPr>
          <w:ilvl w:val="0"/>
          <w:numId w:val="8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統計特徵</w:t>
      </w:r>
      <w:r w:rsidRPr="00E50005">
        <w:rPr>
          <w:rFonts w:ascii="標楷體" w:eastAsia="標楷體" w:hAnsi="標楷體"/>
        </w:rPr>
        <w:t xml:space="preserve">：全年度樣本標準差 (Std) 長期穩定在 </w:t>
      </w:r>
      <w:r w:rsidRPr="00E50005">
        <w:rPr>
          <w:rFonts w:ascii="標楷體" w:eastAsia="標楷體" w:hAnsi="標楷體"/>
          <w:b/>
          <w:bCs/>
        </w:rPr>
        <w:t>0.05 以下</w:t>
      </w:r>
      <w:r w:rsidRPr="00E50005">
        <w:rPr>
          <w:rFonts w:ascii="標楷體" w:eastAsia="標楷體" w:hAnsi="標楷體"/>
        </w:rPr>
        <w:t>。</w:t>
      </w:r>
    </w:p>
    <w:p w14:paraId="50BCDFF4" w14:textId="77777777" w:rsidR="00E50005" w:rsidRPr="00E50005" w:rsidRDefault="00E50005" w:rsidP="00E50005">
      <w:pPr>
        <w:numPr>
          <w:ilvl w:val="0"/>
          <w:numId w:val="8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含意解讀</w:t>
      </w:r>
      <w:r w:rsidRPr="00E50005">
        <w:rPr>
          <w:rFonts w:ascii="標楷體" w:eastAsia="標楷體" w:hAnsi="標楷體"/>
        </w:rPr>
        <w:t>：低標準差代表同日交易樣本的 IV 分布集中。說明 2019 年雖然情緒增溫，但投資人對於未來預期具有高度「共識」，市場定價機制功能健全。</w:t>
      </w:r>
    </w:p>
    <w:p w14:paraId="78E86875" w14:textId="545A76D1" w:rsidR="00E50005" w:rsidRPr="00E50005" w:rsidRDefault="00E50005" w:rsidP="00E50005">
      <w:pPr>
        <w:pStyle w:val="a9"/>
        <w:numPr>
          <w:ilvl w:val="0"/>
          <w:numId w:val="6"/>
        </w:numPr>
        <w:rPr>
          <w:rFonts w:ascii="標楷體" w:eastAsia="標楷體" w:hAnsi="標楷體"/>
          <w:b/>
          <w:bCs/>
        </w:rPr>
      </w:pPr>
      <w:r w:rsidRPr="00E50005">
        <w:rPr>
          <w:rFonts w:ascii="標楷體" w:eastAsia="標楷體" w:hAnsi="標楷體"/>
          <w:b/>
          <w:bCs/>
        </w:rPr>
        <w:t>PCR 情緒輔助分析</w:t>
      </w:r>
    </w:p>
    <w:p w14:paraId="0BCD0C38" w14:textId="06549C49" w:rsidR="00E50005" w:rsidRPr="00E50005" w:rsidRDefault="00E50005" w:rsidP="00E50005">
      <w:pPr>
        <w:ind w:left="360"/>
        <w:rPr>
          <w:rFonts w:ascii="標楷體" w:eastAsia="標楷體" w:hAnsi="標楷體" w:hint="eastAsia"/>
          <w:b/>
          <w:bCs/>
        </w:rPr>
      </w:pPr>
      <w:r w:rsidRPr="00E50005">
        <w:rPr>
          <w:rFonts w:ascii="標楷體" w:eastAsia="標楷體" w:hAnsi="標楷體"/>
          <w:b/>
          <w:bCs/>
        </w:rPr>
        <w:drawing>
          <wp:inline distT="0" distB="0" distL="0" distR="0" wp14:anchorId="76FC4654" wp14:editId="386A7315">
            <wp:extent cx="3489960" cy="2147570"/>
            <wp:effectExtent l="0" t="0" r="0" b="5080"/>
            <wp:docPr id="120481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1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6498" cy="215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4206" w14:textId="77777777" w:rsidR="00E50005" w:rsidRPr="00E50005" w:rsidRDefault="00E50005" w:rsidP="00E50005">
      <w:pPr>
        <w:numPr>
          <w:ilvl w:val="0"/>
          <w:numId w:val="9"/>
        </w:numPr>
        <w:rPr>
          <w:rFonts w:ascii="標楷體" w:eastAsia="標楷體" w:hAnsi="標楷體"/>
        </w:rPr>
      </w:pPr>
      <w:r w:rsidRPr="00E50005">
        <w:rPr>
          <w:rFonts w:ascii="標楷體" w:eastAsia="標楷體" w:hAnsi="標楷體"/>
          <w:b/>
          <w:bCs/>
        </w:rPr>
        <w:t>聯動分析</w:t>
      </w:r>
      <w:r w:rsidRPr="00E50005">
        <w:rPr>
          <w:rFonts w:ascii="標楷體" w:eastAsia="標楷體" w:hAnsi="標楷體"/>
        </w:rPr>
        <w:t>：PCR 走勢與 IV 變動高度相關。當 IV 爬升時，PCR 維持在特定位階，印證看跌投資人 (Put) 的避險行為與市場焦慮感同步增加。</w:t>
      </w:r>
    </w:p>
    <w:p w14:paraId="167D9ADA" w14:textId="77777777" w:rsidR="00E50005" w:rsidRPr="00E50005" w:rsidRDefault="00E50005" w:rsidP="00E50005">
      <w:pPr>
        <w:rPr>
          <w:rFonts w:ascii="標楷體" w:eastAsia="標楷體" w:hAnsi="標楷體"/>
          <w:b/>
          <w:bCs/>
          <w:sz w:val="28"/>
          <w:szCs w:val="28"/>
        </w:rPr>
      </w:pPr>
      <w:r w:rsidRPr="00E50005">
        <w:rPr>
          <w:rFonts w:ascii="標楷體" w:eastAsia="標楷體" w:hAnsi="標楷體"/>
          <w:b/>
          <w:bCs/>
          <w:sz w:val="28"/>
          <w:szCs w:val="28"/>
        </w:rPr>
        <w:t>三、 總結</w:t>
      </w:r>
    </w:p>
    <w:p w14:paraId="6BAA5949" w14:textId="77777777" w:rsidR="00E50005" w:rsidRPr="00E50005" w:rsidRDefault="00E50005" w:rsidP="00E50005">
      <w:pPr>
        <w:rPr>
          <w:rFonts w:ascii="標楷體" w:eastAsia="標楷體" w:hAnsi="標楷體"/>
        </w:rPr>
      </w:pPr>
      <w:r w:rsidRPr="00E50005">
        <w:rPr>
          <w:rFonts w:ascii="標楷體" w:eastAsia="標楷體" w:hAnsi="標楷體"/>
        </w:rPr>
        <w:t xml:space="preserve">2019 年是從「極低波動環境」轉換至「風險預警階段」的關鍵年度。雖然 IV </w:t>
      </w:r>
      <w:r w:rsidRPr="00E50005">
        <w:rPr>
          <w:rFonts w:ascii="標楷體" w:eastAsia="標楷體" w:hAnsi="標楷體"/>
        </w:rPr>
        <w:lastRenderedPageBreak/>
        <w:t>翻</w:t>
      </w:r>
      <w:proofErr w:type="gramStart"/>
      <w:r w:rsidRPr="00E50005">
        <w:rPr>
          <w:rFonts w:ascii="標楷體" w:eastAsia="標楷體" w:hAnsi="標楷體"/>
        </w:rPr>
        <w:t>倍</w:t>
      </w:r>
      <w:proofErr w:type="gramEnd"/>
      <w:r w:rsidRPr="00E50005">
        <w:rPr>
          <w:rFonts w:ascii="標楷體" w:eastAsia="標楷體" w:hAnsi="標楷體"/>
        </w:rPr>
        <w:t>，但因 Std 保持低位，顯示市場仍處於「有共識的震盪」。這與 2020 年 3 月「恐慌且共識瓦解」的極端市</w:t>
      </w:r>
      <w:proofErr w:type="gramStart"/>
      <w:r w:rsidRPr="00E50005">
        <w:rPr>
          <w:rFonts w:ascii="標楷體" w:eastAsia="標楷體" w:hAnsi="標楷體"/>
        </w:rPr>
        <w:t>況</w:t>
      </w:r>
      <w:proofErr w:type="gramEnd"/>
      <w:r w:rsidRPr="00E50005">
        <w:rPr>
          <w:rFonts w:ascii="標楷體" w:eastAsia="標楷體" w:hAnsi="標楷體"/>
        </w:rPr>
        <w:t>形成鮮明對比。</w:t>
      </w:r>
    </w:p>
    <w:p w14:paraId="3BEBF399" w14:textId="77777777" w:rsidR="00D00A10" w:rsidRPr="00E50005" w:rsidRDefault="00D00A10">
      <w:pPr>
        <w:rPr>
          <w:rFonts w:ascii="標楷體" w:eastAsia="標楷體" w:hAnsi="標楷體"/>
        </w:rPr>
      </w:pPr>
    </w:p>
    <w:sectPr w:rsidR="00D00A10" w:rsidRPr="00E500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24C8C"/>
    <w:multiLevelType w:val="multilevel"/>
    <w:tmpl w:val="D3C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06B6D"/>
    <w:multiLevelType w:val="multilevel"/>
    <w:tmpl w:val="1FF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5324E"/>
    <w:multiLevelType w:val="multilevel"/>
    <w:tmpl w:val="38E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75526"/>
    <w:multiLevelType w:val="multilevel"/>
    <w:tmpl w:val="A8B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04D72"/>
    <w:multiLevelType w:val="multilevel"/>
    <w:tmpl w:val="B7E0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61A2D"/>
    <w:multiLevelType w:val="multilevel"/>
    <w:tmpl w:val="EF02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A3106"/>
    <w:multiLevelType w:val="multilevel"/>
    <w:tmpl w:val="FABE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61AF5"/>
    <w:multiLevelType w:val="multilevel"/>
    <w:tmpl w:val="DB7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A6A5A"/>
    <w:multiLevelType w:val="multilevel"/>
    <w:tmpl w:val="9E5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24005">
    <w:abstractNumId w:val="6"/>
  </w:num>
  <w:num w:numId="2" w16cid:durableId="1404526581">
    <w:abstractNumId w:val="1"/>
  </w:num>
  <w:num w:numId="3" w16cid:durableId="1495876418">
    <w:abstractNumId w:val="8"/>
  </w:num>
  <w:num w:numId="4" w16cid:durableId="87779413">
    <w:abstractNumId w:val="7"/>
  </w:num>
  <w:num w:numId="5" w16cid:durableId="366493639">
    <w:abstractNumId w:val="4"/>
  </w:num>
  <w:num w:numId="6" w16cid:durableId="805396814">
    <w:abstractNumId w:val="5"/>
  </w:num>
  <w:num w:numId="7" w16cid:durableId="1153765181">
    <w:abstractNumId w:val="3"/>
  </w:num>
  <w:num w:numId="8" w16cid:durableId="629433505">
    <w:abstractNumId w:val="2"/>
  </w:num>
  <w:num w:numId="9" w16cid:durableId="110854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10"/>
    <w:rsid w:val="006A1982"/>
    <w:rsid w:val="00D00A10"/>
    <w:rsid w:val="00E50005"/>
    <w:rsid w:val="00F5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2486"/>
  <w15:chartTrackingRefBased/>
  <w15:docId w15:val="{EB1646C5-E530-43C9-98E0-2C001F9E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0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A1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A1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A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A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A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A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0A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0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0A1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0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0A1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0A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0A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0A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0A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0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0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A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0A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0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庭宸 鄭</dc:creator>
  <cp:keywords/>
  <dc:description/>
  <cp:lastModifiedBy>庭宸 鄭</cp:lastModifiedBy>
  <cp:revision>1</cp:revision>
  <dcterms:created xsi:type="dcterms:W3CDTF">2026-04-30T12:39:00Z</dcterms:created>
  <dcterms:modified xsi:type="dcterms:W3CDTF">2026-04-30T13:02:00Z</dcterms:modified>
</cp:coreProperties>
</file>