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F453" w14:textId="6E218DC2" w:rsidR="00A05578" w:rsidRDefault="00000000">
      <w:pPr>
        <w:spacing w:before="9"/>
        <w:jc w:val="center"/>
        <w:rPr>
          <w:rFonts w:ascii="Arial Black" w:eastAsia="Arial Black"/>
          <w:sz w:val="44"/>
        </w:rPr>
      </w:pPr>
      <w:bookmarkStart w:id="0" w:name="台指選擇權市場分析報告_(2023-2024)"/>
      <w:bookmarkEnd w:id="0"/>
      <w:r>
        <w:rPr>
          <w:rFonts w:ascii="微軟正黑體" w:eastAsia="微軟正黑體"/>
          <w:b/>
          <w:color w:val="2B3D4F"/>
          <w:spacing w:val="-12"/>
          <w:sz w:val="44"/>
        </w:rPr>
        <w:t>台指選擇權</w:t>
      </w:r>
      <w:r w:rsidR="001958A0">
        <w:rPr>
          <w:rFonts w:ascii="微軟正黑體" w:eastAsia="微軟正黑體" w:hint="eastAsia"/>
          <w:b/>
          <w:color w:val="2B3D4F"/>
          <w:spacing w:val="-12"/>
          <w:sz w:val="44"/>
        </w:rPr>
        <w:t>整合摘要報告</w:t>
      </w:r>
      <w:r>
        <w:rPr>
          <w:rFonts w:ascii="微軟正黑體" w:eastAsia="微軟正黑體"/>
          <w:b/>
          <w:color w:val="2B3D4F"/>
          <w:spacing w:val="-12"/>
          <w:sz w:val="44"/>
        </w:rPr>
        <w:t xml:space="preserve"> </w:t>
      </w:r>
      <w:r>
        <w:rPr>
          <w:rFonts w:ascii="Arial Black" w:eastAsia="Arial Black"/>
          <w:color w:val="2B3D4F"/>
          <w:spacing w:val="-12"/>
          <w:sz w:val="44"/>
        </w:rPr>
        <w:t>(2023-2024)</w:t>
      </w:r>
    </w:p>
    <w:p w14:paraId="17E75206" w14:textId="77777777" w:rsidR="00A05578" w:rsidRDefault="00000000">
      <w:pPr>
        <w:pStyle w:val="a3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6816" behindDoc="1" locked="0" layoutInCell="1" allowOverlap="1" wp14:anchorId="07E89681" wp14:editId="58AF3D1E">
                <wp:simplePos x="0" y="0"/>
                <wp:positionH relativeFrom="page">
                  <wp:posOffset>719999</wp:posOffset>
                </wp:positionH>
                <wp:positionV relativeFrom="paragraph">
                  <wp:posOffset>253092</wp:posOffset>
                </wp:positionV>
                <wp:extent cx="612013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8752E" id="Graphic 1" o:spid="_x0000_s1026" style="position:absolute;margin-left:56.7pt;margin-top:19.95pt;width:481.9pt;height:1.5pt;z-index:-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" path="m6120000,19050l,19050,,,6120000,r,19050xe" fillcolor="#2b3d4f" stroked="f">
                <v:path arrowok="t"/>
                <w10:wrap type="topAndBottom" anchorx="page"/>
              </v:shape>
            </w:pict>
          </mc:Fallback>
        </mc:AlternateContent>
      </w:r>
    </w:p>
    <w:p w14:paraId="204279C3" w14:textId="77777777" w:rsidR="00A05578" w:rsidRDefault="00A05578">
      <w:pPr>
        <w:pStyle w:val="a3"/>
        <w:spacing w:before="138"/>
      </w:pPr>
    </w:p>
    <w:p w14:paraId="3145EF8E" w14:textId="77777777" w:rsidR="00A05578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8128" behindDoc="0" locked="0" layoutInCell="1" allowOverlap="1" wp14:anchorId="0EE95687" wp14:editId="3004B918">
                <wp:simplePos x="0" y="0"/>
                <wp:positionH relativeFrom="page">
                  <wp:posOffset>719999</wp:posOffset>
                </wp:positionH>
                <wp:positionV relativeFrom="paragraph">
                  <wp:posOffset>19129</wp:posOffset>
                </wp:positionV>
                <wp:extent cx="47625" cy="3352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35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35280">
                              <a:moveTo>
                                <a:pt x="47625" y="334877"/>
                              </a:moveTo>
                              <a:lnTo>
                                <a:pt x="0" y="334877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348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3DC7C" id="Graphic 2" o:spid="_x0000_s1026" style="position:absolute;margin-left:56.7pt;margin-top:1.5pt;width:3.75pt;height:26.4pt;z-index: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35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" path="m47625,334877l,334877,,,47625,r,334877xe" fillcolor="#2880b8" stroked="f">
                <v:path arrowok="t"/>
                <w10:wrap anchorx="page"/>
              </v:shape>
            </w:pict>
          </mc:Fallback>
        </mc:AlternateContent>
      </w:r>
      <w:bookmarkStart w:id="1" w:name="一、_研究概述"/>
      <w:bookmarkEnd w:id="1"/>
      <w:r>
        <w:rPr>
          <w:color w:val="2880B8"/>
          <w:spacing w:val="-4"/>
        </w:rPr>
        <w:t>一、 研究概述</w:t>
      </w:r>
    </w:p>
    <w:p w14:paraId="6303D986" w14:textId="77777777" w:rsidR="00A05578" w:rsidRDefault="00000000">
      <w:pPr>
        <w:pStyle w:val="a3"/>
        <w:spacing w:before="286"/>
        <w:ind w:left="141"/>
      </w:pPr>
      <w:r>
        <w:rPr>
          <w:color w:val="333333"/>
          <w:spacing w:val="4"/>
        </w:rPr>
        <w:t xml:space="preserve">本報告針對 </w:t>
      </w:r>
      <w:r>
        <w:rPr>
          <w:rFonts w:ascii="Tahoma" w:eastAsia="Tahoma"/>
          <w:color w:val="333333"/>
        </w:rPr>
        <w:t>2023</w:t>
      </w:r>
      <w:r>
        <w:rPr>
          <w:rFonts w:ascii="Tahoma" w:eastAsia="Tahoma"/>
          <w:color w:val="333333"/>
          <w:spacing w:val="68"/>
        </w:rPr>
        <w:t xml:space="preserve"> </w:t>
      </w:r>
      <w:r>
        <w:rPr>
          <w:color w:val="333333"/>
          <w:spacing w:val="9"/>
        </w:rPr>
        <w:t xml:space="preserve">年至 </w:t>
      </w:r>
      <w:r>
        <w:rPr>
          <w:rFonts w:ascii="Tahoma" w:eastAsia="Tahoma"/>
          <w:color w:val="333333"/>
        </w:rPr>
        <w:t>2024</w:t>
      </w:r>
      <w:r>
        <w:rPr>
          <w:rFonts w:ascii="Tahoma" w:eastAsia="Tahoma"/>
          <w:color w:val="333333"/>
          <w:spacing w:val="69"/>
        </w:rPr>
        <w:t xml:space="preserve"> </w:t>
      </w:r>
      <w:r>
        <w:rPr>
          <w:color w:val="333333"/>
        </w:rPr>
        <w:t>年台指選擇權（</w:t>
      </w:r>
      <w:r>
        <w:rPr>
          <w:rFonts w:ascii="Tahoma" w:eastAsia="Tahoma"/>
          <w:color w:val="333333"/>
        </w:rPr>
        <w:t>TXO</w:t>
      </w:r>
      <w:r>
        <w:rPr>
          <w:color w:val="333333"/>
        </w:rPr>
        <w:t>）</w:t>
      </w:r>
      <w:r>
        <w:rPr>
          <w:color w:val="333333"/>
          <w:spacing w:val="-1"/>
        </w:rPr>
        <w:t>之市場數據進行深度整合。透過對隱含波動率</w:t>
      </w:r>
    </w:p>
    <w:p w14:paraId="25BCD9B3" w14:textId="77777777" w:rsidR="00A05578" w:rsidRDefault="00000000">
      <w:pPr>
        <w:pStyle w:val="a4"/>
        <w:numPr>
          <w:ilvl w:val="0"/>
          <w:numId w:val="1"/>
        </w:numPr>
        <w:tabs>
          <w:tab w:val="left" w:pos="787"/>
        </w:tabs>
        <w:spacing w:before="80" w:line="309" w:lineRule="auto"/>
        <w:ind w:right="311" w:firstLine="0"/>
      </w:pPr>
      <w:r>
        <w:rPr>
          <w:color w:val="333333"/>
          <w:spacing w:val="-2"/>
        </w:rPr>
        <w:t>、標的物指數（</w:t>
      </w:r>
      <w:r>
        <w:rPr>
          <w:rFonts w:ascii="Tahoma" w:eastAsia="Tahoma"/>
          <w:color w:val="333333"/>
          <w:spacing w:val="-2"/>
        </w:rPr>
        <w:t>S0</w:t>
      </w:r>
      <w:r>
        <w:rPr>
          <w:color w:val="333333"/>
          <w:spacing w:val="-2"/>
        </w:rPr>
        <w:t>）及無風險利率（</w:t>
      </w:r>
      <w:r>
        <w:rPr>
          <w:rFonts w:ascii="Tahoma" w:eastAsia="Tahoma"/>
          <w:color w:val="333333"/>
          <w:spacing w:val="-2"/>
        </w:rPr>
        <w:t>Rf</w:t>
      </w:r>
      <w:r>
        <w:rPr>
          <w:color w:val="333333"/>
          <w:spacing w:val="-2"/>
        </w:rPr>
        <w:t>）的觀察，剖析市場在不同</w:t>
      </w:r>
      <w:proofErr w:type="gramStart"/>
      <w:r>
        <w:rPr>
          <w:color w:val="333333"/>
          <w:spacing w:val="-2"/>
        </w:rPr>
        <w:t>年度間的結構</w:t>
      </w:r>
      <w:proofErr w:type="gramEnd"/>
      <w:r>
        <w:rPr>
          <w:color w:val="333333"/>
          <w:spacing w:val="-2"/>
        </w:rPr>
        <w:t>性轉變。研究重點在於理解從低波動穩定期走向</w:t>
      </w:r>
      <w:proofErr w:type="gramStart"/>
      <w:r>
        <w:rPr>
          <w:color w:val="333333"/>
          <w:spacing w:val="-2"/>
        </w:rPr>
        <w:t>高動能動盪</w:t>
      </w:r>
      <w:proofErr w:type="gramEnd"/>
      <w:r>
        <w:rPr>
          <w:color w:val="333333"/>
          <w:spacing w:val="-2"/>
        </w:rPr>
        <w:t>期的過渡特徵。</w:t>
      </w:r>
    </w:p>
    <w:p w14:paraId="58F870B5" w14:textId="77777777" w:rsidR="00A05578" w:rsidRDefault="00A05578">
      <w:pPr>
        <w:pStyle w:val="a3"/>
        <w:spacing w:before="9"/>
      </w:pPr>
    </w:p>
    <w:p w14:paraId="4E08B0EF" w14:textId="77777777" w:rsidR="00A05578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F7C4C33" wp14:editId="403DA636">
                <wp:simplePos x="0" y="0"/>
                <wp:positionH relativeFrom="page">
                  <wp:posOffset>719999</wp:posOffset>
                </wp:positionH>
                <wp:positionV relativeFrom="paragraph">
                  <wp:posOffset>19431</wp:posOffset>
                </wp:positionV>
                <wp:extent cx="47625" cy="3352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35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35280">
                              <a:moveTo>
                                <a:pt x="47625" y="334877"/>
                              </a:moveTo>
                              <a:lnTo>
                                <a:pt x="0" y="334877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348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0A12E" id="Graphic 3" o:spid="_x0000_s1026" style="position:absolute;margin-left:56.7pt;margin-top:1.55pt;width:3.75pt;height:26.4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35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" path="m47625,334877l,334877,,,47625,r,334877xe" fillcolor="#2880b8" stroked="f">
                <v:path arrowok="t"/>
                <w10:wrap anchorx="page"/>
              </v:shape>
            </w:pict>
          </mc:Fallback>
        </mc:AlternateContent>
      </w:r>
      <w:bookmarkStart w:id="2" w:name="二、_年度關鍵數據對比"/>
      <w:bookmarkEnd w:id="2"/>
      <w:r>
        <w:rPr>
          <w:color w:val="2880B8"/>
          <w:spacing w:val="-4"/>
        </w:rPr>
        <w:t>二、 年度關鍵數據對比</w:t>
      </w:r>
    </w:p>
    <w:p w14:paraId="3E78B138" w14:textId="77777777" w:rsidR="00A05578" w:rsidRDefault="00A05578">
      <w:pPr>
        <w:pStyle w:val="a3"/>
        <w:spacing w:before="12"/>
        <w:rPr>
          <w:rFonts w:ascii="微軟正黑體"/>
          <w:b/>
          <w:sz w:val="14"/>
        </w:rPr>
      </w:pPr>
    </w:p>
    <w:tbl>
      <w:tblPr>
        <w:tblStyle w:val="TableNormal"/>
        <w:tblW w:w="0" w:type="auto"/>
        <w:tblInd w:w="156" w:type="dxa"/>
        <w:tblBorders>
          <w:top w:val="single" w:sz="6" w:space="0" w:color="DDE2E6"/>
          <w:left w:val="single" w:sz="6" w:space="0" w:color="DDE2E6"/>
          <w:bottom w:val="single" w:sz="6" w:space="0" w:color="DDE2E6"/>
          <w:right w:val="single" w:sz="6" w:space="0" w:color="DDE2E6"/>
          <w:insideH w:val="single" w:sz="6" w:space="0" w:color="DDE2E6"/>
          <w:insideV w:val="single" w:sz="6" w:space="0" w:color="DDE2E6"/>
        </w:tblBorders>
        <w:tblLayout w:type="fixed"/>
        <w:tblLook w:val="01E0" w:firstRow="1" w:lastRow="1" w:firstColumn="1" w:lastColumn="1" w:noHBand="0" w:noVBand="0"/>
      </w:tblPr>
      <w:tblGrid>
        <w:gridCol w:w="2957"/>
        <w:gridCol w:w="2274"/>
        <w:gridCol w:w="2274"/>
        <w:gridCol w:w="2115"/>
      </w:tblGrid>
      <w:tr w:rsidR="00A05578" w14:paraId="2E60A73A" w14:textId="77777777">
        <w:trPr>
          <w:trHeight w:val="646"/>
        </w:trPr>
        <w:tc>
          <w:tcPr>
            <w:tcW w:w="2957" w:type="dxa"/>
            <w:shd w:val="clear" w:color="auto" w:fill="F7F9F9"/>
          </w:tcPr>
          <w:p w14:paraId="37337681" w14:textId="77777777" w:rsidR="00A05578" w:rsidRDefault="00000000">
            <w:pPr>
              <w:pStyle w:val="TableParagraph"/>
              <w:spacing w:before="130"/>
              <w:ind w:left="15"/>
              <w:rPr>
                <w:rFonts w:ascii="微軟正黑體" w:eastAsia="微軟正黑體"/>
                <w:b/>
                <w:sz w:val="21"/>
              </w:rPr>
            </w:pPr>
            <w:r>
              <w:rPr>
                <w:rFonts w:ascii="微軟正黑體" w:eastAsia="微軟正黑體"/>
                <w:b/>
                <w:color w:val="2B3D4F"/>
                <w:spacing w:val="-3"/>
                <w:sz w:val="21"/>
              </w:rPr>
              <w:t>指標項目</w:t>
            </w:r>
          </w:p>
        </w:tc>
        <w:tc>
          <w:tcPr>
            <w:tcW w:w="2274" w:type="dxa"/>
            <w:shd w:val="clear" w:color="auto" w:fill="F7F9F9"/>
          </w:tcPr>
          <w:p w14:paraId="4C55FF71" w14:textId="77777777" w:rsidR="00A05578" w:rsidRDefault="00000000">
            <w:pPr>
              <w:pStyle w:val="TableParagraph"/>
              <w:spacing w:before="122"/>
              <w:ind w:right="1"/>
              <w:rPr>
                <w:rFonts w:ascii="微軟正黑體" w:eastAsia="微軟正黑體"/>
                <w:b/>
                <w:sz w:val="21"/>
              </w:rPr>
            </w:pPr>
            <w:r>
              <w:rPr>
                <w:rFonts w:ascii="Arial Black" w:eastAsia="Arial Black"/>
                <w:color w:val="2B3D4F"/>
                <w:w w:val="90"/>
                <w:sz w:val="21"/>
              </w:rPr>
              <w:t>2023</w:t>
            </w:r>
            <w:r>
              <w:rPr>
                <w:rFonts w:ascii="Arial Black" w:eastAsia="Arial Black"/>
                <w:color w:val="2B3D4F"/>
                <w:spacing w:val="18"/>
                <w:sz w:val="21"/>
              </w:rPr>
              <w:t xml:space="preserve"> </w:t>
            </w:r>
            <w:r>
              <w:rPr>
                <w:rFonts w:ascii="微軟正黑體" w:eastAsia="微軟正黑體"/>
                <w:b/>
                <w:color w:val="2B3D4F"/>
                <w:spacing w:val="-3"/>
                <w:w w:val="90"/>
                <w:sz w:val="21"/>
              </w:rPr>
              <w:t>年度數據</w:t>
            </w:r>
          </w:p>
        </w:tc>
        <w:tc>
          <w:tcPr>
            <w:tcW w:w="2274" w:type="dxa"/>
            <w:shd w:val="clear" w:color="auto" w:fill="F7F9F9"/>
          </w:tcPr>
          <w:p w14:paraId="1A355DF5" w14:textId="77777777" w:rsidR="00A05578" w:rsidRDefault="00000000">
            <w:pPr>
              <w:pStyle w:val="TableParagraph"/>
              <w:spacing w:before="122"/>
              <w:rPr>
                <w:rFonts w:ascii="微軟正黑體" w:eastAsia="微軟正黑體"/>
                <w:b/>
                <w:sz w:val="21"/>
              </w:rPr>
            </w:pPr>
            <w:r>
              <w:rPr>
                <w:rFonts w:ascii="Arial Black" w:eastAsia="Arial Black"/>
                <w:color w:val="2B3D4F"/>
                <w:w w:val="90"/>
                <w:sz w:val="21"/>
              </w:rPr>
              <w:t>2024</w:t>
            </w:r>
            <w:r>
              <w:rPr>
                <w:rFonts w:ascii="Arial Black" w:eastAsia="Arial Black"/>
                <w:color w:val="2B3D4F"/>
                <w:spacing w:val="18"/>
                <w:sz w:val="21"/>
              </w:rPr>
              <w:t xml:space="preserve"> </w:t>
            </w:r>
            <w:r>
              <w:rPr>
                <w:rFonts w:ascii="微軟正黑體" w:eastAsia="微軟正黑體"/>
                <w:b/>
                <w:color w:val="2B3D4F"/>
                <w:spacing w:val="-3"/>
                <w:w w:val="90"/>
                <w:sz w:val="21"/>
              </w:rPr>
              <w:t>年度數據</w:t>
            </w:r>
          </w:p>
        </w:tc>
        <w:tc>
          <w:tcPr>
            <w:tcW w:w="2115" w:type="dxa"/>
            <w:shd w:val="clear" w:color="auto" w:fill="F7F9F9"/>
          </w:tcPr>
          <w:p w14:paraId="0C62338F" w14:textId="77777777" w:rsidR="00A05578" w:rsidRDefault="00000000">
            <w:pPr>
              <w:pStyle w:val="TableParagraph"/>
              <w:spacing w:before="130"/>
              <w:ind w:left="19"/>
              <w:rPr>
                <w:rFonts w:ascii="微軟正黑體" w:eastAsia="微軟正黑體"/>
                <w:b/>
                <w:sz w:val="21"/>
              </w:rPr>
            </w:pPr>
            <w:r>
              <w:rPr>
                <w:rFonts w:ascii="微軟正黑體" w:eastAsia="微軟正黑體"/>
                <w:b/>
                <w:color w:val="2B3D4F"/>
                <w:spacing w:val="-3"/>
                <w:sz w:val="21"/>
              </w:rPr>
              <w:t>變動趨勢</w:t>
            </w:r>
          </w:p>
        </w:tc>
      </w:tr>
      <w:tr w:rsidR="00A05578" w14:paraId="6939D66A" w14:textId="77777777">
        <w:trPr>
          <w:trHeight w:val="646"/>
        </w:trPr>
        <w:tc>
          <w:tcPr>
            <w:tcW w:w="2957" w:type="dxa"/>
          </w:tcPr>
          <w:p w14:paraId="4CFC3157" w14:textId="77777777" w:rsidR="00A05578" w:rsidRDefault="00000000">
            <w:pPr>
              <w:pStyle w:val="TableParagraph"/>
              <w:spacing w:before="199"/>
              <w:ind w:left="15"/>
              <w:rPr>
                <w:sz w:val="21"/>
              </w:rPr>
            </w:pPr>
            <w:r>
              <w:rPr>
                <w:rFonts w:ascii="SimSun" w:eastAsia="SimSun"/>
                <w:color w:val="333333"/>
                <w:spacing w:val="-7"/>
                <w:sz w:val="21"/>
              </w:rPr>
              <w:t xml:space="preserve">標的指數平均值 </w:t>
            </w:r>
            <w:r>
              <w:rPr>
                <w:color w:val="333333"/>
                <w:spacing w:val="-4"/>
                <w:sz w:val="21"/>
              </w:rPr>
              <w:t>(S0)</w:t>
            </w:r>
          </w:p>
        </w:tc>
        <w:tc>
          <w:tcPr>
            <w:tcW w:w="2274" w:type="dxa"/>
          </w:tcPr>
          <w:p w14:paraId="01FDA536" w14:textId="77777777" w:rsidR="00A05578" w:rsidRDefault="00000000">
            <w:pPr>
              <w:pStyle w:val="TableParagraph"/>
              <w:ind w:right="1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16408.64</w:t>
            </w:r>
          </w:p>
        </w:tc>
        <w:tc>
          <w:tcPr>
            <w:tcW w:w="2274" w:type="dxa"/>
          </w:tcPr>
          <w:p w14:paraId="7AB7AA7B" w14:textId="77777777" w:rsidR="00A05578" w:rsidRDefault="00000000">
            <w:pPr>
              <w:pStyle w:val="TableParagraph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21298.10</w:t>
            </w:r>
          </w:p>
        </w:tc>
        <w:tc>
          <w:tcPr>
            <w:tcW w:w="2115" w:type="dxa"/>
          </w:tcPr>
          <w:p w14:paraId="731434C8" w14:textId="77777777" w:rsidR="00A05578" w:rsidRDefault="00000000">
            <w:pPr>
              <w:pStyle w:val="TableParagraph"/>
              <w:spacing w:before="199"/>
              <w:ind w:left="19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color w:val="333333"/>
                <w:spacing w:val="-3"/>
                <w:sz w:val="21"/>
              </w:rPr>
              <w:t>顯著成長</w:t>
            </w:r>
          </w:p>
        </w:tc>
      </w:tr>
      <w:tr w:rsidR="00A05578" w14:paraId="73ED5A17" w14:textId="77777777">
        <w:trPr>
          <w:trHeight w:val="646"/>
        </w:trPr>
        <w:tc>
          <w:tcPr>
            <w:tcW w:w="2957" w:type="dxa"/>
          </w:tcPr>
          <w:p w14:paraId="6AE380CA" w14:textId="77777777" w:rsidR="00A05578" w:rsidRDefault="00000000">
            <w:pPr>
              <w:pStyle w:val="TableParagraph"/>
              <w:spacing w:before="199"/>
              <w:ind w:left="15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color w:val="333333"/>
                <w:spacing w:val="-2"/>
                <w:sz w:val="21"/>
              </w:rPr>
              <w:t>指數波動區間</w:t>
            </w:r>
          </w:p>
        </w:tc>
        <w:tc>
          <w:tcPr>
            <w:tcW w:w="2274" w:type="dxa"/>
          </w:tcPr>
          <w:p w14:paraId="34D0AEE2" w14:textId="77777777" w:rsidR="00A05578" w:rsidRDefault="00000000">
            <w:pPr>
              <w:pStyle w:val="TableParagraph"/>
              <w:ind w:right="1"/>
              <w:rPr>
                <w:sz w:val="21"/>
              </w:rPr>
            </w:pPr>
            <w:r>
              <w:rPr>
                <w:color w:val="333333"/>
                <w:sz w:val="21"/>
              </w:rPr>
              <w:t>14199</w:t>
            </w:r>
            <w:r>
              <w:rPr>
                <w:color w:val="333333"/>
                <w:spacing w:val="-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-</w:t>
            </w:r>
            <w:r>
              <w:rPr>
                <w:color w:val="333333"/>
                <w:spacing w:val="-5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17931</w:t>
            </w:r>
          </w:p>
        </w:tc>
        <w:tc>
          <w:tcPr>
            <w:tcW w:w="2274" w:type="dxa"/>
          </w:tcPr>
          <w:p w14:paraId="44D1E45A" w14:textId="77777777" w:rsidR="00A05578" w:rsidRDefault="00000000">
            <w:pPr>
              <w:pStyle w:val="TableParagraph"/>
              <w:rPr>
                <w:sz w:val="21"/>
              </w:rPr>
            </w:pPr>
            <w:r>
              <w:rPr>
                <w:color w:val="333333"/>
                <w:sz w:val="21"/>
              </w:rPr>
              <w:t>17162</w:t>
            </w:r>
            <w:r>
              <w:rPr>
                <w:color w:val="333333"/>
                <w:spacing w:val="-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-</w:t>
            </w:r>
            <w:r>
              <w:rPr>
                <w:color w:val="333333"/>
                <w:spacing w:val="-5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24390</w:t>
            </w:r>
          </w:p>
        </w:tc>
        <w:tc>
          <w:tcPr>
            <w:tcW w:w="2115" w:type="dxa"/>
          </w:tcPr>
          <w:p w14:paraId="433218C7" w14:textId="77777777" w:rsidR="00A05578" w:rsidRDefault="00000000">
            <w:pPr>
              <w:pStyle w:val="TableParagraph"/>
              <w:spacing w:before="199"/>
              <w:ind w:left="19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color w:val="333333"/>
                <w:spacing w:val="-2"/>
                <w:sz w:val="21"/>
              </w:rPr>
              <w:t>區間大幅擴張</w:t>
            </w:r>
          </w:p>
        </w:tc>
      </w:tr>
      <w:tr w:rsidR="00A05578" w14:paraId="3F86050F" w14:textId="77777777">
        <w:trPr>
          <w:trHeight w:val="646"/>
        </w:trPr>
        <w:tc>
          <w:tcPr>
            <w:tcW w:w="2957" w:type="dxa"/>
          </w:tcPr>
          <w:p w14:paraId="73A60F5A" w14:textId="77777777" w:rsidR="00A05578" w:rsidRDefault="00000000">
            <w:pPr>
              <w:pStyle w:val="TableParagraph"/>
              <w:spacing w:before="199"/>
              <w:ind w:left="15"/>
              <w:rPr>
                <w:sz w:val="21"/>
              </w:rPr>
            </w:pPr>
            <w:r>
              <w:rPr>
                <w:rFonts w:ascii="SimSun" w:eastAsia="SimSun"/>
                <w:color w:val="333333"/>
                <w:spacing w:val="-13"/>
                <w:sz w:val="21"/>
              </w:rPr>
              <w:t xml:space="preserve">平均買權 </w:t>
            </w:r>
            <w:r>
              <w:rPr>
                <w:color w:val="333333"/>
                <w:spacing w:val="-2"/>
                <w:sz w:val="21"/>
              </w:rPr>
              <w:t>IV</w:t>
            </w:r>
            <w:r>
              <w:rPr>
                <w:color w:val="333333"/>
                <w:spacing w:val="-10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(Call)</w:t>
            </w:r>
          </w:p>
        </w:tc>
        <w:tc>
          <w:tcPr>
            <w:tcW w:w="2274" w:type="dxa"/>
          </w:tcPr>
          <w:p w14:paraId="44A7D838" w14:textId="77777777" w:rsidR="00A05578" w:rsidRDefault="00000000">
            <w:pPr>
              <w:pStyle w:val="TableParagraph"/>
              <w:ind w:right="1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0.1427</w:t>
            </w:r>
          </w:p>
        </w:tc>
        <w:tc>
          <w:tcPr>
            <w:tcW w:w="2274" w:type="dxa"/>
          </w:tcPr>
          <w:p w14:paraId="761EC52A" w14:textId="77777777" w:rsidR="00A05578" w:rsidRDefault="00000000">
            <w:pPr>
              <w:pStyle w:val="TableParagraph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0.1928</w:t>
            </w:r>
          </w:p>
        </w:tc>
        <w:tc>
          <w:tcPr>
            <w:tcW w:w="2115" w:type="dxa"/>
          </w:tcPr>
          <w:p w14:paraId="157EE0E2" w14:textId="77777777" w:rsidR="00A05578" w:rsidRDefault="00000000">
            <w:pPr>
              <w:pStyle w:val="TableParagraph"/>
              <w:spacing w:before="199"/>
              <w:ind w:left="19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color w:val="333333"/>
                <w:spacing w:val="-2"/>
                <w:sz w:val="21"/>
              </w:rPr>
              <w:t>波動</w:t>
            </w:r>
            <w:proofErr w:type="gramStart"/>
            <w:r>
              <w:rPr>
                <w:rFonts w:ascii="SimSun" w:eastAsia="SimSun"/>
                <w:color w:val="333333"/>
                <w:spacing w:val="-2"/>
                <w:sz w:val="21"/>
              </w:rPr>
              <w:t>率抬升</w:t>
            </w:r>
            <w:proofErr w:type="gramEnd"/>
          </w:p>
        </w:tc>
      </w:tr>
      <w:tr w:rsidR="00A05578" w14:paraId="58393EB2" w14:textId="77777777">
        <w:trPr>
          <w:trHeight w:val="646"/>
        </w:trPr>
        <w:tc>
          <w:tcPr>
            <w:tcW w:w="2957" w:type="dxa"/>
          </w:tcPr>
          <w:p w14:paraId="137CEAD1" w14:textId="77777777" w:rsidR="00A05578" w:rsidRDefault="00000000">
            <w:pPr>
              <w:pStyle w:val="TableParagraph"/>
              <w:spacing w:before="199"/>
              <w:ind w:left="15"/>
              <w:rPr>
                <w:sz w:val="21"/>
              </w:rPr>
            </w:pPr>
            <w:r>
              <w:rPr>
                <w:rFonts w:ascii="SimSun" w:eastAsia="SimSun"/>
                <w:color w:val="333333"/>
                <w:spacing w:val="-13"/>
                <w:sz w:val="21"/>
              </w:rPr>
              <w:t xml:space="preserve">平均賣權 </w:t>
            </w:r>
            <w:r>
              <w:rPr>
                <w:color w:val="333333"/>
                <w:spacing w:val="-2"/>
                <w:sz w:val="21"/>
              </w:rPr>
              <w:t>IV</w:t>
            </w:r>
            <w:r>
              <w:rPr>
                <w:color w:val="333333"/>
                <w:spacing w:val="-10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(Put)</w:t>
            </w:r>
          </w:p>
        </w:tc>
        <w:tc>
          <w:tcPr>
            <w:tcW w:w="2274" w:type="dxa"/>
          </w:tcPr>
          <w:p w14:paraId="3A4909A6" w14:textId="77777777" w:rsidR="00A05578" w:rsidRDefault="00000000">
            <w:pPr>
              <w:pStyle w:val="TableParagraph"/>
              <w:ind w:right="1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0.1711</w:t>
            </w:r>
          </w:p>
        </w:tc>
        <w:tc>
          <w:tcPr>
            <w:tcW w:w="2274" w:type="dxa"/>
          </w:tcPr>
          <w:p w14:paraId="1F040836" w14:textId="77777777" w:rsidR="00A05578" w:rsidRDefault="00000000">
            <w:pPr>
              <w:pStyle w:val="TableParagraph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0.2370</w:t>
            </w:r>
          </w:p>
        </w:tc>
        <w:tc>
          <w:tcPr>
            <w:tcW w:w="2115" w:type="dxa"/>
          </w:tcPr>
          <w:p w14:paraId="78BBD076" w14:textId="77777777" w:rsidR="00A05578" w:rsidRDefault="00000000">
            <w:pPr>
              <w:pStyle w:val="TableParagraph"/>
              <w:spacing w:before="199"/>
              <w:ind w:left="19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color w:val="333333"/>
                <w:spacing w:val="-2"/>
                <w:sz w:val="21"/>
              </w:rPr>
              <w:t>避險成本增加</w:t>
            </w:r>
          </w:p>
        </w:tc>
      </w:tr>
    </w:tbl>
    <w:p w14:paraId="27270802" w14:textId="77777777" w:rsidR="00A05578" w:rsidRDefault="00000000">
      <w:pPr>
        <w:spacing w:before="345"/>
        <w:ind w:left="366"/>
        <w:rPr>
          <w:rFonts w:ascii="微軟正黑體" w:eastAsia="微軟正黑體"/>
          <w:b/>
          <w:sz w:val="32"/>
        </w:rPr>
      </w:pPr>
      <w:r>
        <w:rPr>
          <w:rFonts w:ascii="微軟正黑體" w:eastAsia="微軟正黑體"/>
          <w:b/>
          <w:noProof/>
          <w:sz w:val="32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1009B3D" wp14:editId="181E2CF4">
                <wp:simplePos x="0" y="0"/>
                <wp:positionH relativeFrom="page">
                  <wp:posOffset>719999</wp:posOffset>
                </wp:positionH>
                <wp:positionV relativeFrom="paragraph">
                  <wp:posOffset>238373</wp:posOffset>
                </wp:positionV>
                <wp:extent cx="47625" cy="3352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35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35280">
                              <a:moveTo>
                                <a:pt x="47625" y="334877"/>
                              </a:moveTo>
                              <a:lnTo>
                                <a:pt x="0" y="334877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348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1F55A" id="Graphic 4" o:spid="_x0000_s1026" style="position:absolute;margin-left:56.7pt;margin-top:18.75pt;width:3.75pt;height:26.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35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" path="m47625,334877l,334877,,,47625,r,334877xe" fillcolor="#2880b8" stroked="f">
                <v:path arrowok="t"/>
                <w10:wrap anchorx="page"/>
              </v:shape>
            </w:pict>
          </mc:Fallback>
        </mc:AlternateContent>
      </w:r>
      <w:bookmarkStart w:id="3" w:name="三、_指標整合摘要分析"/>
      <w:bookmarkEnd w:id="3"/>
      <w:r>
        <w:rPr>
          <w:rFonts w:ascii="微軟正黑體" w:eastAsia="微軟正黑體"/>
          <w:b/>
          <w:color w:val="2880B8"/>
          <w:spacing w:val="-4"/>
          <w:sz w:val="32"/>
        </w:rPr>
        <w:t>三、 指標整合摘要分析</w:t>
      </w:r>
    </w:p>
    <w:p w14:paraId="1F6B0A4C" w14:textId="77777777" w:rsidR="00A05578" w:rsidRDefault="00000000">
      <w:pPr>
        <w:pStyle w:val="a4"/>
        <w:numPr>
          <w:ilvl w:val="1"/>
          <w:numId w:val="1"/>
        </w:numPr>
        <w:tabs>
          <w:tab w:val="left" w:pos="430"/>
        </w:tabs>
        <w:spacing w:before="232"/>
        <w:ind w:left="430" w:hanging="289"/>
        <w:rPr>
          <w:rFonts w:ascii="微軟正黑體" w:eastAsia="微軟正黑體"/>
          <w:b/>
          <w:sz w:val="26"/>
        </w:rPr>
      </w:pPr>
      <w:bookmarkStart w:id="4" w:name="1._波動率風險溢酬_(VRP)_與策略演變"/>
      <w:bookmarkEnd w:id="4"/>
      <w:r>
        <w:rPr>
          <w:rFonts w:ascii="微軟正黑體" w:eastAsia="微軟正黑體"/>
          <w:b/>
          <w:color w:val="34495D"/>
          <w:spacing w:val="-7"/>
          <w:sz w:val="26"/>
        </w:rPr>
        <w:t>波動率</w:t>
      </w:r>
      <w:proofErr w:type="gramStart"/>
      <w:r>
        <w:rPr>
          <w:rFonts w:ascii="微軟正黑體" w:eastAsia="微軟正黑體"/>
          <w:b/>
          <w:color w:val="34495D"/>
          <w:spacing w:val="-7"/>
          <w:sz w:val="26"/>
        </w:rPr>
        <w:t>風險溢酬</w:t>
      </w:r>
      <w:proofErr w:type="gramEnd"/>
      <w:r>
        <w:rPr>
          <w:rFonts w:ascii="微軟正黑體" w:eastAsia="微軟正黑體"/>
          <w:b/>
          <w:color w:val="34495D"/>
          <w:spacing w:val="-7"/>
          <w:sz w:val="26"/>
        </w:rPr>
        <w:t xml:space="preserve"> </w:t>
      </w:r>
      <w:r>
        <w:rPr>
          <w:rFonts w:ascii="Arial Black" w:eastAsia="Arial Black"/>
          <w:color w:val="34495D"/>
          <w:spacing w:val="-8"/>
          <w:sz w:val="26"/>
        </w:rPr>
        <w:t>(VRP</w:t>
      </w:r>
      <w:r>
        <w:rPr>
          <w:rFonts w:ascii="Arial Black" w:eastAsia="Arial Black"/>
          <w:color w:val="34495D"/>
          <w:spacing w:val="-11"/>
          <w:sz w:val="26"/>
        </w:rPr>
        <w:t xml:space="preserve">) </w:t>
      </w:r>
      <w:r>
        <w:rPr>
          <w:rFonts w:ascii="微軟正黑體" w:eastAsia="微軟正黑體"/>
          <w:b/>
          <w:color w:val="34495D"/>
          <w:spacing w:val="-9"/>
          <w:sz w:val="26"/>
        </w:rPr>
        <w:t>與策略演變</w:t>
      </w:r>
    </w:p>
    <w:p w14:paraId="6876C9B8" w14:textId="77777777" w:rsidR="00A05578" w:rsidRDefault="00000000">
      <w:pPr>
        <w:pStyle w:val="a3"/>
        <w:spacing w:before="282" w:line="312" w:lineRule="auto"/>
        <w:ind w:left="141" w:right="132"/>
        <w:jc w:val="both"/>
      </w:pPr>
      <w:r>
        <w:rPr>
          <w:rFonts w:ascii="Tahoma" w:eastAsia="Tahoma"/>
          <w:color w:val="333333"/>
        </w:rPr>
        <w:t>2023</w:t>
      </w:r>
      <w:r>
        <w:rPr>
          <w:rFonts w:ascii="Tahoma" w:eastAsia="Tahoma"/>
          <w:color w:val="333333"/>
          <w:spacing w:val="40"/>
        </w:rPr>
        <w:t xml:space="preserve"> </w:t>
      </w:r>
      <w:r>
        <w:rPr>
          <w:color w:val="333333"/>
        </w:rPr>
        <w:t xml:space="preserve">年 </w:t>
      </w:r>
      <w:r>
        <w:rPr>
          <w:rFonts w:ascii="Tahoma" w:eastAsia="Tahoma"/>
          <w:color w:val="333333"/>
        </w:rPr>
        <w:t>VRP</w:t>
      </w:r>
      <w:r>
        <w:rPr>
          <w:rFonts w:ascii="Tahoma" w:eastAsia="Tahoma"/>
          <w:color w:val="333333"/>
          <w:spacing w:val="40"/>
        </w:rPr>
        <w:t xml:space="preserve"> </w:t>
      </w:r>
      <w:r>
        <w:rPr>
          <w:color w:val="333333"/>
        </w:rPr>
        <w:t>長期呈現穩定正值，顯示市場對於風險的定價偏高，對選擇權賣方（</w:t>
      </w:r>
      <w:r>
        <w:rPr>
          <w:rFonts w:ascii="Tahoma" w:eastAsia="Tahoma"/>
          <w:color w:val="333333"/>
        </w:rPr>
        <w:t>Short</w:t>
      </w:r>
      <w:r>
        <w:rPr>
          <w:rFonts w:ascii="Tahoma" w:eastAsia="Tahoma"/>
          <w:color w:val="333333"/>
          <w:spacing w:val="40"/>
        </w:rPr>
        <w:t xml:space="preserve"> </w:t>
      </w:r>
      <w:r>
        <w:rPr>
          <w:rFonts w:ascii="Tahoma" w:eastAsia="Tahoma"/>
          <w:color w:val="333333"/>
        </w:rPr>
        <w:t>Side</w:t>
      </w:r>
      <w:r>
        <w:rPr>
          <w:color w:val="333333"/>
        </w:rPr>
        <w:t xml:space="preserve">）而言，是極佳的「收租」環境。進入 </w:t>
      </w:r>
      <w:r>
        <w:rPr>
          <w:rFonts w:ascii="Tahoma" w:eastAsia="Tahoma"/>
          <w:color w:val="333333"/>
        </w:rPr>
        <w:t xml:space="preserve">2024 </w:t>
      </w:r>
      <w:r>
        <w:rPr>
          <w:color w:val="333333"/>
        </w:rPr>
        <w:t>年，</w:t>
      </w:r>
      <w:r>
        <w:rPr>
          <w:rFonts w:ascii="Tahoma" w:eastAsia="Tahoma"/>
          <w:color w:val="333333"/>
        </w:rPr>
        <w:t xml:space="preserve">VRP </w:t>
      </w:r>
      <w:r>
        <w:rPr>
          <w:color w:val="333333"/>
        </w:rPr>
        <w:t>出現了數次深度</w:t>
      </w:r>
      <w:proofErr w:type="gramStart"/>
      <w:r>
        <w:rPr>
          <w:color w:val="333333"/>
        </w:rPr>
        <w:t>回撤（</w:t>
      </w:r>
      <w:proofErr w:type="gramEnd"/>
      <w:r>
        <w:rPr>
          <w:color w:val="333333"/>
        </w:rPr>
        <w:t>負值），尤其在年中波動</w:t>
      </w:r>
      <w:r>
        <w:rPr>
          <w:color w:val="333333"/>
          <w:spacing w:val="-2"/>
        </w:rPr>
        <w:t>率失控</w:t>
      </w:r>
      <w:proofErr w:type="gramStart"/>
      <w:r>
        <w:rPr>
          <w:color w:val="333333"/>
          <w:spacing w:val="-2"/>
        </w:rPr>
        <w:t>期間，</w:t>
      </w:r>
      <w:proofErr w:type="gramEnd"/>
      <w:r>
        <w:rPr>
          <w:color w:val="333333"/>
          <w:spacing w:val="-2"/>
        </w:rPr>
        <w:t>顯示實際波動遠超預期，賣方策略面臨嚴峻挑戰。</w:t>
      </w:r>
    </w:p>
    <w:p w14:paraId="302575F4" w14:textId="77777777" w:rsidR="00A05578" w:rsidRDefault="00000000">
      <w:pPr>
        <w:pStyle w:val="a4"/>
        <w:numPr>
          <w:ilvl w:val="1"/>
          <w:numId w:val="1"/>
        </w:numPr>
        <w:tabs>
          <w:tab w:val="left" w:pos="430"/>
        </w:tabs>
        <w:spacing w:before="207"/>
        <w:ind w:left="430" w:hanging="289"/>
        <w:rPr>
          <w:rFonts w:ascii="微軟正黑體" w:eastAsia="微軟正黑體"/>
          <w:b/>
          <w:sz w:val="26"/>
        </w:rPr>
      </w:pPr>
      <w:bookmarkStart w:id="5" w:name="2._市場情緒_(PCR)_的轉向"/>
      <w:bookmarkEnd w:id="5"/>
      <w:r>
        <w:rPr>
          <w:rFonts w:ascii="微軟正黑體" w:eastAsia="微軟正黑體"/>
          <w:b/>
          <w:color w:val="34495D"/>
          <w:spacing w:val="-9"/>
          <w:sz w:val="26"/>
        </w:rPr>
        <w:t xml:space="preserve">市場情緒 </w:t>
      </w:r>
      <w:r>
        <w:rPr>
          <w:rFonts w:ascii="Arial Black" w:eastAsia="Arial Black"/>
          <w:color w:val="34495D"/>
          <w:spacing w:val="-12"/>
          <w:sz w:val="26"/>
        </w:rPr>
        <w:t>(PCR</w:t>
      </w:r>
      <w:r>
        <w:rPr>
          <w:rFonts w:ascii="Arial Black" w:eastAsia="Arial Black"/>
          <w:color w:val="34495D"/>
          <w:spacing w:val="-14"/>
          <w:sz w:val="26"/>
        </w:rPr>
        <w:t xml:space="preserve">) </w:t>
      </w:r>
      <w:r>
        <w:rPr>
          <w:rFonts w:ascii="微軟正黑體" w:eastAsia="微軟正黑體"/>
          <w:b/>
          <w:color w:val="34495D"/>
          <w:spacing w:val="-12"/>
          <w:sz w:val="26"/>
        </w:rPr>
        <w:t>的轉向</w:t>
      </w:r>
    </w:p>
    <w:p w14:paraId="282AF0E0" w14:textId="77777777" w:rsidR="00A05578" w:rsidRDefault="00000000">
      <w:pPr>
        <w:pStyle w:val="a3"/>
        <w:spacing w:before="283" w:line="312" w:lineRule="auto"/>
        <w:ind w:left="141" w:right="125"/>
        <w:jc w:val="both"/>
      </w:pPr>
      <w:r>
        <w:rPr>
          <w:rFonts w:ascii="Tahoma" w:eastAsia="Tahoma"/>
          <w:color w:val="333333"/>
        </w:rPr>
        <w:t>2023</w:t>
      </w:r>
      <w:r>
        <w:rPr>
          <w:rFonts w:ascii="Tahoma" w:eastAsia="Tahoma"/>
          <w:color w:val="333333"/>
          <w:spacing w:val="-18"/>
        </w:rPr>
        <w:t xml:space="preserve"> </w:t>
      </w:r>
      <w:r>
        <w:rPr>
          <w:color w:val="333333"/>
          <w:spacing w:val="-14"/>
        </w:rPr>
        <w:t xml:space="preserve">年 </w:t>
      </w:r>
      <w:r>
        <w:rPr>
          <w:rFonts w:ascii="Tahoma" w:eastAsia="Tahoma"/>
          <w:color w:val="333333"/>
        </w:rPr>
        <w:t>PCR</w:t>
      </w:r>
      <w:r>
        <w:rPr>
          <w:rFonts w:ascii="Tahoma" w:eastAsia="Tahoma"/>
          <w:color w:val="333333"/>
          <w:spacing w:val="-6"/>
        </w:rPr>
        <w:t xml:space="preserve"> </w:t>
      </w:r>
      <w:r>
        <w:rPr>
          <w:rFonts w:ascii="Tahoma" w:eastAsia="Tahoma"/>
          <w:color w:val="333333"/>
        </w:rPr>
        <w:t xml:space="preserve">30MA </w:t>
      </w:r>
      <w:r>
        <w:rPr>
          <w:color w:val="333333"/>
          <w:spacing w:val="-7"/>
        </w:rPr>
        <w:t xml:space="preserve">維持在 </w:t>
      </w:r>
      <w:r>
        <w:rPr>
          <w:rFonts w:ascii="Tahoma" w:eastAsia="Tahoma"/>
          <w:color w:val="333333"/>
        </w:rPr>
        <w:t xml:space="preserve">1.0 </w:t>
      </w:r>
      <w:r>
        <w:rPr>
          <w:color w:val="333333"/>
        </w:rPr>
        <w:t>附近，顯示多空平衡。</w:t>
      </w:r>
      <w:r>
        <w:rPr>
          <w:rFonts w:ascii="Tahoma" w:eastAsia="Tahoma"/>
          <w:color w:val="333333"/>
        </w:rPr>
        <w:t xml:space="preserve">2024 </w:t>
      </w:r>
      <w:r>
        <w:rPr>
          <w:color w:val="333333"/>
          <w:spacing w:val="-14"/>
        </w:rPr>
        <w:t xml:space="preserve">年 </w:t>
      </w:r>
      <w:r>
        <w:rPr>
          <w:rFonts w:ascii="Tahoma" w:eastAsia="Tahoma"/>
          <w:color w:val="333333"/>
        </w:rPr>
        <w:t xml:space="preserve">PCR </w:t>
      </w:r>
      <w:r>
        <w:rPr>
          <w:color w:val="333333"/>
        </w:rPr>
        <w:t>波動劇烈，反映出市場情緒從第一季的高昂多頭，在年中轉為恐慌性避險（</w:t>
      </w:r>
      <w:r>
        <w:rPr>
          <w:rFonts w:ascii="Tahoma" w:eastAsia="Tahoma"/>
          <w:color w:val="333333"/>
        </w:rPr>
        <w:t>PCR</w:t>
      </w:r>
      <w:r>
        <w:rPr>
          <w:rFonts w:ascii="Tahoma" w:eastAsia="Tahoma"/>
          <w:color w:val="333333"/>
          <w:spacing w:val="-18"/>
        </w:rPr>
        <w:t xml:space="preserve"> </w:t>
      </w:r>
      <w:r>
        <w:rPr>
          <w:color w:val="333333"/>
          <w:spacing w:val="-9"/>
        </w:rPr>
        <w:t xml:space="preserve">跌破 </w:t>
      </w:r>
      <w:r>
        <w:rPr>
          <w:rFonts w:ascii="Tahoma" w:eastAsia="Tahoma"/>
          <w:color w:val="333333"/>
        </w:rPr>
        <w:t>1.0</w:t>
      </w:r>
      <w:r>
        <w:rPr>
          <w:color w:val="333333"/>
        </w:rPr>
        <w:t>），顯示市場參與者的情緒基調已發生根本</w:t>
      </w:r>
      <w:r>
        <w:rPr>
          <w:color w:val="333333"/>
          <w:spacing w:val="-4"/>
        </w:rPr>
        <w:t>性改變。</w:t>
      </w:r>
    </w:p>
    <w:p w14:paraId="1267960C" w14:textId="77777777" w:rsidR="00A05578" w:rsidRDefault="00A05578">
      <w:pPr>
        <w:pStyle w:val="a3"/>
        <w:spacing w:line="312" w:lineRule="auto"/>
        <w:jc w:val="both"/>
        <w:sectPr w:rsidR="00A05578">
          <w:type w:val="continuous"/>
          <w:pgSz w:w="11910" w:h="16840"/>
          <w:pgMar w:top="1360" w:right="992" w:bottom="280" w:left="992" w:header="720" w:footer="720" w:gutter="0"/>
          <w:cols w:space="720"/>
        </w:sectPr>
      </w:pPr>
    </w:p>
    <w:p w14:paraId="2AF40794" w14:textId="77777777" w:rsidR="00A05578" w:rsidRDefault="00000000">
      <w:pPr>
        <w:pStyle w:val="a4"/>
        <w:numPr>
          <w:ilvl w:val="1"/>
          <w:numId w:val="1"/>
        </w:numPr>
        <w:tabs>
          <w:tab w:val="left" w:pos="430"/>
        </w:tabs>
        <w:ind w:left="430" w:hanging="289"/>
        <w:rPr>
          <w:rFonts w:ascii="微軟正黑體" w:eastAsia="微軟正黑體"/>
          <w:b/>
          <w:sz w:val="26"/>
        </w:rPr>
      </w:pPr>
      <w:bookmarkStart w:id="6" w:name="3._價格偏離度_(Bias_Ratio)_與趨勢動能"/>
      <w:bookmarkEnd w:id="6"/>
      <w:r>
        <w:rPr>
          <w:rFonts w:ascii="微軟正黑體" w:eastAsia="微軟正黑體"/>
          <w:b/>
          <w:color w:val="34495D"/>
          <w:spacing w:val="-8"/>
          <w:sz w:val="26"/>
        </w:rPr>
        <w:lastRenderedPageBreak/>
        <w:t xml:space="preserve">價格偏離度 </w:t>
      </w:r>
      <w:r>
        <w:rPr>
          <w:rFonts w:ascii="Arial Black" w:eastAsia="Arial Black"/>
          <w:color w:val="34495D"/>
          <w:spacing w:val="-10"/>
          <w:sz w:val="26"/>
        </w:rPr>
        <w:t>(Bias</w:t>
      </w:r>
      <w:r>
        <w:rPr>
          <w:rFonts w:ascii="Arial Black" w:eastAsia="Arial Black"/>
          <w:color w:val="34495D"/>
          <w:spacing w:val="-16"/>
          <w:sz w:val="26"/>
        </w:rPr>
        <w:t xml:space="preserve"> </w:t>
      </w:r>
      <w:r>
        <w:rPr>
          <w:rFonts w:ascii="Arial Black" w:eastAsia="Arial Black"/>
          <w:color w:val="34495D"/>
          <w:spacing w:val="-10"/>
          <w:sz w:val="26"/>
        </w:rPr>
        <w:t>Ratio</w:t>
      </w:r>
      <w:r>
        <w:rPr>
          <w:rFonts w:ascii="Arial Black" w:eastAsia="Arial Black"/>
          <w:color w:val="34495D"/>
          <w:spacing w:val="-13"/>
          <w:sz w:val="26"/>
        </w:rPr>
        <w:t xml:space="preserve">) </w:t>
      </w:r>
      <w:r>
        <w:rPr>
          <w:rFonts w:ascii="微軟正黑體" w:eastAsia="微軟正黑體"/>
          <w:b/>
          <w:color w:val="34495D"/>
          <w:spacing w:val="-10"/>
          <w:sz w:val="26"/>
        </w:rPr>
        <w:t>與趨勢動能</w:t>
      </w:r>
    </w:p>
    <w:p w14:paraId="37631B37" w14:textId="57A6ACF1" w:rsidR="00A05578" w:rsidRPr="001958A0" w:rsidRDefault="00000000" w:rsidP="001958A0">
      <w:pPr>
        <w:pStyle w:val="a3"/>
        <w:spacing w:before="293" w:line="309" w:lineRule="auto"/>
        <w:ind w:left="141" w:right="140"/>
        <w:jc w:val="both"/>
        <w:rPr>
          <w:rFonts w:eastAsiaTheme="minorEastAsia" w:hint="eastAsia"/>
        </w:rPr>
      </w:pPr>
      <w:r>
        <w:rPr>
          <w:color w:val="333333"/>
        </w:rPr>
        <w:t>乖離率數據顯示，</w:t>
      </w:r>
      <w:r>
        <w:rPr>
          <w:rFonts w:ascii="Tahoma" w:eastAsia="Tahoma"/>
          <w:color w:val="333333"/>
        </w:rPr>
        <w:t>2024</w:t>
      </w:r>
      <w:r>
        <w:rPr>
          <w:rFonts w:ascii="Tahoma" w:eastAsia="Tahoma"/>
          <w:color w:val="333333"/>
          <w:spacing w:val="40"/>
        </w:rPr>
        <w:t xml:space="preserve"> </w:t>
      </w:r>
      <w:r>
        <w:rPr>
          <w:color w:val="333333"/>
        </w:rPr>
        <w:t xml:space="preserve">年的趨勢動能遠強於 </w:t>
      </w:r>
      <w:r>
        <w:rPr>
          <w:rFonts w:ascii="Tahoma" w:eastAsia="Tahoma"/>
          <w:color w:val="333333"/>
        </w:rPr>
        <w:t>2023</w:t>
      </w:r>
      <w:r>
        <w:rPr>
          <w:rFonts w:ascii="Tahoma" w:eastAsia="Tahoma"/>
          <w:color w:val="333333"/>
          <w:spacing w:val="40"/>
        </w:rPr>
        <w:t xml:space="preserve"> </w:t>
      </w:r>
      <w:r>
        <w:rPr>
          <w:color w:val="333333"/>
        </w:rPr>
        <w:t>年。</w:t>
      </w:r>
      <w:r>
        <w:rPr>
          <w:rFonts w:ascii="Tahoma" w:eastAsia="Tahoma"/>
          <w:color w:val="333333"/>
        </w:rPr>
        <w:t>2024</w:t>
      </w:r>
      <w:r>
        <w:rPr>
          <w:rFonts w:ascii="Tahoma" w:eastAsia="Tahoma"/>
          <w:color w:val="333333"/>
          <w:spacing w:val="40"/>
        </w:rPr>
        <w:t xml:space="preserve"> </w:t>
      </w:r>
      <w:r>
        <w:rPr>
          <w:color w:val="333333"/>
        </w:rPr>
        <w:t>年價格長期</w:t>
      </w:r>
      <w:proofErr w:type="gramStart"/>
      <w:r>
        <w:rPr>
          <w:color w:val="333333"/>
        </w:rPr>
        <w:t>偏離均線</w:t>
      </w:r>
      <w:proofErr w:type="gramEnd"/>
      <w:r>
        <w:rPr>
          <w:color w:val="333333"/>
        </w:rPr>
        <w:t>，雖然帶來趨勢交易的獲利空間，但也埋下了急殺修正的隱憂。</w:t>
      </w:r>
      <w:r>
        <w:rPr>
          <w:rFonts w:ascii="Tahoma" w:eastAsia="Tahoma"/>
          <w:color w:val="333333"/>
        </w:rPr>
        <w:t xml:space="preserve">5MA </w:t>
      </w:r>
      <w:r>
        <w:rPr>
          <w:color w:val="333333"/>
        </w:rPr>
        <w:t>的極端</w:t>
      </w:r>
      <w:proofErr w:type="gramStart"/>
      <w:r>
        <w:rPr>
          <w:color w:val="333333"/>
        </w:rPr>
        <w:t>向下插針頻率</w:t>
      </w:r>
      <w:proofErr w:type="gramEnd"/>
      <w:r>
        <w:rPr>
          <w:color w:val="333333"/>
        </w:rPr>
        <w:t>增加，顯示</w:t>
      </w:r>
      <w:proofErr w:type="gramStart"/>
      <w:r>
        <w:rPr>
          <w:color w:val="333333"/>
        </w:rPr>
        <w:t>市場回撤壓力</w:t>
      </w:r>
      <w:proofErr w:type="gramEnd"/>
      <w:r>
        <w:rPr>
          <w:color w:val="333333"/>
          <w:spacing w:val="-2"/>
          <w:w w:val="105"/>
        </w:rPr>
        <w:t>較以往更具破壞性。</w:t>
      </w:r>
    </w:p>
    <w:p w14:paraId="01D38E53" w14:textId="77777777" w:rsidR="001958A0" w:rsidRDefault="001958A0" w:rsidP="001958A0">
      <w:pPr>
        <w:rPr>
          <w:rFonts w:ascii="微軟正黑體" w:eastAsia="微軟正黑體"/>
          <w:b/>
          <w:sz w:val="26"/>
        </w:rPr>
      </w:pPr>
      <w:r>
        <w:rPr>
          <w:rFonts w:ascii="微軟正黑體" w:eastAsia="微軟正黑體"/>
          <w:b/>
          <w:color w:val="34495D"/>
          <w:spacing w:val="-4"/>
          <w:sz w:val="26"/>
        </w:rPr>
        <w:t>四、 綜合結論</w:t>
      </w:r>
    </w:p>
    <w:p w14:paraId="2C07BC8D" w14:textId="77777777" w:rsidR="001958A0" w:rsidRDefault="001958A0" w:rsidP="001958A0">
      <w:pPr>
        <w:spacing w:before="214" w:line="261" w:lineRule="auto"/>
        <w:ind w:right="215"/>
      </w:pPr>
      <w:r>
        <w:rPr>
          <w:rFonts w:ascii="Arial Black" w:eastAsia="Arial Black"/>
          <w:color w:val="333333"/>
        </w:rPr>
        <w:t>2023</w:t>
      </w:r>
      <w:r>
        <w:rPr>
          <w:rFonts w:ascii="Arial Black" w:eastAsia="Arial Black"/>
          <w:color w:val="333333"/>
          <w:spacing w:val="9"/>
        </w:rPr>
        <w:t xml:space="preserve"> </w:t>
      </w:r>
      <w:r>
        <w:rPr>
          <w:rFonts w:ascii="微軟正黑體" w:eastAsia="微軟正黑體"/>
          <w:b/>
          <w:color w:val="333333"/>
          <w:spacing w:val="9"/>
        </w:rPr>
        <w:t xml:space="preserve">年： </w:t>
      </w:r>
      <w:r>
        <w:rPr>
          <w:color w:val="333333"/>
        </w:rPr>
        <w:t>市場特徵為「低波動、高勝率、</w:t>
      </w:r>
      <w:proofErr w:type="gramStart"/>
      <w:r>
        <w:rPr>
          <w:color w:val="333333"/>
        </w:rPr>
        <w:t>均值回歸</w:t>
      </w:r>
      <w:proofErr w:type="gramEnd"/>
      <w:r>
        <w:rPr>
          <w:color w:val="333333"/>
        </w:rPr>
        <w:t>」。策略應偏向賣出波動率以獲取時間價</w:t>
      </w:r>
      <w:r>
        <w:rPr>
          <w:color w:val="333333"/>
          <w:spacing w:val="-6"/>
        </w:rPr>
        <w:t>值。</w:t>
      </w:r>
    </w:p>
    <w:p w14:paraId="3FD9421E" w14:textId="77777777" w:rsidR="001958A0" w:rsidRDefault="001958A0" w:rsidP="001958A0">
      <w:pPr>
        <w:spacing w:before="202" w:line="261" w:lineRule="auto"/>
        <w:ind w:right="215"/>
      </w:pPr>
      <w:r>
        <w:rPr>
          <w:rFonts w:ascii="Arial Black" w:eastAsia="Arial Black"/>
          <w:color w:val="333333"/>
        </w:rPr>
        <w:t>2024</w:t>
      </w:r>
      <w:r>
        <w:rPr>
          <w:rFonts w:ascii="Arial Black" w:eastAsia="Arial Black"/>
          <w:color w:val="333333"/>
          <w:spacing w:val="9"/>
        </w:rPr>
        <w:t xml:space="preserve"> </w:t>
      </w:r>
      <w:r>
        <w:rPr>
          <w:rFonts w:ascii="微軟正黑體" w:eastAsia="微軟正黑體"/>
          <w:b/>
          <w:color w:val="333333"/>
          <w:spacing w:val="9"/>
        </w:rPr>
        <w:t xml:space="preserve">年： </w:t>
      </w:r>
      <w:r>
        <w:rPr>
          <w:color w:val="333333"/>
        </w:rPr>
        <w:t>市場特徵為「高動能、高風險、趨勢主導」。在追隨趨勢的同時，必須配置強大的</w:t>
      </w:r>
      <w:r>
        <w:rPr>
          <w:color w:val="333333"/>
          <w:spacing w:val="-2"/>
        </w:rPr>
        <w:t>尾端風險保護機制，以應對突發性的波動率</w:t>
      </w:r>
      <w:proofErr w:type="gramStart"/>
      <w:r>
        <w:rPr>
          <w:color w:val="333333"/>
          <w:spacing w:val="-2"/>
        </w:rPr>
        <w:t>飆</w:t>
      </w:r>
      <w:proofErr w:type="gramEnd"/>
      <w:r>
        <w:rPr>
          <w:color w:val="333333"/>
          <w:spacing w:val="-2"/>
        </w:rPr>
        <w:t>升。</w:t>
      </w:r>
    </w:p>
    <w:p w14:paraId="5F4F7FD9" w14:textId="18484CA8" w:rsidR="00A05578" w:rsidRPr="001958A0" w:rsidRDefault="00A05578">
      <w:pPr>
        <w:pStyle w:val="a3"/>
        <w:ind w:left="141"/>
      </w:pPr>
    </w:p>
    <w:sectPr w:rsidR="00A05578" w:rsidRPr="001958A0">
      <w:pgSz w:w="11910" w:h="16840"/>
      <w:pgMar w:top="10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B42FA"/>
    <w:multiLevelType w:val="hybridMultilevel"/>
    <w:tmpl w:val="E780AC9C"/>
    <w:lvl w:ilvl="0" w:tplc="613E0A42">
      <w:start w:val="4"/>
      <w:numFmt w:val="upperRoman"/>
      <w:lvlText w:val="（%1）"/>
      <w:lvlJc w:val="left"/>
      <w:pPr>
        <w:ind w:left="141" w:hanging="648"/>
        <w:jc w:val="left"/>
      </w:pPr>
      <w:rPr>
        <w:rFonts w:ascii="SimSun" w:eastAsia="SimSun" w:hAnsi="SimSun" w:cs="SimSun" w:hint="default"/>
        <w:b w:val="0"/>
        <w:bCs w:val="0"/>
        <w:i w:val="0"/>
        <w:iCs w:val="0"/>
        <w:color w:val="333333"/>
        <w:spacing w:val="0"/>
        <w:w w:val="96"/>
        <w:sz w:val="20"/>
        <w:szCs w:val="20"/>
        <w:lang w:val="en-US" w:eastAsia="zh-TW" w:bidi="ar-SA"/>
      </w:rPr>
    </w:lvl>
    <w:lvl w:ilvl="1" w:tplc="082E150E">
      <w:start w:val="1"/>
      <w:numFmt w:val="decimal"/>
      <w:lvlText w:val="%2."/>
      <w:lvlJc w:val="left"/>
      <w:pPr>
        <w:ind w:left="432" w:hanging="29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4495D"/>
        <w:spacing w:val="0"/>
        <w:w w:val="85"/>
        <w:sz w:val="26"/>
        <w:szCs w:val="26"/>
        <w:lang w:val="en-US" w:eastAsia="zh-TW" w:bidi="ar-SA"/>
      </w:rPr>
    </w:lvl>
    <w:lvl w:ilvl="2" w:tplc="3F5C2FD4">
      <w:numFmt w:val="bullet"/>
      <w:lvlText w:val="•"/>
      <w:lvlJc w:val="left"/>
      <w:pPr>
        <w:ind w:left="1493" w:hanging="291"/>
      </w:pPr>
      <w:rPr>
        <w:rFonts w:hint="default"/>
        <w:lang w:val="en-US" w:eastAsia="zh-TW" w:bidi="ar-SA"/>
      </w:rPr>
    </w:lvl>
    <w:lvl w:ilvl="3" w:tplc="655C0132">
      <w:numFmt w:val="bullet"/>
      <w:lvlText w:val="•"/>
      <w:lvlJc w:val="left"/>
      <w:pPr>
        <w:ind w:left="2547" w:hanging="291"/>
      </w:pPr>
      <w:rPr>
        <w:rFonts w:hint="default"/>
        <w:lang w:val="en-US" w:eastAsia="zh-TW" w:bidi="ar-SA"/>
      </w:rPr>
    </w:lvl>
    <w:lvl w:ilvl="4" w:tplc="531EF90E">
      <w:numFmt w:val="bullet"/>
      <w:lvlText w:val="•"/>
      <w:lvlJc w:val="left"/>
      <w:pPr>
        <w:ind w:left="3600" w:hanging="291"/>
      </w:pPr>
      <w:rPr>
        <w:rFonts w:hint="default"/>
        <w:lang w:val="en-US" w:eastAsia="zh-TW" w:bidi="ar-SA"/>
      </w:rPr>
    </w:lvl>
    <w:lvl w:ilvl="5" w:tplc="3AB0D92A">
      <w:numFmt w:val="bullet"/>
      <w:lvlText w:val="•"/>
      <w:lvlJc w:val="left"/>
      <w:pPr>
        <w:ind w:left="4654" w:hanging="291"/>
      </w:pPr>
      <w:rPr>
        <w:rFonts w:hint="default"/>
        <w:lang w:val="en-US" w:eastAsia="zh-TW" w:bidi="ar-SA"/>
      </w:rPr>
    </w:lvl>
    <w:lvl w:ilvl="6" w:tplc="D6C0267C">
      <w:numFmt w:val="bullet"/>
      <w:lvlText w:val="•"/>
      <w:lvlJc w:val="left"/>
      <w:pPr>
        <w:ind w:left="5707" w:hanging="291"/>
      </w:pPr>
      <w:rPr>
        <w:rFonts w:hint="default"/>
        <w:lang w:val="en-US" w:eastAsia="zh-TW" w:bidi="ar-SA"/>
      </w:rPr>
    </w:lvl>
    <w:lvl w:ilvl="7" w:tplc="C2583DC8">
      <w:numFmt w:val="bullet"/>
      <w:lvlText w:val="•"/>
      <w:lvlJc w:val="left"/>
      <w:pPr>
        <w:ind w:left="6761" w:hanging="291"/>
      </w:pPr>
      <w:rPr>
        <w:rFonts w:hint="default"/>
        <w:lang w:val="en-US" w:eastAsia="zh-TW" w:bidi="ar-SA"/>
      </w:rPr>
    </w:lvl>
    <w:lvl w:ilvl="8" w:tplc="712E8F8A">
      <w:numFmt w:val="bullet"/>
      <w:lvlText w:val="•"/>
      <w:lvlJc w:val="left"/>
      <w:pPr>
        <w:ind w:left="7814" w:hanging="291"/>
      </w:pPr>
      <w:rPr>
        <w:rFonts w:hint="default"/>
        <w:lang w:val="en-US" w:eastAsia="zh-TW" w:bidi="ar-SA"/>
      </w:rPr>
    </w:lvl>
  </w:abstractNum>
  <w:num w:numId="1" w16cid:durableId="25450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5578"/>
    <w:rsid w:val="001958A0"/>
    <w:rsid w:val="00865072"/>
    <w:rsid w:val="00A0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9825E"/>
  <w15:docId w15:val="{EFE1D1CD-E5C9-46CF-AC6C-B87FDC2D3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lang w:eastAsia="zh-TW"/>
    </w:rPr>
  </w:style>
  <w:style w:type="paragraph" w:styleId="1">
    <w:name w:val="heading 1"/>
    <w:basedOn w:val="a"/>
    <w:uiPriority w:val="9"/>
    <w:qFormat/>
    <w:pPr>
      <w:ind w:left="366"/>
      <w:outlineLvl w:val="0"/>
    </w:pPr>
    <w:rPr>
      <w:rFonts w:ascii="微軟正黑體" w:eastAsia="微軟正黑體" w:hAnsi="微軟正黑體" w:cs="微軟正黑體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39"/>
      <w:ind w:left="430" w:hanging="289"/>
    </w:pPr>
  </w:style>
  <w:style w:type="paragraph" w:customStyle="1" w:styleId="TableParagraph">
    <w:name w:val="Table Paragraph"/>
    <w:basedOn w:val="a"/>
    <w:uiPriority w:val="1"/>
    <w:qFormat/>
    <w:pPr>
      <w:spacing w:before="194"/>
      <w:ind w:left="17"/>
      <w:jc w:val="center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BOWEI 黃</cp:lastModifiedBy>
  <cp:revision>2</cp:revision>
  <dcterms:created xsi:type="dcterms:W3CDTF">2026-04-30T10:22:00Z</dcterms:created>
  <dcterms:modified xsi:type="dcterms:W3CDTF">2026-04-30T10:24:00Z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2026-04-30T00:00:00Z</vt:filetime>
  </property>
</Properties>
</file>