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金融資料探勘：2020-2023 臺指選擇權 (TXO) 三年整合分析摘要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繳交組別: 5  | 研究期間：2020 - 2023 年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一、研究期間與資料整合作法說明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本研究涵蓋 2020 年至 2023 年上半年之臺指選擇權 (TXO) 逐筆交易資料，期間跨越了數個重大總經事件（包含 2020 年新冠疫情爆發、2021 年股市大多頭、2022 年全球通膨與激進升息等）。我們透過 Black-Scholes 模型與 Brent 數值方法反推每日之隱含波動率 (IV)，並嚴格區分看漲投資人 (Call) 與看跌投資人 (Put)，最後結合每日之 Put/Call Ratio (PCR) 指標，完成跨年度之整合分析。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二、跨年度核心數據比較表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下表為各年度看漲與看跌投資人之隱含波動率平均數，以及市場多空情緒 PCR 之變化：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年度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看漲 IV (Call) 平均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看跌 IV (Put) 平均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PCR 平均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0.1329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0.2067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1.2369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0.1151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0.1709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1.2477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0.1873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0.2550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0.9919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0.1064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0.1409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1.2367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[圖表一：2020-2023 隱含波動率與 PCR 整合走勢圖]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486400" cy="43891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三、極端市場情緒觀察 (年度恐慌高點)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年度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最高 Put IV 日期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當日 Put IV 數值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當日 PCR 數值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2020-03-17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1.2675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1.1386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2021-05-18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0.9256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1.8028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2022-11-14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0.4983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1.0634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2023-01-17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0.5873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0.9647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四、三年整合實證結果與財務含意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1. 波動率偏斜的長期存在：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從三年以上的長期數據觀察，各年度的看跌投資人隱含波動率 (Put IV) 平均數幾乎皆大於看漲投資人 (Call IV)。這證實了臺股選擇權市場存在長期的「波動率左偏 (Volatility Skew)」，反映無論是在牛市或熊市，投資人對下行風險的防範意識始終強於對上漲的預期。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2. 極端事件下的共識破裂 (標準差的意義)：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當發生重大系統性風險（如 2020 年初的新冠疫情爆發、2022 年底的股市破底）時，不僅 IV-P 飆升至年度高點，其「樣本標準差」也會同步劇烈放大。統計學上這代表市場參與者對未來走向產生了嚴重的分歧，不同履約價的定價效率降低，是極度恐慌下的典型特徵。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PCR 作為逆勢指標 (Contrarian Indicator) 的探討：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從 2022 年等空頭年份可發現，當 IV-P 達到極端高點（市場最恐慌）時，PCR 反而常常會從高檔回落至 1.0 以下。這在實務上暗示了「恐慌性拋售已達極致」，原本追空的籌碼開始獲利了結或無力再追，往往成為大盤即將觸底反彈的重要信號。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