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金融資料探勘：</w:t>
      </w:r>
      <w:r>
        <w:rPr/>
        <w:t xml:space="preserve">2020-2023 </w:t>
      </w:r>
      <w:r>
        <w:rPr/>
        <w:t xml:space="preserve">臺指選擇權 </w:t>
      </w:r>
      <w:r>
        <w:rPr/>
        <w:t xml:space="preserve">(TXO) </w:t>
      </w:r>
      <w:r>
        <w:rPr/>
        <w:t>四年整合分析摘要</w:t>
      </w:r>
    </w:p>
    <w:p>
      <w:pPr>
        <w:pStyle w:val="normal1"/>
        <w:jc w:val="center"/>
        <w:rPr/>
      </w:pPr>
      <w:r>
        <w:rPr/>
        <w:t>繳交組別</w:t>
      </w:r>
      <w:r>
        <w:rPr/>
        <w:t xml:space="preserve">: 5  | </w:t>
      </w:r>
      <w:r>
        <w:rPr/>
        <w:t>研究期間：</w:t>
      </w:r>
      <w:r>
        <w:rPr/>
        <w:t xml:space="preserve">2020 - 2023 </w:t>
      </w:r>
      <w:r>
        <w:rPr/>
        <w:t>年</w:t>
      </w:r>
    </w:p>
    <w:p>
      <w:pPr>
        <w:pStyle w:val="Heading1"/>
        <w:rPr/>
      </w:pPr>
      <w:r>
        <w:rPr/>
        <w:t>一、研究期間與資料整合作法說明</w:t>
      </w:r>
    </w:p>
    <w:p>
      <w:pPr>
        <w:pStyle w:val="normal1"/>
        <w:rPr/>
      </w:pPr>
      <w:r>
        <w:rPr/>
        <w:t xml:space="preserve">本研究涵蓋 </w:t>
      </w:r>
      <w:r>
        <w:rPr/>
        <w:t xml:space="preserve">2020 </w:t>
      </w:r>
      <w:r>
        <w:rPr/>
        <w:t xml:space="preserve">年至 </w:t>
      </w:r>
      <w:r>
        <w:rPr/>
        <w:t xml:space="preserve">2023 </w:t>
      </w:r>
      <w:r>
        <w:rPr/>
        <w:t xml:space="preserve">年上半年之臺指選擇權 </w:t>
      </w:r>
      <w:r>
        <w:rPr/>
        <w:t xml:space="preserve">(TXO) </w:t>
      </w:r>
      <w:r>
        <w:rPr/>
        <w:t xml:space="preserve">逐筆交易資料，期間跨越了數個重大總經事件（包含 </w:t>
      </w:r>
      <w:r>
        <w:rPr/>
        <w:t xml:space="preserve">2020 </w:t>
      </w:r>
      <w:r>
        <w:rPr/>
        <w:t>年新冠疫情爆發、</w:t>
      </w:r>
      <w:r>
        <w:rPr/>
        <w:t xml:space="preserve">2021 </w:t>
      </w:r>
      <w:r>
        <w:rPr/>
        <w:t>年股市大多頭、</w:t>
      </w:r>
      <w:r>
        <w:rPr/>
        <w:t xml:space="preserve">2022 </w:t>
      </w:r>
      <w:r>
        <w:rPr/>
        <w:t xml:space="preserve">年全球通膨與激進升息等）。我們透過 </w:t>
      </w:r>
      <w:r>
        <w:rPr/>
        <w:t xml:space="preserve">Black-Scholes </w:t>
      </w:r>
      <w:r>
        <w:rPr/>
        <w:t xml:space="preserve">模型與 </w:t>
      </w:r>
      <w:r>
        <w:rPr/>
        <w:t xml:space="preserve">Brent </w:t>
      </w:r>
      <w:r>
        <w:rPr/>
        <w:t xml:space="preserve">數值方法反推每日之隱含波動率 </w:t>
      </w:r>
      <w:r>
        <w:rPr/>
        <w:t>(IV)</w:t>
      </w:r>
      <w:r>
        <w:rPr/>
        <w:t xml:space="preserve">，並嚴格區分看漲投資人 </w:t>
      </w:r>
      <w:r>
        <w:rPr/>
        <w:t xml:space="preserve">(Call) </w:t>
      </w:r>
      <w:r>
        <w:rPr/>
        <w:t xml:space="preserve">與看跌投資人 </w:t>
      </w:r>
      <w:r>
        <w:rPr/>
        <w:t>(Put)</w:t>
      </w:r>
      <w:r>
        <w:rPr/>
        <w:t xml:space="preserve">，最後結合每日之 </w:t>
      </w:r>
      <w:r>
        <w:rPr/>
        <w:t xml:space="preserve">Put/Call Ratio (PCR) </w:t>
      </w:r>
      <w:r>
        <w:rPr/>
        <w:t>指標，完成跨年度之整合分析。</w:t>
      </w:r>
    </w:p>
    <w:p>
      <w:pPr>
        <w:pStyle w:val="Heading1"/>
        <w:rPr/>
      </w:pPr>
      <w:r>
        <w:rPr/>
        <w:t>二、跨年度核心數據比較表</w:t>
      </w:r>
    </w:p>
    <w:p>
      <w:pPr>
        <w:pStyle w:val="normal1"/>
        <w:rPr/>
      </w:pPr>
      <w:r>
        <w:rPr/>
        <w:t xml:space="preserve">下表為各年度看漲與看跌投資人之隱含波動率平均數，以及市場多空情緒 </w:t>
      </w:r>
      <w:r>
        <w:rPr/>
        <w:t xml:space="preserve">PCR </w:t>
      </w:r>
      <w:r>
        <w:rPr/>
        <w:t>之變化：</w:t>
      </w:r>
    </w:p>
    <w:tbl>
      <w:tblPr>
        <w:tblStyle w:val="Table1"/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年度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看漲 </w:t>
            </w:r>
            <w:r>
              <w:rPr/>
              <w:t xml:space="preserve">IV (Call) </w:t>
            </w:r>
            <w:r>
              <w:rPr/>
              <w:t>平均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看跌 </w:t>
            </w:r>
            <w:r>
              <w:rPr/>
              <w:t xml:space="preserve">IV (Put) </w:t>
            </w:r>
            <w:r>
              <w:rPr/>
              <w:t>平均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PCR </w:t>
            </w:r>
            <w:r>
              <w:rPr/>
              <w:t>平均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0.1329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0.2067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1.2369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0.1151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0.1709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1.2477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0.1873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0.2550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0.9919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0.1064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0.1409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1.2367</w:t>
            </w:r>
          </w:p>
        </w:tc>
      </w:tr>
    </w:tbl>
    <w:p>
      <w:pPr>
        <w:pStyle w:val="normal1"/>
        <w:rPr/>
      </w:pPr>
      <w:r>
        <w:rPr/>
        <w:br/>
        <w:t>[</w:t>
      </w:r>
      <w:r>
        <w:rPr/>
        <w:t>圖表一：</w:t>
      </w:r>
      <w:r>
        <w:rPr/>
        <w:t xml:space="preserve">2020-2023 </w:t>
      </w:r>
      <w:r>
        <w:rPr/>
        <w:t xml:space="preserve">隱含波動率與 </w:t>
      </w:r>
      <w:r>
        <w:rPr/>
        <w:t xml:space="preserve">PCR </w:t>
      </w:r>
      <w:r>
        <w:rPr/>
        <w:t>整合走勢圖</w:t>
      </w:r>
      <w:r>
        <w:rPr/>
        <w:t>]</w:t>
      </w:r>
    </w:p>
    <w:p>
      <w:pPr>
        <w:pStyle w:val="normal1"/>
        <w:rPr/>
      </w:pPr>
      <w:r>
        <w:rPr/>
        <w:drawing>
          <wp:inline distT="0" distB="0" distL="0" distR="0">
            <wp:extent cx="5486400" cy="43891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 xml:space="preserve">三、極端市場情緒觀察 </w:t>
      </w:r>
      <w:r>
        <w:rPr/>
        <w:t>(</w:t>
      </w:r>
      <w:r>
        <w:rPr/>
        <w:t>年度恐慌高點</w:t>
      </w:r>
      <w:r>
        <w:rPr/>
        <w:t>)</w:t>
      </w:r>
    </w:p>
    <w:tbl>
      <w:tblPr>
        <w:tblStyle w:val="Table2"/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年度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最高 </w:t>
            </w:r>
            <w:r>
              <w:rPr/>
              <w:t xml:space="preserve">Put IV </w:t>
            </w:r>
            <w:r>
              <w:rPr/>
              <w:t>日期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當日 </w:t>
            </w:r>
            <w:r>
              <w:rPr/>
              <w:t xml:space="preserve">Put IV </w:t>
            </w:r>
            <w:r>
              <w:rPr/>
              <w:t>數值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當日 </w:t>
            </w:r>
            <w:r>
              <w:rPr/>
              <w:t xml:space="preserve">PCR </w:t>
            </w:r>
            <w:r>
              <w:rPr/>
              <w:t>數值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2020-03-17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1.2675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1.1386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2021-05-18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0.9256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1.8028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2022-11-14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0.4983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1.0634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2023-01-17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0.5873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0.9647</w:t>
            </w:r>
          </w:p>
        </w:tc>
      </w:tr>
    </w:tbl>
    <w:p>
      <w:pPr>
        <w:pStyle w:val="Heading1"/>
        <w:rPr/>
      </w:pPr>
      <w:r>
        <w:rPr/>
        <w:t>四、四年整合實證結果與財務含意</w:t>
      </w:r>
    </w:p>
    <w:p>
      <w:pPr>
        <w:pStyle w:val="normal1"/>
        <w:rPr/>
      </w:pPr>
      <w:r>
        <w:rPr>
          <w:b/>
          <w:bCs/>
        </w:rPr>
        <w:t xml:space="preserve">1. </w:t>
      </w:r>
      <w:r>
        <w:rPr>
          <w:b/>
          <w:bCs/>
        </w:rPr>
        <w:t>波動率偏斜的長期存在：</w:t>
      </w:r>
    </w:p>
    <w:p>
      <w:pPr>
        <w:pStyle w:val="normal1"/>
        <w:rPr/>
      </w:pPr>
      <w:r>
        <w:rPr/>
        <w:t xml:space="preserve">從四年以上的長期數據觀察，各年度的看跌投資人隱含波動率 </w:t>
      </w:r>
      <w:r>
        <w:rPr/>
        <w:t xml:space="preserve">(Put IV) </w:t>
      </w:r>
      <w:r>
        <w:rPr/>
        <w:t xml:space="preserve">平均數幾乎皆大於看漲投資人 </w:t>
      </w:r>
      <w:r>
        <w:rPr/>
        <w:t>(Call IV)</w:t>
      </w:r>
      <w:r>
        <w:rPr/>
        <w:t xml:space="preserve">。這證實了臺股選擇權市場存在長期的「波動率左偏 </w:t>
      </w:r>
      <w:r>
        <w:rPr/>
        <w:t>(Volatility Skew)</w:t>
      </w:r>
      <w:r>
        <w:rPr/>
        <w:t>」，反映無論是在牛市或熊市，投資人對下行風險的防範意識始終強於對上漲的預期。</w:t>
      </w:r>
    </w:p>
    <w:p>
      <w:pPr>
        <w:pStyle w:val="normal1"/>
        <w:rPr/>
      </w:pPr>
      <w:r>
        <w:rPr>
          <w:b/>
          <w:bCs/>
        </w:rPr>
        <w:t xml:space="preserve">2. </w:t>
      </w:r>
      <w:r>
        <w:rPr>
          <w:b/>
          <w:bCs/>
        </w:rPr>
        <w:t xml:space="preserve">極端事件下的共識破裂 </w:t>
      </w:r>
      <w:r>
        <w:rPr>
          <w:b/>
          <w:bCs/>
        </w:rPr>
        <w:t>(</w:t>
      </w:r>
      <w:r>
        <w:rPr>
          <w:b/>
          <w:bCs/>
        </w:rPr>
        <w:t>標準差的意義</w:t>
      </w:r>
      <w:r>
        <w:rPr>
          <w:b/>
          <w:bCs/>
        </w:rPr>
        <w:t>)</w:t>
      </w:r>
      <w:r>
        <w:rPr>
          <w:b/>
          <w:bCs/>
        </w:rPr>
        <w:t>：</w:t>
      </w:r>
    </w:p>
    <w:p>
      <w:pPr>
        <w:pStyle w:val="normal1"/>
        <w:rPr/>
      </w:pPr>
      <w:r>
        <w:rPr/>
        <w:t xml:space="preserve">當發生重大系統性風險（如 </w:t>
      </w:r>
      <w:r>
        <w:rPr/>
        <w:t xml:space="preserve">2020 </w:t>
      </w:r>
      <w:r>
        <w:rPr/>
        <w:t>年初的新冠疫情爆發、</w:t>
      </w:r>
      <w:r>
        <w:rPr/>
        <w:t xml:space="preserve">2022 </w:t>
      </w:r>
      <w:r>
        <w:rPr/>
        <w:t xml:space="preserve">年底的股市破底）時，不僅 </w:t>
      </w:r>
      <w:r>
        <w:rPr/>
        <w:t xml:space="preserve">IV-P </w:t>
      </w:r>
      <w:r>
        <w:rPr/>
        <w:t>飆升至年度高點，其「樣本標準差」也會同步劇烈放大。統計學上這代表市場參與者對未來走向產生了嚴重的分歧，不同履約價的定價效率降低，是極度恐慌下的典型特徵。</w:t>
      </w:r>
    </w:p>
    <w:p>
      <w:pPr>
        <w:pStyle w:val="normal1"/>
        <w:rPr/>
      </w:pPr>
      <w:r>
        <w:rPr>
          <w:b/>
          <w:bCs/>
        </w:rPr>
        <w:t xml:space="preserve">3. PCR </w:t>
      </w:r>
      <w:r>
        <w:rPr>
          <w:b/>
          <w:bCs/>
        </w:rPr>
        <w:t xml:space="preserve">作為逆勢指標 </w:t>
      </w:r>
      <w:r>
        <w:rPr>
          <w:b/>
          <w:bCs/>
        </w:rPr>
        <w:t xml:space="preserve">(Contrarian Indicator) </w:t>
      </w:r>
      <w:r>
        <w:rPr>
          <w:b/>
          <w:bCs/>
        </w:rPr>
        <w:t>的探討：</w:t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  <w:t xml:space="preserve">從 </w:t>
      </w:r>
      <w:r>
        <w:rPr/>
        <w:t xml:space="preserve">2022 </w:t>
      </w:r>
      <w:r>
        <w:rPr/>
        <w:t xml:space="preserve">年等空頭年份可發現，當 </w:t>
      </w:r>
      <w:r>
        <w:rPr/>
        <w:t xml:space="preserve">IV-P </w:t>
      </w:r>
      <w:r>
        <w:rPr/>
        <w:t>達到極端高點（市場最恐慌）時，</w:t>
      </w:r>
      <w:r>
        <w:rPr/>
        <w:t xml:space="preserve">PCR </w:t>
      </w:r>
      <w:r>
        <w:rPr/>
        <w:t xml:space="preserve">反而常常會從高檔回落至 </w:t>
      </w:r>
      <w:r>
        <w:rPr/>
        <w:t xml:space="preserve">1.0 </w:t>
      </w:r>
      <w:r>
        <w:rPr/>
        <w:t>以下。這在實務上暗示了「恐慌性拋售已達極致」，原本追空的籌碼開始獲利了結或無力再追，往往成為大盤即將觸底反彈的重要信號。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8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mbria">
    <w:charset w:val="88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charset w:val="88"/>
    <w:family w:val="roman"/>
    <w:pitch w:val="variable"/>
    <w:embedRegular r:id="rId18" w:fontKey="{12014A78-CABC-4EF0-12AC-5CD89AEFDE12}"/>
  </w:font>
  <w:font w:name="Liberation Sans">
    <w:altName w:val="Arial"/>
    <w:charset w:val="88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TW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Style8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TW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3</Pages>
  <Words>732</Words>
  <Characters>1073</Characters>
  <CharactersWithSpaces>1154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2026-04-30T19:57:30Z</dcterms:modified>
  <cp:revision>1</cp:revision>
  <dc:subject/>
  <dc:title/>
</cp:coreProperties>
</file>