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0"/>
          <w:rFonts w:eastAsia="Microsoft JhengHei"/>
        </w:rPr>
        <w:t>第三章以後修正版</w:t>
      </w:r>
    </w:p>
    <w:p>
      <w:pPr>
        <w:jc w:val="center"/>
      </w:pPr>
      <w:r>
        <w:rPr>
          <w:sz w:val="24"/>
          <w:rFonts w:eastAsia="Microsoft JhengHei"/>
        </w:rPr>
        <w:t>以 BoW、TF、TF-IDF + SVM 比較為主軸，MNIR+SVM 作為 baseline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92"/>
      </w:tblGrid>
      <w:tr>
        <w:tc>
          <w:tcPr>
            <w:tcW w:type="dxa" w:w="9292"/>
            <w:shd w:fill="EAF2F8"/>
            <w:vAlign w:val="center"/>
          </w:tcPr>
          <w:p>
            <w:pPr>
              <w:spacing w:after="0"/>
            </w:pPr>
            <w:r>
              <w:rPr>
                <w:color w:val="2D3748"/>
                <w:sz w:val="20"/>
              </w:rPr>
              <w:t>本文件只包含第三章以後內容，可接續於既有緒論與文獻回顧之後。第四章已改為 Empirical Results 的研究問題導向結構。</w:t>
            </w:r>
          </w:p>
        </w:tc>
      </w:tr>
    </w:tbl>
    <w:p/>
    <w:p>
      <w:pPr>
        <w:pStyle w:val="Heading1"/>
      </w:pPr>
      <w:r>
        <w:rPr>
          <w:rFonts w:ascii="Calibri" w:hAnsi="Calibri" w:eastAsia="Microsoft JhengHei"/>
          <w:color w:val="1F4E79"/>
        </w:rPr>
        <w:t>第三章 研究方法</w:t>
      </w:r>
    </w:p>
    <w:p>
      <w:pPr>
        <w:pStyle w:val="Heading2"/>
      </w:pPr>
      <w:r>
        <w:rPr>
          <w:rFonts w:ascii="Calibri" w:hAnsi="Calibri" w:eastAsia="Microsoft JhengHei"/>
          <w:color w:val="1F4E79"/>
        </w:rPr>
        <w:t>3.1 研究流程</w:t>
      </w:r>
    </w:p>
    <w:p>
      <w:pPr>
        <w:spacing w:line="324" w:lineRule="auto" w:after="120"/>
        <w:ind w:firstLine="420"/>
      </w:pPr>
      <w:r>
        <w:rPr>
          <w:sz w:val="22"/>
          <w:rFonts w:eastAsia="Microsoft JhengHei"/>
        </w:rPr>
        <w:t>本研究以智慧財產權相關判決書為研究對象，將裁判結果整理為 Lose、Mixed 與 Win 三類標籤，並依案件類型切分為行政、民事、刑事與刑事附帶民事四個資料集。整體流程包含資料前處理、斷詞與文件詞項矩陣建置、卡方特徵選擇、模型訓練、validation 參數選擇與 test set 評估。</w:t>
      </w:r>
    </w:p>
    <w:p>
      <w:pPr>
        <w:spacing w:line="324" w:lineRule="auto" w:after="120"/>
        <w:ind w:firstLine="420"/>
      </w:pPr>
      <w:r>
        <w:rPr>
          <w:sz w:val="22"/>
          <w:rFonts w:eastAsia="Microsoft JhengHei"/>
        </w:rPr>
        <w:t>實驗設計的核心不是提出單一新模型，而是比較三種傳統稀疏文字表示法 BoW、TF 與 TF-IDF 在法律判決勝敗訴預測上的表現。Direct SVM 為主要比較流程，MNIR+SVM 則作為監督式特徵轉換 baseline，用以檢驗 MNIR 是否能改善傳統稀疏特徵。</w:t>
      </w:r>
    </w:p>
    <w:p>
      <w:pPr>
        <w:pStyle w:val="Heading2"/>
      </w:pPr>
      <w:r>
        <w:rPr>
          <w:rFonts w:ascii="Calibri" w:hAnsi="Calibri" w:eastAsia="Microsoft JhengHei"/>
          <w:color w:val="1F4E79"/>
        </w:rPr>
        <w:t>3.2 資料與標籤分布</w:t>
      </w:r>
    </w:p>
    <w:p>
      <w:pPr>
        <w:spacing w:line="324" w:lineRule="auto" w:after="120"/>
        <w:ind w:firstLine="420"/>
      </w:pPr>
      <w:r>
        <w:rPr>
          <w:sz w:val="22"/>
          <w:rFonts w:eastAsia="Microsoft JhengHei"/>
        </w:rPr>
        <w:t>資料標籤呈現明顯不平衡，部分案件類型中 Lose 或 Mixed 為主要類別，而 Win 類別樣本數較少。因此，本文除報告 Accuracy 外，也以 Macro F1 作為主要評估指標，以避免模型僅因預測多數類別而獲得表面上較高的準確率。</w:t>
      </w:r>
    </w:p>
    <w:p>
      <w:pPr>
        <w:jc w:val="center"/>
      </w:pPr>
      <w:r>
        <w:rPr>
          <w:b/>
          <w:color w:val="2D3748"/>
          <w:sz w:val="20"/>
        </w:rPr>
        <w:t>表 1 資料集與裁判結果標籤分布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58"/>
        <w:gridCol w:w="1858"/>
        <w:gridCol w:w="1858"/>
        <w:gridCol w:w="1858"/>
        <w:gridCol w:w="1858"/>
      </w:tblGrid>
      <w:tr>
        <w:tc>
          <w:tcPr>
            <w:tcW w:type="dxa" w:w="1858"/>
            <w:shd w:fill="2F5597"/>
            <w:vAlign w:val="center"/>
          </w:tcPr>
          <w:p>
            <w:pPr>
              <w:jc w:val="center"/>
            </w:pPr>
            <w:r/>
            <w:r>
              <w:rPr>
                <w:b/>
                <w:color w:val="FFFFFF"/>
                <w:sz w:val="18"/>
              </w:rPr>
              <w:t>資料集</w:t>
            </w:r>
          </w:p>
        </w:tc>
        <w:tc>
          <w:tcPr>
            <w:tcW w:type="dxa" w:w="1858"/>
            <w:shd w:fill="2F5597"/>
            <w:vAlign w:val="center"/>
          </w:tcPr>
          <w:p>
            <w:pPr>
              <w:jc w:val="center"/>
            </w:pPr>
            <w:r/>
            <w:r>
              <w:rPr>
                <w:b/>
                <w:color w:val="FFFFFF"/>
                <w:sz w:val="18"/>
              </w:rPr>
              <w:t>Lose</w:t>
            </w:r>
          </w:p>
        </w:tc>
        <w:tc>
          <w:tcPr>
            <w:tcW w:type="dxa" w:w="1858"/>
            <w:shd w:fill="2F5597"/>
            <w:vAlign w:val="center"/>
          </w:tcPr>
          <w:p>
            <w:pPr>
              <w:jc w:val="center"/>
            </w:pPr>
            <w:r/>
            <w:r>
              <w:rPr>
                <w:b/>
                <w:color w:val="FFFFFF"/>
                <w:sz w:val="18"/>
              </w:rPr>
              <w:t>Mixed</w:t>
            </w:r>
          </w:p>
        </w:tc>
        <w:tc>
          <w:tcPr>
            <w:tcW w:type="dxa" w:w="1858"/>
            <w:shd w:fill="2F5597"/>
            <w:vAlign w:val="center"/>
          </w:tcPr>
          <w:p>
            <w:pPr>
              <w:jc w:val="center"/>
            </w:pPr>
            <w:r/>
            <w:r>
              <w:rPr>
                <w:b/>
                <w:color w:val="FFFFFF"/>
                <w:sz w:val="18"/>
              </w:rPr>
              <w:t>Win</w:t>
            </w:r>
          </w:p>
        </w:tc>
        <w:tc>
          <w:tcPr>
            <w:tcW w:type="dxa" w:w="1858"/>
            <w:shd w:fill="2F5597"/>
            <w:vAlign w:val="center"/>
          </w:tcPr>
          <w:p>
            <w:pPr>
              <w:jc w:val="center"/>
            </w:pPr>
            <w:r/>
            <w:r>
              <w:rPr>
                <w:b/>
                <w:color w:val="FFFFFF"/>
                <w:sz w:val="18"/>
              </w:rPr>
              <w:t>合計</w:t>
            </w:r>
          </w:p>
        </w:tc>
      </w:tr>
      <w:tr>
        <w:tc>
          <w:tcPr>
            <w:tcW w:type="dxa" w:w="1858"/>
            <w:vAlign w:val="center"/>
          </w:tcPr>
          <w:p>
            <w:pPr>
              <w:jc w:val="center"/>
            </w:pPr>
            <w:r/>
            <w:r>
              <w:rPr>
                <w:b w:val="0"/>
                <w:sz w:val="18"/>
              </w:rPr>
              <w:t>行政</w:t>
            </w:r>
          </w:p>
        </w:tc>
        <w:tc>
          <w:tcPr>
            <w:tcW w:type="dxa" w:w="1858"/>
            <w:vAlign w:val="center"/>
          </w:tcPr>
          <w:p>
            <w:pPr>
              <w:jc w:val="center"/>
            </w:pPr>
            <w:r/>
            <w:r>
              <w:rPr>
                <w:b w:val="0"/>
                <w:sz w:val="18"/>
              </w:rPr>
              <w:t>10106</w:t>
            </w:r>
          </w:p>
        </w:tc>
        <w:tc>
          <w:tcPr>
            <w:tcW w:type="dxa" w:w="1858"/>
            <w:vAlign w:val="center"/>
          </w:tcPr>
          <w:p>
            <w:pPr>
              <w:jc w:val="center"/>
            </w:pPr>
            <w:r/>
            <w:r>
              <w:rPr>
                <w:b w:val="0"/>
                <w:sz w:val="18"/>
              </w:rPr>
              <w:t>502</w:t>
            </w:r>
          </w:p>
        </w:tc>
        <w:tc>
          <w:tcPr>
            <w:tcW w:type="dxa" w:w="1858"/>
            <w:vAlign w:val="center"/>
          </w:tcPr>
          <w:p>
            <w:pPr>
              <w:jc w:val="center"/>
            </w:pPr>
            <w:r/>
            <w:r>
              <w:rPr>
                <w:b w:val="0"/>
                <w:sz w:val="18"/>
              </w:rPr>
              <w:t>911</w:t>
            </w:r>
          </w:p>
        </w:tc>
        <w:tc>
          <w:tcPr>
            <w:tcW w:type="dxa" w:w="1858"/>
            <w:vAlign w:val="center"/>
          </w:tcPr>
          <w:p>
            <w:pPr>
              <w:jc w:val="center"/>
            </w:pPr>
            <w:r/>
            <w:r>
              <w:rPr>
                <w:b w:val="0"/>
                <w:sz w:val="18"/>
              </w:rPr>
              <w:t>11519</w:t>
            </w:r>
          </w:p>
        </w:tc>
      </w:tr>
      <w:tr>
        <w:tc>
          <w:tcPr>
            <w:tcW w:type="dxa" w:w="1858"/>
            <w:vAlign w:val="center"/>
          </w:tcPr>
          <w:p>
            <w:pPr>
              <w:jc w:val="center"/>
            </w:pPr>
            <w:r/>
            <w:r>
              <w:rPr>
                <w:b w:val="0"/>
                <w:sz w:val="18"/>
              </w:rPr>
              <w:t>民事</w:t>
            </w:r>
          </w:p>
        </w:tc>
        <w:tc>
          <w:tcPr>
            <w:tcW w:type="dxa" w:w="1858"/>
            <w:vAlign w:val="center"/>
          </w:tcPr>
          <w:p>
            <w:pPr>
              <w:jc w:val="center"/>
            </w:pPr>
            <w:r/>
            <w:r>
              <w:rPr>
                <w:b w:val="0"/>
                <w:sz w:val="18"/>
              </w:rPr>
              <w:t>3887</w:t>
            </w:r>
          </w:p>
        </w:tc>
        <w:tc>
          <w:tcPr>
            <w:tcW w:type="dxa" w:w="1858"/>
            <w:vAlign w:val="center"/>
          </w:tcPr>
          <w:p>
            <w:pPr>
              <w:jc w:val="center"/>
            </w:pPr>
            <w:r/>
            <w:r>
              <w:rPr>
                <w:b w:val="0"/>
                <w:sz w:val="18"/>
              </w:rPr>
              <w:t>1408</w:t>
            </w:r>
          </w:p>
        </w:tc>
        <w:tc>
          <w:tcPr>
            <w:tcW w:type="dxa" w:w="1858"/>
            <w:vAlign w:val="center"/>
          </w:tcPr>
          <w:p>
            <w:pPr>
              <w:jc w:val="center"/>
            </w:pPr>
            <w:r/>
            <w:r>
              <w:rPr>
                <w:b w:val="0"/>
                <w:sz w:val="18"/>
              </w:rPr>
              <w:t>435</w:t>
            </w:r>
          </w:p>
        </w:tc>
        <w:tc>
          <w:tcPr>
            <w:tcW w:type="dxa" w:w="1858"/>
            <w:vAlign w:val="center"/>
          </w:tcPr>
          <w:p>
            <w:pPr>
              <w:jc w:val="center"/>
            </w:pPr>
            <w:r/>
            <w:r>
              <w:rPr>
                <w:b w:val="0"/>
                <w:sz w:val="18"/>
              </w:rPr>
              <w:t>5730</w:t>
            </w:r>
          </w:p>
        </w:tc>
      </w:tr>
      <w:tr>
        <w:tc>
          <w:tcPr>
            <w:tcW w:type="dxa" w:w="1858"/>
            <w:vAlign w:val="center"/>
          </w:tcPr>
          <w:p>
            <w:pPr>
              <w:jc w:val="center"/>
            </w:pPr>
            <w:r/>
            <w:r>
              <w:rPr>
                <w:b w:val="0"/>
                <w:sz w:val="18"/>
              </w:rPr>
              <w:t>刑事</w:t>
            </w:r>
          </w:p>
        </w:tc>
        <w:tc>
          <w:tcPr>
            <w:tcW w:type="dxa" w:w="1858"/>
            <w:vAlign w:val="center"/>
          </w:tcPr>
          <w:p>
            <w:pPr>
              <w:jc w:val="center"/>
            </w:pPr>
            <w:r/>
            <w:r>
              <w:rPr>
                <w:b w:val="0"/>
                <w:sz w:val="18"/>
              </w:rPr>
              <w:t>24552</w:t>
            </w:r>
          </w:p>
        </w:tc>
        <w:tc>
          <w:tcPr>
            <w:tcW w:type="dxa" w:w="1858"/>
            <w:vAlign w:val="center"/>
          </w:tcPr>
          <w:p>
            <w:pPr>
              <w:jc w:val="center"/>
            </w:pPr>
            <w:r/>
            <w:r>
              <w:rPr>
                <w:b w:val="0"/>
                <w:sz w:val="18"/>
              </w:rPr>
              <w:t>80</w:t>
            </w:r>
          </w:p>
        </w:tc>
        <w:tc>
          <w:tcPr>
            <w:tcW w:type="dxa" w:w="1858"/>
            <w:vAlign w:val="center"/>
          </w:tcPr>
          <w:p>
            <w:pPr>
              <w:jc w:val="center"/>
            </w:pPr>
            <w:r/>
            <w:r>
              <w:rPr>
                <w:b w:val="0"/>
                <w:sz w:val="18"/>
              </w:rPr>
              <w:t>1636</w:t>
            </w:r>
          </w:p>
        </w:tc>
        <w:tc>
          <w:tcPr>
            <w:tcW w:type="dxa" w:w="1858"/>
            <w:vAlign w:val="center"/>
          </w:tcPr>
          <w:p>
            <w:pPr>
              <w:jc w:val="center"/>
            </w:pPr>
            <w:r/>
            <w:r>
              <w:rPr>
                <w:b w:val="0"/>
                <w:sz w:val="18"/>
              </w:rPr>
              <w:t>26268</w:t>
            </w:r>
          </w:p>
        </w:tc>
      </w:tr>
      <w:tr>
        <w:tc>
          <w:tcPr>
            <w:tcW w:type="dxa" w:w="1858"/>
            <w:vAlign w:val="center"/>
          </w:tcPr>
          <w:p>
            <w:pPr>
              <w:jc w:val="center"/>
            </w:pPr>
            <w:r/>
            <w:r>
              <w:rPr>
                <w:b w:val="0"/>
                <w:sz w:val="18"/>
              </w:rPr>
              <w:t>刑事附帶民事</w:t>
            </w:r>
          </w:p>
        </w:tc>
        <w:tc>
          <w:tcPr>
            <w:tcW w:type="dxa" w:w="1858"/>
            <w:vAlign w:val="center"/>
          </w:tcPr>
          <w:p>
            <w:pPr>
              <w:jc w:val="center"/>
            </w:pPr>
            <w:r/>
            <w:r>
              <w:rPr>
                <w:b w:val="0"/>
                <w:sz w:val="18"/>
              </w:rPr>
              <w:t>748</w:t>
            </w:r>
          </w:p>
        </w:tc>
        <w:tc>
          <w:tcPr>
            <w:tcW w:type="dxa" w:w="1858"/>
            <w:vAlign w:val="center"/>
          </w:tcPr>
          <w:p>
            <w:pPr>
              <w:jc w:val="center"/>
            </w:pPr>
            <w:r/>
            <w:r>
              <w:rPr>
                <w:b w:val="0"/>
                <w:sz w:val="18"/>
              </w:rPr>
              <w:t>1047</w:t>
            </w:r>
          </w:p>
        </w:tc>
        <w:tc>
          <w:tcPr>
            <w:tcW w:type="dxa" w:w="1858"/>
            <w:vAlign w:val="center"/>
          </w:tcPr>
          <w:p>
            <w:pPr>
              <w:jc w:val="center"/>
            </w:pPr>
            <w:r/>
            <w:r>
              <w:rPr>
                <w:b w:val="0"/>
                <w:sz w:val="18"/>
              </w:rPr>
              <w:t>32</w:t>
            </w:r>
          </w:p>
        </w:tc>
        <w:tc>
          <w:tcPr>
            <w:tcW w:type="dxa" w:w="1858"/>
            <w:vAlign w:val="center"/>
          </w:tcPr>
          <w:p>
            <w:pPr>
              <w:jc w:val="center"/>
            </w:pPr>
            <w:r/>
            <w:r>
              <w:rPr>
                <w:b w:val="0"/>
                <w:sz w:val="18"/>
              </w:rPr>
              <w:t>1827</w:t>
            </w:r>
          </w:p>
        </w:tc>
      </w:tr>
      <w:tr>
        <w:tc>
          <w:tcPr>
            <w:tcW w:type="dxa" w:w="1858"/>
            <w:vAlign w:val="center"/>
          </w:tcPr>
          <w:p>
            <w:pPr>
              <w:jc w:val="center"/>
            </w:pPr>
            <w:r/>
            <w:r>
              <w:rPr>
                <w:b w:val="0"/>
                <w:sz w:val="18"/>
              </w:rPr>
              <w:t>合計</w:t>
            </w:r>
          </w:p>
        </w:tc>
        <w:tc>
          <w:tcPr>
            <w:tcW w:type="dxa" w:w="1858"/>
            <w:vAlign w:val="center"/>
          </w:tcPr>
          <w:p>
            <w:pPr>
              <w:jc w:val="center"/>
            </w:pPr>
            <w:r/>
            <w:r>
              <w:rPr>
                <w:b w:val="0"/>
                <w:sz w:val="18"/>
              </w:rPr>
              <w:t>39293</w:t>
            </w:r>
          </w:p>
        </w:tc>
        <w:tc>
          <w:tcPr>
            <w:tcW w:type="dxa" w:w="1858"/>
            <w:vAlign w:val="center"/>
          </w:tcPr>
          <w:p>
            <w:pPr>
              <w:jc w:val="center"/>
            </w:pPr>
            <w:r/>
            <w:r>
              <w:rPr>
                <w:b w:val="0"/>
                <w:sz w:val="18"/>
              </w:rPr>
              <w:t>3037</w:t>
            </w:r>
          </w:p>
        </w:tc>
        <w:tc>
          <w:tcPr>
            <w:tcW w:type="dxa" w:w="1858"/>
            <w:vAlign w:val="center"/>
          </w:tcPr>
          <w:p>
            <w:pPr>
              <w:jc w:val="center"/>
            </w:pPr>
            <w:r/>
            <w:r>
              <w:rPr>
                <w:b w:val="0"/>
                <w:sz w:val="18"/>
              </w:rPr>
              <w:t>3014</w:t>
            </w:r>
          </w:p>
        </w:tc>
        <w:tc>
          <w:tcPr>
            <w:tcW w:type="dxa" w:w="1858"/>
            <w:vAlign w:val="center"/>
          </w:tcPr>
          <w:p>
            <w:pPr>
              <w:jc w:val="center"/>
            </w:pPr>
            <w:r/>
            <w:r>
              <w:rPr>
                <w:b w:val="0"/>
                <w:sz w:val="18"/>
              </w:rPr>
              <w:t>45344</w:t>
            </w:r>
          </w:p>
        </w:tc>
      </w:tr>
    </w:tbl>
    <w:p/>
    <w:p>
      <w:pPr>
        <w:pStyle w:val="Heading2"/>
      </w:pPr>
      <w:r>
        <w:rPr>
          <w:rFonts w:ascii="Calibri" w:hAnsi="Calibri" w:eastAsia="Microsoft JhengHei"/>
          <w:color w:val="1F4E79"/>
        </w:rPr>
        <w:t>3.3 特徵表示與卡方選擇</w:t>
      </w:r>
    </w:p>
    <w:p>
      <w:pPr>
        <w:spacing w:line="324" w:lineRule="auto" w:after="120"/>
        <w:ind w:firstLine="420"/>
      </w:pPr>
      <w:r>
        <w:rPr>
          <w:sz w:val="22"/>
          <w:rFonts w:eastAsia="Microsoft JhengHei"/>
        </w:rPr>
        <w:t>本文比較 BoW、TF 與 TF-IDF 三種文字表示。所有表示法皆先產生文件詞項矩陣，再於訓練資料上進行卡方特徵選擇；validation 與 test 資料只套用訓練階段選出的詞項，避免評估資料洩漏至特徵選擇過程。</w:t>
      </w:r>
    </w:p>
    <w:p>
      <w:pPr>
        <w:spacing w:line="324" w:lineRule="auto" w:after="120"/>
        <w:ind w:firstLine="420"/>
      </w:pPr>
      <w:r>
        <w:rPr>
          <w:sz w:val="22"/>
          <w:rFonts w:eastAsia="Microsoft JhengHei"/>
        </w:rPr>
        <w:t>卡方特徵數 K 不採固定值，而是在 validation set 上與 SVM 之 C 共同選擇。此設定可避免任意指定 K 造成結論偏誤，也讓不同資料集與不同表示法能選擇各自較合適的特徵空間大小。</w:t>
      </w:r>
    </w:p>
    <w:p>
      <w:pPr>
        <w:pStyle w:val="Heading2"/>
      </w:pPr>
      <w:r>
        <w:rPr>
          <w:rFonts w:ascii="Calibri" w:hAnsi="Calibri" w:eastAsia="Microsoft JhengHei"/>
          <w:color w:val="1F4E79"/>
        </w:rPr>
        <w:t>3.4 模型與 Baseline</w:t>
      </w:r>
    </w:p>
    <w:p>
      <w:pPr>
        <w:spacing w:line="324" w:lineRule="auto" w:after="120"/>
        <w:ind w:firstLine="420"/>
      </w:pPr>
      <w:r>
        <w:rPr>
          <w:sz w:val="22"/>
          <w:rFonts w:eastAsia="Microsoft JhengHei"/>
        </w:rPr>
        <w:t>Direct SVM 流程為 BoW、TF 或 TF-IDF 經卡方特徵選擇後直接訓練線性 SVM。MNIR+SVM baseline 則在同樣的卡方選擇後進行 MNIR 特徵轉換，再訓練線性 SVM。另加入 Majority Class 作為最低基準，用以確認模型是否真正超越多數類別預測。</w:t>
      </w:r>
    </w:p>
    <w:p>
      <w:pPr>
        <w:pStyle w:val="Heading2"/>
      </w:pPr>
      <w:r>
        <w:rPr>
          <w:rFonts w:ascii="Calibri" w:hAnsi="Calibri" w:eastAsia="Microsoft JhengHei"/>
          <w:color w:val="1F4E79"/>
        </w:rPr>
        <w:t>3.5 評估設定</w:t>
      </w:r>
    </w:p>
    <w:p>
      <w:pPr>
        <w:spacing w:line="324" w:lineRule="auto" w:after="120"/>
        <w:ind w:firstLine="420"/>
      </w:pPr>
      <w:r>
        <w:rPr>
          <w:sz w:val="22"/>
          <w:rFonts w:eastAsia="Microsoft JhengHei"/>
        </w:rPr>
        <w:t>資料依 stratified split 分為 training、validation 與 test sets。參數 K 與 C 皆以 validation Macro F1 選擇，最後僅在 test set 上報告模型泛化表現。主要指標為 Macro F1，輔以 Accuracy、各類別 precision、recall、F1-score 與混淆矩陣。</w:t>
      </w:r>
    </w:p>
    <w:p>
      <w:pPr>
        <w:pStyle w:val="Heading1"/>
      </w:pPr>
      <w:r>
        <w:rPr>
          <w:rFonts w:ascii="Calibri" w:hAnsi="Calibri" w:eastAsia="Microsoft JhengHei"/>
          <w:color w:val="1F4E79"/>
        </w:rPr>
        <w:t>第四章 Empirical Results</w:t>
      </w:r>
    </w:p>
    <w:p>
      <w:pPr>
        <w:pStyle w:val="Heading2"/>
      </w:pPr>
      <w:r>
        <w:rPr>
          <w:rFonts w:ascii="Calibri" w:hAnsi="Calibri" w:eastAsia="Microsoft JhengHei"/>
          <w:color w:val="1F4E79"/>
        </w:rPr>
        <w:t>4.1 Descriptive Statistics of Dataset</w:t>
      </w:r>
    </w:p>
    <w:p>
      <w:pPr>
        <w:spacing w:line="324" w:lineRule="auto" w:after="120"/>
        <w:ind w:firstLine="420"/>
      </w:pPr>
      <w:r>
        <w:rPr>
          <w:sz w:val="22"/>
          <w:rFonts w:eastAsia="Microsoft JhengHei"/>
        </w:rPr>
        <w:t>標籤分布顯示本任務具有類別不平衡特性。若僅觀察 Accuracy，模型可能因偏向 Lose 或 Mixed 等多數類別而看似表現良好；因此後續結果以 Macro F1 為主，並在 error analysis 中檢查少數類別是否被系統性忽略。</w:t>
      </w:r>
    </w:p>
    <w:p>
      <w:pPr>
        <w:pStyle w:val="Heading2"/>
      </w:pPr>
      <w:r>
        <w:rPr>
          <w:rFonts w:ascii="Calibri" w:hAnsi="Calibri" w:eastAsia="Microsoft JhengHei"/>
          <w:color w:val="1F4E79"/>
        </w:rPr>
        <w:t>4.2 Overall Model Performance</w:t>
      </w:r>
    </w:p>
    <w:p>
      <w:pPr>
        <w:jc w:val="center"/>
      </w:pPr>
      <w:r>
        <w:rPr>
          <w:b/>
          <w:color w:val="2D3748"/>
          <w:sz w:val="20"/>
        </w:rPr>
        <w:t>表 2 各資料集 Direct SVM 最佳結果與 Baseline 比較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61"/>
        <w:gridCol w:w="1161"/>
        <w:gridCol w:w="1161"/>
        <w:gridCol w:w="1161"/>
        <w:gridCol w:w="1161"/>
        <w:gridCol w:w="1161"/>
        <w:gridCol w:w="1161"/>
        <w:gridCol w:w="1161"/>
      </w:tblGrid>
      <w:tr>
        <w:tc>
          <w:tcPr>
            <w:tcW w:type="dxa" w:w="1161"/>
            <w:shd w:fill="2F5597"/>
            <w:vAlign w:val="center"/>
          </w:tcPr>
          <w:p>
            <w:pPr>
              <w:jc w:val="center"/>
            </w:pPr>
            <w:r/>
            <w:r>
              <w:rPr>
                <w:b/>
                <w:color w:val="FFFFFF"/>
                <w:sz w:val="18"/>
              </w:rPr>
              <w:t>資料集</w:t>
            </w:r>
          </w:p>
        </w:tc>
        <w:tc>
          <w:tcPr>
            <w:tcW w:type="dxa" w:w="1161"/>
            <w:shd w:fill="2F5597"/>
            <w:vAlign w:val="center"/>
          </w:tcPr>
          <w:p>
            <w:pPr>
              <w:jc w:val="center"/>
            </w:pPr>
            <w:r/>
            <w:r>
              <w:rPr>
                <w:b/>
                <w:color w:val="FFFFFF"/>
                <w:sz w:val="18"/>
              </w:rPr>
              <w:t>Direct Leakage</w:t>
            </w:r>
          </w:p>
        </w:tc>
        <w:tc>
          <w:tcPr>
            <w:tcW w:type="dxa" w:w="1161"/>
            <w:shd w:fill="2F5597"/>
            <w:vAlign w:val="center"/>
          </w:tcPr>
          <w:p>
            <w:pPr>
              <w:jc w:val="center"/>
            </w:pPr>
            <w:r/>
            <w:r>
              <w:rPr>
                <w:b/>
                <w:color w:val="FFFFFF"/>
                <w:sz w:val="18"/>
              </w:rPr>
              <w:t>Direct 特徵</w:t>
            </w:r>
          </w:p>
        </w:tc>
        <w:tc>
          <w:tcPr>
            <w:tcW w:type="dxa" w:w="1161"/>
            <w:shd w:fill="2F5597"/>
            <w:vAlign w:val="center"/>
          </w:tcPr>
          <w:p>
            <w:pPr>
              <w:jc w:val="center"/>
            </w:pPr>
            <w:r/>
            <w:r>
              <w:rPr>
                <w:b/>
                <w:color w:val="FFFFFF"/>
                <w:sz w:val="18"/>
              </w:rPr>
              <w:t>Accuracy</w:t>
            </w:r>
          </w:p>
        </w:tc>
        <w:tc>
          <w:tcPr>
            <w:tcW w:type="dxa" w:w="1161"/>
            <w:shd w:fill="2F5597"/>
            <w:vAlign w:val="center"/>
          </w:tcPr>
          <w:p>
            <w:pPr>
              <w:jc w:val="center"/>
            </w:pPr>
            <w:r/>
            <w:r>
              <w:rPr>
                <w:b/>
                <w:color w:val="FFFFFF"/>
                <w:sz w:val="18"/>
              </w:rPr>
              <w:t>Macro F1</w:t>
            </w:r>
          </w:p>
        </w:tc>
        <w:tc>
          <w:tcPr>
            <w:tcW w:type="dxa" w:w="1161"/>
            <w:shd w:fill="2F5597"/>
            <w:vAlign w:val="center"/>
          </w:tcPr>
          <w:p>
            <w:pPr>
              <w:jc w:val="center"/>
            </w:pPr>
            <w:r/>
            <w:r>
              <w:rPr>
                <w:b/>
                <w:color w:val="FFFFFF"/>
                <w:sz w:val="18"/>
              </w:rPr>
              <w:t>MNIR+SVM Macro F1</w:t>
            </w:r>
          </w:p>
        </w:tc>
        <w:tc>
          <w:tcPr>
            <w:tcW w:type="dxa" w:w="1161"/>
            <w:shd w:fill="2F5597"/>
            <w:vAlign w:val="center"/>
          </w:tcPr>
          <w:p>
            <w:pPr>
              <w:jc w:val="center"/>
            </w:pPr>
            <w:r/>
            <w:r>
              <w:rPr>
                <w:b/>
                <w:color w:val="FFFFFF"/>
                <w:sz w:val="18"/>
              </w:rPr>
              <w:t>Majority Macro F1</w:t>
            </w:r>
          </w:p>
        </w:tc>
        <w:tc>
          <w:tcPr>
            <w:tcW w:type="dxa" w:w="1161"/>
            <w:shd w:fill="2F5597"/>
            <w:vAlign w:val="center"/>
          </w:tcPr>
          <w:p>
            <w:pPr>
              <w:jc w:val="center"/>
            </w:pPr>
            <w:r/>
            <w:r>
              <w:rPr>
                <w:b/>
                <w:color w:val="FFFFFF"/>
                <w:sz w:val="18"/>
              </w:rPr>
              <w:t>Direct - MNIR</w:t>
            </w:r>
          </w:p>
        </w:tc>
      </w:tr>
      <w:tr>
        <w:tc>
          <w:tcPr>
            <w:tcW w:type="dxa" w:w="1161"/>
            <w:vAlign w:val="center"/>
          </w:tcPr>
          <w:p>
            <w:pPr>
              <w:jc w:val="center"/>
            </w:pPr>
            <w:r/>
            <w:r>
              <w:rPr>
                <w:b w:val="0"/>
                <w:sz w:val="18"/>
              </w:rPr>
              <w:t>刑事</w:t>
            </w:r>
          </w:p>
        </w:tc>
        <w:tc>
          <w:tcPr>
            <w:tcW w:type="dxa" w:w="1161"/>
            <w:vAlign w:val="center"/>
          </w:tcPr>
          <w:p>
            <w:pPr>
              <w:jc w:val="center"/>
            </w:pPr>
            <w:r/>
            <w:r>
              <w:rPr>
                <w:b w:val="0"/>
                <w:sz w:val="18"/>
              </w:rPr>
              <w:t>no leakage</w:t>
            </w:r>
          </w:p>
        </w:tc>
        <w:tc>
          <w:tcPr>
            <w:tcW w:type="dxa" w:w="1161"/>
            <w:vAlign w:val="center"/>
          </w:tcPr>
          <w:p>
            <w:pPr>
              <w:jc w:val="center"/>
            </w:pPr>
            <w:r/>
            <w:r>
              <w:rPr>
                <w:b w:val="0"/>
                <w:sz w:val="18"/>
              </w:rPr>
              <w:t>TF</w:t>
            </w:r>
          </w:p>
        </w:tc>
        <w:tc>
          <w:tcPr>
            <w:tcW w:type="dxa" w:w="1161"/>
            <w:vAlign w:val="center"/>
          </w:tcPr>
          <w:p>
            <w:pPr>
              <w:jc w:val="center"/>
            </w:pPr>
            <w:r/>
            <w:r>
              <w:rPr>
                <w:b w:val="0"/>
                <w:sz w:val="18"/>
              </w:rPr>
              <w:t>0.951</w:t>
            </w:r>
          </w:p>
        </w:tc>
        <w:tc>
          <w:tcPr>
            <w:tcW w:type="dxa" w:w="1161"/>
            <w:vAlign w:val="center"/>
          </w:tcPr>
          <w:p>
            <w:pPr>
              <w:jc w:val="center"/>
            </w:pPr>
            <w:r/>
            <w:r>
              <w:rPr>
                <w:b w:val="0"/>
                <w:sz w:val="18"/>
              </w:rPr>
              <w:t>0.577</w:t>
            </w:r>
          </w:p>
        </w:tc>
        <w:tc>
          <w:tcPr>
            <w:tcW w:type="dxa" w:w="1161"/>
            <w:vAlign w:val="center"/>
          </w:tcPr>
          <w:p>
            <w:pPr>
              <w:jc w:val="center"/>
            </w:pPr>
            <w:r/>
            <w:r>
              <w:rPr>
                <w:b w:val="0"/>
                <w:sz w:val="18"/>
              </w:rPr>
              <w:t>0.390</w:t>
            </w:r>
          </w:p>
        </w:tc>
        <w:tc>
          <w:tcPr>
            <w:tcW w:type="dxa" w:w="1161"/>
            <w:vAlign w:val="center"/>
          </w:tcPr>
          <w:p>
            <w:pPr>
              <w:jc w:val="center"/>
            </w:pPr>
            <w:r/>
            <w:r>
              <w:rPr>
                <w:b w:val="0"/>
                <w:sz w:val="18"/>
              </w:rPr>
              <w:t>0.322</w:t>
            </w:r>
          </w:p>
        </w:tc>
        <w:tc>
          <w:tcPr>
            <w:tcW w:type="dxa" w:w="1161"/>
            <w:vAlign w:val="center"/>
          </w:tcPr>
          <w:p>
            <w:pPr>
              <w:jc w:val="center"/>
            </w:pPr>
            <w:r/>
            <w:r>
              <w:rPr>
                <w:b w:val="0"/>
                <w:sz w:val="18"/>
              </w:rPr>
              <w:t>0.187</w:t>
            </w:r>
          </w:p>
        </w:tc>
      </w:tr>
      <w:tr>
        <w:tc>
          <w:tcPr>
            <w:tcW w:type="dxa" w:w="1161"/>
            <w:vAlign w:val="center"/>
          </w:tcPr>
          <w:p>
            <w:pPr>
              <w:jc w:val="center"/>
            </w:pPr>
            <w:r/>
            <w:r>
              <w:rPr>
                <w:b w:val="0"/>
                <w:sz w:val="18"/>
              </w:rPr>
              <w:t>刑事附帶民事</w:t>
            </w:r>
          </w:p>
        </w:tc>
        <w:tc>
          <w:tcPr>
            <w:tcW w:type="dxa" w:w="1161"/>
            <w:vAlign w:val="center"/>
          </w:tcPr>
          <w:p>
            <w:pPr>
              <w:jc w:val="center"/>
            </w:pPr>
            <w:r/>
            <w:r>
              <w:rPr>
                <w:b w:val="0"/>
                <w:sz w:val="18"/>
              </w:rPr>
              <w:t>no leakage</w:t>
            </w:r>
          </w:p>
        </w:tc>
        <w:tc>
          <w:tcPr>
            <w:tcW w:type="dxa" w:w="1161"/>
            <w:vAlign w:val="center"/>
          </w:tcPr>
          <w:p>
            <w:pPr>
              <w:jc w:val="center"/>
            </w:pPr>
            <w:r/>
            <w:r>
              <w:rPr>
                <w:b w:val="0"/>
                <w:sz w:val="18"/>
              </w:rPr>
              <w:t>BoW</w:t>
            </w:r>
          </w:p>
        </w:tc>
        <w:tc>
          <w:tcPr>
            <w:tcW w:type="dxa" w:w="1161"/>
            <w:vAlign w:val="center"/>
          </w:tcPr>
          <w:p>
            <w:pPr>
              <w:jc w:val="center"/>
            </w:pPr>
            <w:r/>
            <w:r>
              <w:rPr>
                <w:b w:val="0"/>
                <w:sz w:val="18"/>
              </w:rPr>
              <w:t>0.854</w:t>
            </w:r>
          </w:p>
        </w:tc>
        <w:tc>
          <w:tcPr>
            <w:tcW w:type="dxa" w:w="1161"/>
            <w:vAlign w:val="center"/>
          </w:tcPr>
          <w:p>
            <w:pPr>
              <w:jc w:val="center"/>
            </w:pPr>
            <w:r/>
            <w:r>
              <w:rPr>
                <w:b w:val="0"/>
                <w:sz w:val="18"/>
              </w:rPr>
              <w:t>0.654</w:t>
            </w:r>
          </w:p>
        </w:tc>
        <w:tc>
          <w:tcPr>
            <w:tcW w:type="dxa" w:w="1161"/>
            <w:vAlign w:val="center"/>
          </w:tcPr>
          <w:p>
            <w:pPr>
              <w:jc w:val="center"/>
            </w:pPr>
            <w:r/>
            <w:r>
              <w:rPr>
                <w:b w:val="0"/>
                <w:sz w:val="18"/>
              </w:rPr>
              <w:t>0.571</w:t>
            </w:r>
          </w:p>
        </w:tc>
        <w:tc>
          <w:tcPr>
            <w:tcW w:type="dxa" w:w="1161"/>
            <w:vAlign w:val="center"/>
          </w:tcPr>
          <w:p>
            <w:pPr>
              <w:jc w:val="center"/>
            </w:pPr>
            <w:r/>
            <w:r>
              <w:rPr>
                <w:b w:val="0"/>
                <w:sz w:val="18"/>
              </w:rPr>
              <w:t>0.245</w:t>
            </w:r>
          </w:p>
        </w:tc>
        <w:tc>
          <w:tcPr>
            <w:tcW w:type="dxa" w:w="1161"/>
            <w:vAlign w:val="center"/>
          </w:tcPr>
          <w:p>
            <w:pPr>
              <w:jc w:val="center"/>
            </w:pPr>
            <w:r/>
            <w:r>
              <w:rPr>
                <w:b w:val="0"/>
                <w:sz w:val="18"/>
              </w:rPr>
              <w:t>0.084</w:t>
            </w:r>
          </w:p>
        </w:tc>
      </w:tr>
      <w:tr>
        <w:tc>
          <w:tcPr>
            <w:tcW w:type="dxa" w:w="1161"/>
            <w:vAlign w:val="center"/>
          </w:tcPr>
          <w:p>
            <w:pPr>
              <w:jc w:val="center"/>
            </w:pPr>
            <w:r/>
            <w:r>
              <w:rPr>
                <w:b w:val="0"/>
                <w:sz w:val="18"/>
              </w:rPr>
              <w:t>民事</w:t>
            </w:r>
          </w:p>
        </w:tc>
        <w:tc>
          <w:tcPr>
            <w:tcW w:type="dxa" w:w="1161"/>
            <w:vAlign w:val="center"/>
          </w:tcPr>
          <w:p>
            <w:pPr>
              <w:jc w:val="center"/>
            </w:pPr>
            <w:r/>
            <w:r>
              <w:rPr>
                <w:b w:val="0"/>
                <w:sz w:val="18"/>
              </w:rPr>
              <w:t>no leakage</w:t>
            </w:r>
          </w:p>
        </w:tc>
        <w:tc>
          <w:tcPr>
            <w:tcW w:type="dxa" w:w="1161"/>
            <w:vAlign w:val="center"/>
          </w:tcPr>
          <w:p>
            <w:pPr>
              <w:jc w:val="center"/>
            </w:pPr>
            <w:r/>
            <w:r>
              <w:rPr>
                <w:b w:val="0"/>
                <w:sz w:val="18"/>
              </w:rPr>
              <w:t>TF-IDF</w:t>
            </w:r>
          </w:p>
        </w:tc>
        <w:tc>
          <w:tcPr>
            <w:tcW w:type="dxa" w:w="1161"/>
            <w:vAlign w:val="center"/>
          </w:tcPr>
          <w:p>
            <w:pPr>
              <w:jc w:val="center"/>
            </w:pPr>
            <w:r/>
            <w:r>
              <w:rPr>
                <w:b w:val="0"/>
                <w:sz w:val="18"/>
              </w:rPr>
              <w:t>0.680</w:t>
            </w:r>
          </w:p>
        </w:tc>
        <w:tc>
          <w:tcPr>
            <w:tcW w:type="dxa" w:w="1161"/>
            <w:vAlign w:val="center"/>
          </w:tcPr>
          <w:p>
            <w:pPr>
              <w:jc w:val="center"/>
            </w:pPr>
            <w:r/>
            <w:r>
              <w:rPr>
                <w:b w:val="0"/>
                <w:sz w:val="18"/>
              </w:rPr>
              <w:t>0.428</w:t>
            </w:r>
          </w:p>
        </w:tc>
        <w:tc>
          <w:tcPr>
            <w:tcW w:type="dxa" w:w="1161"/>
            <w:vAlign w:val="center"/>
          </w:tcPr>
          <w:p>
            <w:pPr>
              <w:jc w:val="center"/>
            </w:pPr>
            <w:r/>
            <w:r>
              <w:rPr>
                <w:b w:val="0"/>
                <w:sz w:val="18"/>
              </w:rPr>
              <w:t>0.364</w:t>
            </w:r>
          </w:p>
        </w:tc>
        <w:tc>
          <w:tcPr>
            <w:tcW w:type="dxa" w:w="1161"/>
            <w:vAlign w:val="center"/>
          </w:tcPr>
          <w:p>
            <w:pPr>
              <w:jc w:val="center"/>
            </w:pPr>
            <w:r/>
            <w:r>
              <w:rPr>
                <w:b w:val="0"/>
                <w:sz w:val="18"/>
              </w:rPr>
              <w:t>0.269</w:t>
            </w:r>
          </w:p>
        </w:tc>
        <w:tc>
          <w:tcPr>
            <w:tcW w:type="dxa" w:w="1161"/>
            <w:vAlign w:val="center"/>
          </w:tcPr>
          <w:p>
            <w:pPr>
              <w:jc w:val="center"/>
            </w:pPr>
            <w:r/>
            <w:r>
              <w:rPr>
                <w:b w:val="0"/>
                <w:sz w:val="18"/>
              </w:rPr>
              <w:t>0.063</w:t>
            </w:r>
          </w:p>
        </w:tc>
      </w:tr>
      <w:tr>
        <w:tc>
          <w:tcPr>
            <w:tcW w:type="dxa" w:w="1161"/>
            <w:vAlign w:val="center"/>
          </w:tcPr>
          <w:p>
            <w:pPr>
              <w:jc w:val="center"/>
            </w:pPr>
            <w:r/>
            <w:r>
              <w:rPr>
                <w:b w:val="0"/>
                <w:sz w:val="18"/>
              </w:rPr>
              <w:t>行政</w:t>
            </w:r>
          </w:p>
        </w:tc>
        <w:tc>
          <w:tcPr>
            <w:tcW w:type="dxa" w:w="1161"/>
            <w:vAlign w:val="center"/>
          </w:tcPr>
          <w:p>
            <w:pPr>
              <w:jc w:val="center"/>
            </w:pPr>
            <w:r/>
            <w:r>
              <w:rPr>
                <w:b w:val="0"/>
                <w:sz w:val="18"/>
              </w:rPr>
              <w:t>with leakage</w:t>
            </w:r>
          </w:p>
        </w:tc>
        <w:tc>
          <w:tcPr>
            <w:tcW w:type="dxa" w:w="1161"/>
            <w:vAlign w:val="center"/>
          </w:tcPr>
          <w:p>
            <w:pPr>
              <w:jc w:val="center"/>
            </w:pPr>
            <w:r/>
            <w:r>
              <w:rPr>
                <w:b w:val="0"/>
                <w:sz w:val="18"/>
              </w:rPr>
              <w:t>BoW</w:t>
            </w:r>
          </w:p>
        </w:tc>
        <w:tc>
          <w:tcPr>
            <w:tcW w:type="dxa" w:w="1161"/>
            <w:vAlign w:val="center"/>
          </w:tcPr>
          <w:p>
            <w:pPr>
              <w:jc w:val="center"/>
            </w:pPr>
            <w:r/>
            <w:r>
              <w:rPr>
                <w:b w:val="0"/>
                <w:sz w:val="18"/>
              </w:rPr>
              <w:t>0.845</w:t>
            </w:r>
          </w:p>
        </w:tc>
        <w:tc>
          <w:tcPr>
            <w:tcW w:type="dxa" w:w="1161"/>
            <w:vAlign w:val="center"/>
          </w:tcPr>
          <w:p>
            <w:pPr>
              <w:jc w:val="center"/>
            </w:pPr>
            <w:r/>
            <w:r>
              <w:rPr>
                <w:b w:val="0"/>
                <w:sz w:val="18"/>
              </w:rPr>
              <w:t>0.402</w:t>
            </w:r>
          </w:p>
        </w:tc>
        <w:tc>
          <w:tcPr>
            <w:tcW w:type="dxa" w:w="1161"/>
            <w:vAlign w:val="center"/>
          </w:tcPr>
          <w:p>
            <w:pPr>
              <w:jc w:val="center"/>
            </w:pPr>
            <w:r/>
            <w:r>
              <w:rPr>
                <w:b w:val="0"/>
                <w:sz w:val="18"/>
              </w:rPr>
              <w:t>0.318</w:t>
            </w:r>
          </w:p>
        </w:tc>
        <w:tc>
          <w:tcPr>
            <w:tcW w:type="dxa" w:w="1161"/>
            <w:vAlign w:val="center"/>
          </w:tcPr>
          <w:p>
            <w:pPr>
              <w:jc w:val="center"/>
            </w:pPr>
            <w:r/>
            <w:r>
              <w:rPr>
                <w:b w:val="0"/>
                <w:sz w:val="18"/>
              </w:rPr>
              <w:t>0.311</w:t>
            </w:r>
          </w:p>
        </w:tc>
        <w:tc>
          <w:tcPr>
            <w:tcW w:type="dxa" w:w="1161"/>
            <w:vAlign w:val="center"/>
          </w:tcPr>
          <w:p>
            <w:pPr>
              <w:jc w:val="center"/>
            </w:pPr>
            <w:r/>
            <w:r>
              <w:rPr>
                <w:b w:val="0"/>
                <w:sz w:val="18"/>
              </w:rPr>
              <w:t>0.084</w:t>
            </w:r>
          </w:p>
        </w:tc>
      </w:tr>
    </w:tbl>
    <w:p/>
    <w:p>
      <w:pPr>
        <w:spacing w:line="324" w:lineRule="auto" w:after="120"/>
        <w:ind w:firstLine="420"/>
      </w:pPr>
      <w:r>
        <w:rPr>
          <w:sz w:val="22"/>
          <w:rFonts w:eastAsia="Microsoft JhengHei"/>
        </w:rPr>
        <w:t>整體結果顯示，Direct SVM 在四個資料集皆高於 MNIR+SVM 與 Majority Class。這表示在目前資料與標籤設定下，經卡方篩選後的原始稀疏詞彙特徵已能保留相當多與裁判結果相關的分類訊息。</w:t>
      </w:r>
    </w:p>
    <w:p>
      <w:pPr>
        <w:pStyle w:val="Heading2"/>
      </w:pPr>
      <w:r>
        <w:rPr>
          <w:rFonts w:ascii="Calibri" w:hAnsi="Calibri" w:eastAsia="Microsoft JhengHei"/>
          <w:color w:val="1F4E79"/>
        </w:rPr>
        <w:t>4.3 Feature Representation Comparison</w:t>
      </w:r>
    </w:p>
    <w:p>
      <w:pPr>
        <w:jc w:val="center"/>
      </w:pPr>
      <w:r>
        <w:rPr>
          <w:b/>
          <w:color w:val="2D3748"/>
          <w:sz w:val="20"/>
        </w:rPr>
        <w:t>表 3 Direct SVM 下 BoW、TF、TF-IDF 之最佳 Macro F1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23"/>
        <w:gridCol w:w="2323"/>
        <w:gridCol w:w="2323"/>
        <w:gridCol w:w="2323"/>
      </w:tblGrid>
      <w:tr>
        <w:tc>
          <w:tcPr>
            <w:tcW w:type="dxa" w:w="2323"/>
            <w:shd w:fill="2F5597"/>
            <w:vAlign w:val="center"/>
          </w:tcPr>
          <w:p>
            <w:pPr>
              <w:jc w:val="center"/>
            </w:pPr>
            <w:r/>
            <w:r>
              <w:rPr>
                <w:b/>
                <w:color w:val="FFFFFF"/>
                <w:sz w:val="18"/>
              </w:rPr>
              <w:t>資料集</w:t>
            </w:r>
          </w:p>
        </w:tc>
        <w:tc>
          <w:tcPr>
            <w:tcW w:type="dxa" w:w="2323"/>
            <w:shd w:fill="2F5597"/>
            <w:vAlign w:val="center"/>
          </w:tcPr>
          <w:p>
            <w:pPr>
              <w:jc w:val="center"/>
            </w:pPr>
            <w:r/>
            <w:r>
              <w:rPr>
                <w:b/>
                <w:color w:val="FFFFFF"/>
                <w:sz w:val="18"/>
              </w:rPr>
              <w:t>BoW</w:t>
            </w:r>
          </w:p>
        </w:tc>
        <w:tc>
          <w:tcPr>
            <w:tcW w:type="dxa" w:w="2323"/>
            <w:shd w:fill="2F5597"/>
            <w:vAlign w:val="center"/>
          </w:tcPr>
          <w:p>
            <w:pPr>
              <w:jc w:val="center"/>
            </w:pPr>
            <w:r/>
            <w:r>
              <w:rPr>
                <w:b/>
                <w:color w:val="FFFFFF"/>
                <w:sz w:val="18"/>
              </w:rPr>
              <w:t>TF</w:t>
            </w:r>
          </w:p>
        </w:tc>
        <w:tc>
          <w:tcPr>
            <w:tcW w:type="dxa" w:w="2323"/>
            <w:shd w:fill="2F5597"/>
            <w:vAlign w:val="center"/>
          </w:tcPr>
          <w:p>
            <w:pPr>
              <w:jc w:val="center"/>
            </w:pPr>
            <w:r/>
            <w:r>
              <w:rPr>
                <w:b/>
                <w:color w:val="FFFFFF"/>
                <w:sz w:val="18"/>
              </w:rPr>
              <w:t>TF-IDF</w:t>
            </w:r>
          </w:p>
        </w:tc>
      </w:tr>
      <w:tr>
        <w:tc>
          <w:tcPr>
            <w:tcW w:type="dxa" w:w="2323"/>
            <w:vAlign w:val="center"/>
          </w:tcPr>
          <w:p>
            <w:pPr>
              <w:jc w:val="center"/>
            </w:pPr>
            <w:r/>
            <w:r>
              <w:rPr>
                <w:b w:val="0"/>
                <w:sz w:val="18"/>
              </w:rPr>
              <w:t>刑事</w:t>
            </w:r>
          </w:p>
        </w:tc>
        <w:tc>
          <w:tcPr>
            <w:tcW w:type="dxa" w:w="2323"/>
            <w:vAlign w:val="center"/>
          </w:tcPr>
          <w:p>
            <w:pPr>
              <w:jc w:val="center"/>
            </w:pPr>
            <w:r/>
            <w:r>
              <w:rPr>
                <w:b w:val="0"/>
                <w:sz w:val="18"/>
              </w:rPr>
              <w:t>0.564</w:t>
            </w:r>
          </w:p>
        </w:tc>
        <w:tc>
          <w:tcPr>
            <w:tcW w:type="dxa" w:w="2323"/>
            <w:vAlign w:val="center"/>
          </w:tcPr>
          <w:p>
            <w:pPr>
              <w:jc w:val="center"/>
            </w:pPr>
            <w:r/>
            <w:r>
              <w:rPr>
                <w:b w:val="0"/>
                <w:sz w:val="18"/>
              </w:rPr>
              <w:t>0.577</w:t>
            </w:r>
          </w:p>
        </w:tc>
        <w:tc>
          <w:tcPr>
            <w:tcW w:type="dxa" w:w="2323"/>
            <w:vAlign w:val="center"/>
          </w:tcPr>
          <w:p>
            <w:pPr>
              <w:jc w:val="center"/>
            </w:pPr>
            <w:r/>
            <w:r>
              <w:rPr>
                <w:b w:val="0"/>
                <w:sz w:val="18"/>
              </w:rPr>
              <w:t>0.562</w:t>
            </w:r>
          </w:p>
        </w:tc>
      </w:tr>
      <w:tr>
        <w:tc>
          <w:tcPr>
            <w:tcW w:type="dxa" w:w="2323"/>
            <w:vAlign w:val="center"/>
          </w:tcPr>
          <w:p>
            <w:pPr>
              <w:jc w:val="center"/>
            </w:pPr>
            <w:r/>
            <w:r>
              <w:rPr>
                <w:b w:val="0"/>
                <w:sz w:val="18"/>
              </w:rPr>
              <w:t>刑事附帶民事</w:t>
            </w:r>
          </w:p>
        </w:tc>
        <w:tc>
          <w:tcPr>
            <w:tcW w:type="dxa" w:w="2323"/>
            <w:vAlign w:val="center"/>
          </w:tcPr>
          <w:p>
            <w:pPr>
              <w:jc w:val="center"/>
            </w:pPr>
            <w:r/>
            <w:r>
              <w:rPr>
                <w:b w:val="0"/>
                <w:sz w:val="18"/>
              </w:rPr>
              <w:t>0.654</w:t>
            </w:r>
          </w:p>
        </w:tc>
        <w:tc>
          <w:tcPr>
            <w:tcW w:type="dxa" w:w="2323"/>
            <w:vAlign w:val="center"/>
          </w:tcPr>
          <w:p>
            <w:pPr>
              <w:jc w:val="center"/>
            </w:pPr>
            <w:r/>
            <w:r>
              <w:rPr>
                <w:b w:val="0"/>
                <w:sz w:val="18"/>
              </w:rPr>
              <w:t>0.582</w:t>
            </w:r>
          </w:p>
        </w:tc>
        <w:tc>
          <w:tcPr>
            <w:tcW w:type="dxa" w:w="2323"/>
            <w:vAlign w:val="center"/>
          </w:tcPr>
          <w:p>
            <w:pPr>
              <w:jc w:val="center"/>
            </w:pPr>
            <w:r/>
            <w:r>
              <w:rPr>
                <w:b w:val="0"/>
                <w:sz w:val="18"/>
              </w:rPr>
              <w:t>0.590</w:t>
            </w:r>
          </w:p>
        </w:tc>
      </w:tr>
      <w:tr>
        <w:tc>
          <w:tcPr>
            <w:tcW w:type="dxa" w:w="2323"/>
            <w:vAlign w:val="center"/>
          </w:tcPr>
          <w:p>
            <w:pPr>
              <w:jc w:val="center"/>
            </w:pPr>
            <w:r/>
            <w:r>
              <w:rPr>
                <w:b w:val="0"/>
                <w:sz w:val="18"/>
              </w:rPr>
              <w:t>民事</w:t>
            </w:r>
          </w:p>
        </w:tc>
        <w:tc>
          <w:tcPr>
            <w:tcW w:type="dxa" w:w="2323"/>
            <w:vAlign w:val="center"/>
          </w:tcPr>
          <w:p>
            <w:pPr>
              <w:jc w:val="center"/>
            </w:pPr>
            <w:r/>
            <w:r>
              <w:rPr>
                <w:b w:val="0"/>
                <w:sz w:val="18"/>
              </w:rPr>
              <w:t>0.408</w:t>
            </w:r>
          </w:p>
        </w:tc>
        <w:tc>
          <w:tcPr>
            <w:tcW w:type="dxa" w:w="2323"/>
            <w:vAlign w:val="center"/>
          </w:tcPr>
          <w:p>
            <w:pPr>
              <w:jc w:val="center"/>
            </w:pPr>
            <w:r/>
            <w:r>
              <w:rPr>
                <w:b w:val="0"/>
                <w:sz w:val="18"/>
              </w:rPr>
              <w:t>0.417</w:t>
            </w:r>
          </w:p>
        </w:tc>
        <w:tc>
          <w:tcPr>
            <w:tcW w:type="dxa" w:w="2323"/>
            <w:vAlign w:val="center"/>
          </w:tcPr>
          <w:p>
            <w:pPr>
              <w:jc w:val="center"/>
            </w:pPr>
            <w:r/>
            <w:r>
              <w:rPr>
                <w:b w:val="0"/>
                <w:sz w:val="18"/>
              </w:rPr>
              <w:t>0.428</w:t>
            </w:r>
          </w:p>
        </w:tc>
      </w:tr>
      <w:tr>
        <w:tc>
          <w:tcPr>
            <w:tcW w:type="dxa" w:w="2323"/>
            <w:vAlign w:val="center"/>
          </w:tcPr>
          <w:p>
            <w:pPr>
              <w:jc w:val="center"/>
            </w:pPr>
            <w:r/>
            <w:r>
              <w:rPr>
                <w:b w:val="0"/>
                <w:sz w:val="18"/>
              </w:rPr>
              <w:t>行政</w:t>
            </w:r>
          </w:p>
        </w:tc>
        <w:tc>
          <w:tcPr>
            <w:tcW w:type="dxa" w:w="2323"/>
            <w:vAlign w:val="center"/>
          </w:tcPr>
          <w:p>
            <w:pPr>
              <w:jc w:val="center"/>
            </w:pPr>
            <w:r/>
            <w:r>
              <w:rPr>
                <w:b w:val="0"/>
                <w:sz w:val="18"/>
              </w:rPr>
              <w:t>0.402</w:t>
            </w:r>
          </w:p>
        </w:tc>
        <w:tc>
          <w:tcPr>
            <w:tcW w:type="dxa" w:w="2323"/>
            <w:vAlign w:val="center"/>
          </w:tcPr>
          <w:p>
            <w:pPr>
              <w:jc w:val="center"/>
            </w:pPr>
            <w:r/>
            <w:r>
              <w:rPr>
                <w:b w:val="0"/>
                <w:sz w:val="18"/>
              </w:rPr>
              <w:t>0.341</w:t>
            </w:r>
          </w:p>
        </w:tc>
        <w:tc>
          <w:tcPr>
            <w:tcW w:type="dxa" w:w="2323"/>
            <w:vAlign w:val="center"/>
          </w:tcPr>
          <w:p>
            <w:pPr>
              <w:jc w:val="center"/>
            </w:pPr>
            <w:r/>
            <w:r>
              <w:rPr>
                <w:b w:val="0"/>
                <w:sz w:val="18"/>
              </w:rPr>
              <w:t>0.380</w:t>
            </w:r>
          </w:p>
        </w:tc>
      </w:tr>
    </w:tbl>
    <w:p/>
    <w:p>
      <w:pPr>
        <w:spacing w:line="324" w:lineRule="auto" w:after="120"/>
        <w:ind w:firstLine="420"/>
      </w:pPr>
      <w:r>
        <w:rPr>
          <w:sz w:val="22"/>
          <w:rFonts w:eastAsia="Microsoft JhengHei"/>
        </w:rPr>
        <w:t>三種表示法沒有單一方法在所有案件類型皆勝出。刑事資料集以 TF 表現較佳，民事資料集以 TF-IDF 較佳，行政與刑事附帶民事則以 BoW 較佳。此結果說明法律判決文本的有效特徵形式會受案件類型與詞彙分布影響，不能假設 TF-IDF 或任一表示法必然最佳。</w:t>
      </w:r>
    </w:p>
    <w:p>
      <w:pPr>
        <w:pStyle w:val="Heading2"/>
      </w:pPr>
      <w:r>
        <w:rPr>
          <w:rFonts w:ascii="Calibri" w:hAnsi="Calibri" w:eastAsia="Microsoft JhengHei"/>
          <w:color w:val="1F4E79"/>
        </w:rPr>
        <w:t>4.4 Baseline Comparison: Direct SVM vs. MNIR+SVM</w:t>
      </w:r>
    </w:p>
    <w:p>
      <w:pPr>
        <w:jc w:val="center"/>
      </w:pPr>
      <w:r>
        <w:rPr>
          <w:b/>
          <w:color w:val="2D3748"/>
          <w:sz w:val="20"/>
        </w:rPr>
        <w:t>表 4 Direct SVM 與 MNIR+SVM 於各資料集之最佳 Macro F1 比較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2"/>
        <w:gridCol w:w="1032"/>
        <w:gridCol w:w="1032"/>
        <w:gridCol w:w="1032"/>
        <w:gridCol w:w="1032"/>
        <w:gridCol w:w="1032"/>
        <w:gridCol w:w="1032"/>
        <w:gridCol w:w="1032"/>
        <w:gridCol w:w="1032"/>
      </w:tblGrid>
      <w:tr>
        <w:tc>
          <w:tcPr>
            <w:tcW w:type="dxa" w:w="1032"/>
            <w:shd w:fill="2F5597"/>
            <w:vAlign w:val="center"/>
          </w:tcPr>
          <w:p>
            <w:pPr>
              <w:jc w:val="center"/>
            </w:pPr>
            <w:r/>
            <w:r>
              <w:rPr>
                <w:b/>
                <w:color w:val="FFFFFF"/>
                <w:sz w:val="18"/>
              </w:rPr>
              <w:t>資料集</w:t>
            </w:r>
          </w:p>
        </w:tc>
        <w:tc>
          <w:tcPr>
            <w:tcW w:type="dxa" w:w="1032"/>
            <w:shd w:fill="2F5597"/>
            <w:vAlign w:val="center"/>
          </w:tcPr>
          <w:p>
            <w:pPr>
              <w:jc w:val="center"/>
            </w:pPr>
            <w:r/>
            <w:r>
              <w:rPr>
                <w:b/>
                <w:color w:val="FFFFFF"/>
                <w:sz w:val="18"/>
              </w:rPr>
              <w:t>Direct最佳Leakage</w:t>
            </w:r>
          </w:p>
        </w:tc>
        <w:tc>
          <w:tcPr>
            <w:tcW w:type="dxa" w:w="1032"/>
            <w:shd w:fill="2F5597"/>
            <w:vAlign w:val="center"/>
          </w:tcPr>
          <w:p>
            <w:pPr>
              <w:jc w:val="center"/>
            </w:pPr>
            <w:r/>
            <w:r>
              <w:rPr>
                <w:b/>
                <w:color w:val="FFFFFF"/>
                <w:sz w:val="18"/>
              </w:rPr>
              <w:t>Direct最佳特徵</w:t>
            </w:r>
          </w:p>
        </w:tc>
        <w:tc>
          <w:tcPr>
            <w:tcW w:type="dxa" w:w="1032"/>
            <w:shd w:fill="2F5597"/>
            <w:vAlign w:val="center"/>
          </w:tcPr>
          <w:p>
            <w:pPr>
              <w:jc w:val="center"/>
            </w:pPr>
            <w:r/>
            <w:r>
              <w:rPr>
                <w:b/>
                <w:color w:val="FFFFFF"/>
                <w:sz w:val="18"/>
              </w:rPr>
              <w:t>Direct模型</w:t>
            </w:r>
          </w:p>
        </w:tc>
        <w:tc>
          <w:tcPr>
            <w:tcW w:type="dxa" w:w="1032"/>
            <w:shd w:fill="2F5597"/>
            <w:vAlign w:val="center"/>
          </w:tcPr>
          <w:p>
            <w:pPr>
              <w:jc w:val="center"/>
            </w:pPr>
            <w:r/>
            <w:r>
              <w:rPr>
                <w:b/>
                <w:color w:val="FFFFFF"/>
                <w:sz w:val="18"/>
              </w:rPr>
              <w:t>Direct SVM Macro F1</w:t>
            </w:r>
          </w:p>
        </w:tc>
        <w:tc>
          <w:tcPr>
            <w:tcW w:type="dxa" w:w="1032"/>
            <w:shd w:fill="2F5597"/>
            <w:vAlign w:val="center"/>
          </w:tcPr>
          <w:p>
            <w:pPr>
              <w:jc w:val="center"/>
            </w:pPr>
            <w:r/>
            <w:r>
              <w:rPr>
                <w:b/>
                <w:color w:val="FFFFFF"/>
                <w:sz w:val="18"/>
              </w:rPr>
              <w:t>MNIR最佳Leakage</w:t>
            </w:r>
          </w:p>
        </w:tc>
        <w:tc>
          <w:tcPr>
            <w:tcW w:type="dxa" w:w="1032"/>
            <w:shd w:fill="2F5597"/>
            <w:vAlign w:val="center"/>
          </w:tcPr>
          <w:p>
            <w:pPr>
              <w:jc w:val="center"/>
            </w:pPr>
            <w:r/>
            <w:r>
              <w:rPr>
                <w:b/>
                <w:color w:val="FFFFFF"/>
                <w:sz w:val="18"/>
              </w:rPr>
              <w:t>MNIR最佳特徵</w:t>
            </w:r>
          </w:p>
        </w:tc>
        <w:tc>
          <w:tcPr>
            <w:tcW w:type="dxa" w:w="1032"/>
            <w:shd w:fill="2F5597"/>
            <w:vAlign w:val="center"/>
          </w:tcPr>
          <w:p>
            <w:pPr>
              <w:jc w:val="center"/>
            </w:pPr>
            <w:r/>
            <w:r>
              <w:rPr>
                <w:b/>
                <w:color w:val="FFFFFF"/>
                <w:sz w:val="18"/>
              </w:rPr>
              <w:t>MNIR+SVM Macro F1</w:t>
            </w:r>
          </w:p>
        </w:tc>
        <w:tc>
          <w:tcPr>
            <w:tcW w:type="dxa" w:w="1032"/>
            <w:shd w:fill="2F5597"/>
            <w:vAlign w:val="center"/>
          </w:tcPr>
          <w:p>
            <w:pPr>
              <w:jc w:val="center"/>
            </w:pPr>
            <w:r/>
            <w:r>
              <w:rPr>
                <w:b/>
                <w:color w:val="FFFFFF"/>
                <w:sz w:val="18"/>
              </w:rPr>
              <w:t>差異</w:t>
            </w:r>
          </w:p>
        </w:tc>
      </w:tr>
      <w:tr>
        <w:tc>
          <w:tcPr>
            <w:tcW w:type="dxa" w:w="1032"/>
            <w:vAlign w:val="center"/>
          </w:tcPr>
          <w:p>
            <w:pPr>
              <w:jc w:val="center"/>
            </w:pPr>
            <w:r/>
            <w:r>
              <w:rPr>
                <w:b w:val="0"/>
                <w:sz w:val="18"/>
              </w:rPr>
              <w:t>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w:t>
            </w:r>
          </w:p>
        </w:tc>
        <w:tc>
          <w:tcPr>
            <w:tcW w:type="dxa" w:w="1032"/>
            <w:vAlign w:val="center"/>
          </w:tcPr>
          <w:p>
            <w:pPr>
              <w:jc w:val="center"/>
            </w:pPr>
            <w:r/>
            <w:r>
              <w:rPr>
                <w:b w:val="0"/>
                <w:sz w:val="18"/>
              </w:rPr>
              <w:t>TF + SVM</w:t>
            </w:r>
          </w:p>
        </w:tc>
        <w:tc>
          <w:tcPr>
            <w:tcW w:type="dxa" w:w="1032"/>
            <w:vAlign w:val="center"/>
          </w:tcPr>
          <w:p>
            <w:pPr>
              <w:jc w:val="center"/>
            </w:pPr>
            <w:r/>
            <w:r>
              <w:rPr>
                <w:b w:val="0"/>
                <w:sz w:val="18"/>
              </w:rPr>
              <w:t>0.577</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0.390</w:t>
            </w:r>
          </w:p>
        </w:tc>
        <w:tc>
          <w:tcPr>
            <w:tcW w:type="dxa" w:w="1032"/>
            <w:vAlign w:val="center"/>
          </w:tcPr>
          <w:p>
            <w:pPr>
              <w:jc w:val="center"/>
            </w:pPr>
            <w:r/>
            <w:r>
              <w:rPr>
                <w:b w:val="0"/>
                <w:sz w:val="18"/>
              </w:rPr>
              <w:t>0.187</w:t>
            </w:r>
          </w:p>
        </w:tc>
      </w:tr>
      <w:tr>
        <w:tc>
          <w:tcPr>
            <w:tcW w:type="dxa" w:w="1032"/>
            <w:vAlign w:val="center"/>
          </w:tcPr>
          <w:p>
            <w:pPr>
              <w:jc w:val="center"/>
            </w:pPr>
            <w:r/>
            <w:r>
              <w:rPr>
                <w:b w:val="0"/>
                <w:sz w:val="18"/>
              </w:rPr>
              <w:t>刑事附帶民事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BoW + SVM</w:t>
            </w:r>
          </w:p>
        </w:tc>
        <w:tc>
          <w:tcPr>
            <w:tcW w:type="dxa" w:w="1032"/>
            <w:vAlign w:val="center"/>
          </w:tcPr>
          <w:p>
            <w:pPr>
              <w:jc w:val="center"/>
            </w:pPr>
            <w:r/>
            <w:r>
              <w:rPr>
                <w:b w:val="0"/>
                <w:sz w:val="18"/>
              </w:rPr>
              <w:t>0.654</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0.571</w:t>
            </w:r>
          </w:p>
        </w:tc>
        <w:tc>
          <w:tcPr>
            <w:tcW w:type="dxa" w:w="1032"/>
            <w:vAlign w:val="center"/>
          </w:tcPr>
          <w:p>
            <w:pPr>
              <w:jc w:val="center"/>
            </w:pPr>
            <w:r/>
            <w:r>
              <w:rPr>
                <w:b w:val="0"/>
                <w:sz w:val="18"/>
              </w:rPr>
              <w:t>0.084</w:t>
            </w:r>
          </w:p>
        </w:tc>
      </w:tr>
      <w:tr>
        <w:tc>
          <w:tcPr>
            <w:tcW w:type="dxa" w:w="1032"/>
            <w:vAlign w:val="center"/>
          </w:tcPr>
          <w:p>
            <w:pPr>
              <w:jc w:val="center"/>
            </w:pPr>
            <w:r/>
            <w:r>
              <w:rPr>
                <w:b w:val="0"/>
                <w:sz w:val="18"/>
              </w:rPr>
              <w:t>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TF-IDF + SVM</w:t>
            </w:r>
          </w:p>
        </w:tc>
        <w:tc>
          <w:tcPr>
            <w:tcW w:type="dxa" w:w="1032"/>
            <w:vAlign w:val="center"/>
          </w:tcPr>
          <w:p>
            <w:pPr>
              <w:jc w:val="center"/>
            </w:pPr>
            <w:r/>
            <w:r>
              <w:rPr>
                <w:b w:val="0"/>
                <w:sz w:val="18"/>
              </w:rPr>
              <w:t>0.428</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0.364</w:t>
            </w:r>
          </w:p>
        </w:tc>
        <w:tc>
          <w:tcPr>
            <w:tcW w:type="dxa" w:w="1032"/>
            <w:vAlign w:val="center"/>
          </w:tcPr>
          <w:p>
            <w:pPr>
              <w:jc w:val="center"/>
            </w:pPr>
            <w:r/>
            <w:r>
              <w:rPr>
                <w:b w:val="0"/>
                <w:sz w:val="18"/>
              </w:rPr>
              <w:t>0.063</w:t>
            </w:r>
          </w:p>
        </w:tc>
      </w:tr>
      <w:tr>
        <w:tc>
          <w:tcPr>
            <w:tcW w:type="dxa" w:w="1032"/>
            <w:vAlign w:val="center"/>
          </w:tcPr>
          <w:p>
            <w:pPr>
              <w:jc w:val="center"/>
            </w:pPr>
            <w:r/>
            <w:r>
              <w:rPr>
                <w:b w:val="0"/>
                <w:sz w:val="18"/>
              </w:rPr>
              <w:t>行政</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BoW + SVM</w:t>
            </w:r>
          </w:p>
        </w:tc>
        <w:tc>
          <w:tcPr>
            <w:tcW w:type="dxa" w:w="1032"/>
            <w:vAlign w:val="center"/>
          </w:tcPr>
          <w:p>
            <w:pPr>
              <w:jc w:val="center"/>
            </w:pPr>
            <w:r/>
            <w:r>
              <w:rPr>
                <w:b w:val="0"/>
                <w:sz w:val="18"/>
              </w:rPr>
              <w:t>0.402</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0.318</w:t>
            </w:r>
          </w:p>
        </w:tc>
        <w:tc>
          <w:tcPr>
            <w:tcW w:type="dxa" w:w="1032"/>
            <w:vAlign w:val="center"/>
          </w:tcPr>
          <w:p>
            <w:pPr>
              <w:jc w:val="center"/>
            </w:pPr>
            <w:r/>
            <w:r>
              <w:rPr>
                <w:b w:val="0"/>
                <w:sz w:val="18"/>
              </w:rPr>
              <w:t>0.084</w:t>
            </w:r>
          </w:p>
        </w:tc>
      </w:tr>
    </w:tbl>
    <w:p/>
    <w:p>
      <w:pPr>
        <w:spacing w:line="324" w:lineRule="auto" w:after="120"/>
        <w:ind w:firstLine="420"/>
      </w:pPr>
      <w:r>
        <w:rPr>
          <w:sz w:val="22"/>
          <w:rFonts w:eastAsia="Microsoft JhengHei"/>
        </w:rPr>
        <w:t>MNIR+SVM 原本可被視為一種監督式特徵轉換 baseline，理論上可能透過類別資訊重新加權詞彙特徵。然而實驗結果未支持此假設。可能原因是判決文本中的判別性詞彙已可由卡方選擇直接捕捉，MNIR 轉換反而壓縮或平滑少數類別訊號，導致 Macro F1 下降。</w:t>
      </w:r>
    </w:p>
    <w:p>
      <w:pPr>
        <w:pStyle w:val="Heading2"/>
      </w:pPr>
      <w:r>
        <w:rPr>
          <w:rFonts w:ascii="Calibri" w:hAnsi="Calibri" w:eastAsia="Microsoft JhengHei"/>
          <w:color w:val="1F4E79"/>
        </w:rPr>
        <w:t>4.5 Parameter Selection and Validation Plateau</w:t>
      </w:r>
    </w:p>
    <w:p>
      <w:pPr>
        <w:spacing w:line="324" w:lineRule="auto" w:after="120"/>
        <w:ind w:firstLine="420"/>
      </w:pPr>
      <w:r>
        <w:rPr>
          <w:sz w:val="22"/>
          <w:rFonts w:eastAsia="Microsoft JhengHei"/>
        </w:rPr>
        <w:t>以最佳整體設定為例，validation 參數表面顯示最佳組合附近存在多個接近最佳的 K 與 C 組合；在與最佳 Validation Macro F1 差距不超過 0.01 的條件下，共有 2 組參數。這表示結果並非完全依賴單一任意 K 值，而是存在相對穩定的參數區域。</w:t>
      </w:r>
    </w:p>
    <w:p>
      <w:pPr>
        <w:jc w:val="center"/>
      </w:pPr>
      <w:r>
        <w:rPr>
          <w:b/>
          <w:color w:val="2D3748"/>
          <w:sz w:val="20"/>
        </w:rPr>
        <w:t>表 5 最佳整體設定之 Direct SVM 參數選擇摘要</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58"/>
        <w:gridCol w:w="1858"/>
        <w:gridCol w:w="1858"/>
        <w:gridCol w:w="1858"/>
        <w:gridCol w:w="1858"/>
      </w:tblGrid>
      <w:tr>
        <w:tc>
          <w:tcPr>
            <w:tcW w:type="dxa" w:w="1858"/>
            <w:shd w:fill="2F5597"/>
            <w:vAlign w:val="center"/>
          </w:tcPr>
          <w:p>
            <w:pPr>
              <w:jc w:val="center"/>
            </w:pPr>
            <w:r/>
            <w:r>
              <w:rPr>
                <w:b/>
                <w:color w:val="FFFFFF"/>
                <w:sz w:val="18"/>
              </w:rPr>
              <w:t>K</w:t>
            </w:r>
          </w:p>
        </w:tc>
        <w:tc>
          <w:tcPr>
            <w:tcW w:type="dxa" w:w="1858"/>
            <w:shd w:fill="2F5597"/>
            <w:vAlign w:val="center"/>
          </w:tcPr>
          <w:p>
            <w:pPr>
              <w:jc w:val="center"/>
            </w:pPr>
            <w:r/>
            <w:r>
              <w:rPr>
                <w:b/>
                <w:color w:val="FFFFFF"/>
                <w:sz w:val="18"/>
              </w:rPr>
              <w:t>Selected Features</w:t>
            </w:r>
          </w:p>
        </w:tc>
        <w:tc>
          <w:tcPr>
            <w:tcW w:type="dxa" w:w="1858"/>
            <w:shd w:fill="2F5597"/>
            <w:vAlign w:val="center"/>
          </w:tcPr>
          <w:p>
            <w:pPr>
              <w:jc w:val="center"/>
            </w:pPr>
            <w:r/>
            <w:r>
              <w:rPr>
                <w:b/>
                <w:color w:val="FFFFFF"/>
                <w:sz w:val="18"/>
              </w:rPr>
              <w:t>Best C</w:t>
            </w:r>
          </w:p>
        </w:tc>
        <w:tc>
          <w:tcPr>
            <w:tcW w:type="dxa" w:w="1858"/>
            <w:shd w:fill="2F5597"/>
            <w:vAlign w:val="center"/>
          </w:tcPr>
          <w:p>
            <w:pPr>
              <w:jc w:val="center"/>
            </w:pPr>
            <w:r/>
            <w:r>
              <w:rPr>
                <w:b/>
                <w:color w:val="FFFFFF"/>
                <w:sz w:val="18"/>
              </w:rPr>
              <w:t>Validation Macro F1</w:t>
            </w:r>
          </w:p>
        </w:tc>
        <w:tc>
          <w:tcPr>
            <w:tcW w:type="dxa" w:w="1858"/>
            <w:shd w:fill="2F5597"/>
            <w:vAlign w:val="center"/>
          </w:tcPr>
          <w:p>
            <w:pPr>
              <w:jc w:val="center"/>
            </w:pPr>
            <w:r/>
            <w:r>
              <w:rPr>
                <w:b/>
                <w:color w:val="FFFFFF"/>
                <w:sz w:val="18"/>
              </w:rPr>
              <w:t>與最佳差距</w:t>
            </w:r>
          </w:p>
        </w:tc>
      </w:tr>
      <w:tr>
        <w:tc>
          <w:tcPr>
            <w:tcW w:type="dxa" w:w="1858"/>
            <w:vAlign w:val="center"/>
          </w:tcPr>
          <w:p>
            <w:pPr>
              <w:jc w:val="center"/>
            </w:pPr>
            <w:r/>
            <w:r>
              <w:rPr>
                <w:b w:val="0"/>
                <w:sz w:val="18"/>
              </w:rPr>
              <w:t>3000</w:t>
            </w:r>
          </w:p>
        </w:tc>
        <w:tc>
          <w:tcPr>
            <w:tcW w:type="dxa" w:w="1858"/>
            <w:vAlign w:val="center"/>
          </w:tcPr>
          <w:p>
            <w:pPr>
              <w:jc w:val="center"/>
            </w:pPr>
            <w:r/>
            <w:r>
              <w:rPr>
                <w:b w:val="0"/>
                <w:sz w:val="18"/>
              </w:rPr>
              <w:t>3000</w:t>
            </w:r>
          </w:p>
        </w:tc>
        <w:tc>
          <w:tcPr>
            <w:tcW w:type="dxa" w:w="1858"/>
            <w:vAlign w:val="center"/>
          </w:tcPr>
          <w:p>
            <w:pPr>
              <w:jc w:val="center"/>
            </w:pPr>
            <w:r/>
            <w:r>
              <w:rPr>
                <w:b w:val="0"/>
                <w:sz w:val="18"/>
              </w:rPr>
              <w:t>0.062</w:t>
            </w:r>
          </w:p>
        </w:tc>
        <w:tc>
          <w:tcPr>
            <w:tcW w:type="dxa" w:w="1858"/>
            <w:vAlign w:val="center"/>
          </w:tcPr>
          <w:p>
            <w:pPr>
              <w:jc w:val="center"/>
            </w:pPr>
            <w:r/>
            <w:r>
              <w:rPr>
                <w:b w:val="0"/>
                <w:sz w:val="18"/>
              </w:rPr>
              <w:t>0.745</w:t>
            </w:r>
          </w:p>
        </w:tc>
        <w:tc>
          <w:tcPr>
            <w:tcW w:type="dxa" w:w="1858"/>
            <w:vAlign w:val="center"/>
          </w:tcPr>
          <w:p>
            <w:pPr>
              <w:jc w:val="center"/>
            </w:pPr>
            <w:r/>
            <w:r>
              <w:rPr>
                <w:b w:val="0"/>
                <w:sz w:val="18"/>
              </w:rPr>
              <w:t>0.000</w:t>
            </w:r>
          </w:p>
        </w:tc>
      </w:tr>
      <w:tr>
        <w:tc>
          <w:tcPr>
            <w:tcW w:type="dxa" w:w="1858"/>
            <w:vAlign w:val="center"/>
          </w:tcPr>
          <w:p>
            <w:pPr>
              <w:jc w:val="center"/>
            </w:pPr>
            <w:r/>
            <w:r>
              <w:rPr>
                <w:b w:val="0"/>
                <w:sz w:val="18"/>
              </w:rPr>
              <w:t>5000</w:t>
            </w:r>
          </w:p>
        </w:tc>
        <w:tc>
          <w:tcPr>
            <w:tcW w:type="dxa" w:w="1858"/>
            <w:vAlign w:val="center"/>
          </w:tcPr>
          <w:p>
            <w:pPr>
              <w:jc w:val="center"/>
            </w:pPr>
            <w:r/>
            <w:r>
              <w:rPr>
                <w:b w:val="0"/>
                <w:sz w:val="18"/>
              </w:rPr>
              <w:t>5000</w:t>
            </w:r>
          </w:p>
        </w:tc>
        <w:tc>
          <w:tcPr>
            <w:tcW w:type="dxa" w:w="1858"/>
            <w:vAlign w:val="center"/>
          </w:tcPr>
          <w:p>
            <w:pPr>
              <w:jc w:val="center"/>
            </w:pPr>
            <w:r/>
            <w:r>
              <w:rPr>
                <w:b w:val="0"/>
                <w:sz w:val="18"/>
              </w:rPr>
              <w:t>0.062</w:t>
            </w:r>
          </w:p>
        </w:tc>
        <w:tc>
          <w:tcPr>
            <w:tcW w:type="dxa" w:w="1858"/>
            <w:vAlign w:val="center"/>
          </w:tcPr>
          <w:p>
            <w:pPr>
              <w:jc w:val="center"/>
            </w:pPr>
            <w:r/>
            <w:r>
              <w:rPr>
                <w:b w:val="0"/>
                <w:sz w:val="18"/>
              </w:rPr>
              <w:t>0.737</w:t>
            </w:r>
          </w:p>
        </w:tc>
        <w:tc>
          <w:tcPr>
            <w:tcW w:type="dxa" w:w="1858"/>
            <w:vAlign w:val="center"/>
          </w:tcPr>
          <w:p>
            <w:pPr>
              <w:jc w:val="center"/>
            </w:pPr>
            <w:r/>
            <w:r>
              <w:rPr>
                <w:b w:val="0"/>
                <w:sz w:val="18"/>
              </w:rPr>
              <w:t>0.008</w:t>
            </w:r>
          </w:p>
        </w:tc>
      </w:tr>
      <w:tr>
        <w:tc>
          <w:tcPr>
            <w:tcW w:type="dxa" w:w="1858"/>
            <w:vAlign w:val="center"/>
          </w:tcPr>
          <w:p>
            <w:pPr>
              <w:jc w:val="center"/>
            </w:pPr>
            <w:r/>
            <w:r>
              <w:rPr>
                <w:b w:val="0"/>
                <w:sz w:val="18"/>
              </w:rPr>
              <w:t>10000</w:t>
            </w:r>
          </w:p>
        </w:tc>
        <w:tc>
          <w:tcPr>
            <w:tcW w:type="dxa" w:w="1858"/>
            <w:vAlign w:val="center"/>
          </w:tcPr>
          <w:p>
            <w:pPr>
              <w:jc w:val="center"/>
            </w:pPr>
            <w:r/>
            <w:r>
              <w:rPr>
                <w:b w:val="0"/>
                <w:sz w:val="18"/>
              </w:rPr>
              <w:t>5773</w:t>
            </w:r>
          </w:p>
        </w:tc>
        <w:tc>
          <w:tcPr>
            <w:tcW w:type="dxa" w:w="1858"/>
            <w:vAlign w:val="center"/>
          </w:tcPr>
          <w:p>
            <w:pPr>
              <w:jc w:val="center"/>
            </w:pPr>
            <w:r/>
            <w:r>
              <w:rPr>
                <w:b w:val="0"/>
                <w:sz w:val="18"/>
              </w:rPr>
              <w:t>0.062</w:t>
            </w:r>
          </w:p>
        </w:tc>
        <w:tc>
          <w:tcPr>
            <w:tcW w:type="dxa" w:w="1858"/>
            <w:vAlign w:val="center"/>
          </w:tcPr>
          <w:p>
            <w:pPr>
              <w:jc w:val="center"/>
            </w:pPr>
            <w:r/>
            <w:r>
              <w:rPr>
                <w:b w:val="0"/>
                <w:sz w:val="18"/>
              </w:rPr>
              <w:t>0.734</w:t>
            </w:r>
          </w:p>
        </w:tc>
        <w:tc>
          <w:tcPr>
            <w:tcW w:type="dxa" w:w="1858"/>
            <w:vAlign w:val="center"/>
          </w:tcPr>
          <w:p>
            <w:pPr>
              <w:jc w:val="center"/>
            </w:pPr>
            <w:r/>
            <w:r>
              <w:rPr>
                <w:b w:val="0"/>
                <w:sz w:val="18"/>
              </w:rPr>
              <w:t>0.011</w:t>
            </w:r>
          </w:p>
        </w:tc>
      </w:tr>
      <w:tr>
        <w:tc>
          <w:tcPr>
            <w:tcW w:type="dxa" w:w="1858"/>
            <w:vAlign w:val="center"/>
          </w:tcPr>
          <w:p>
            <w:pPr>
              <w:jc w:val="center"/>
            </w:pPr>
            <w:r/>
            <w:r>
              <w:rPr>
                <w:b w:val="0"/>
                <w:sz w:val="18"/>
              </w:rPr>
              <w:t>1000</w:t>
            </w:r>
          </w:p>
        </w:tc>
        <w:tc>
          <w:tcPr>
            <w:tcW w:type="dxa" w:w="1858"/>
            <w:vAlign w:val="center"/>
          </w:tcPr>
          <w:p>
            <w:pPr>
              <w:jc w:val="center"/>
            </w:pPr>
            <w:r/>
            <w:r>
              <w:rPr>
                <w:b w:val="0"/>
                <w:sz w:val="18"/>
              </w:rPr>
              <w:t>1000</w:t>
            </w:r>
          </w:p>
        </w:tc>
        <w:tc>
          <w:tcPr>
            <w:tcW w:type="dxa" w:w="1858"/>
            <w:vAlign w:val="center"/>
          </w:tcPr>
          <w:p>
            <w:pPr>
              <w:jc w:val="center"/>
            </w:pPr>
            <w:r/>
            <w:r>
              <w:rPr>
                <w:b w:val="0"/>
                <w:sz w:val="18"/>
              </w:rPr>
              <w:t>2.000</w:t>
            </w:r>
          </w:p>
        </w:tc>
        <w:tc>
          <w:tcPr>
            <w:tcW w:type="dxa" w:w="1858"/>
            <w:vAlign w:val="center"/>
          </w:tcPr>
          <w:p>
            <w:pPr>
              <w:jc w:val="center"/>
            </w:pPr>
            <w:r/>
            <w:r>
              <w:rPr>
                <w:b w:val="0"/>
                <w:sz w:val="18"/>
              </w:rPr>
              <w:t>0.733</w:t>
            </w:r>
          </w:p>
        </w:tc>
        <w:tc>
          <w:tcPr>
            <w:tcW w:type="dxa" w:w="1858"/>
            <w:vAlign w:val="center"/>
          </w:tcPr>
          <w:p>
            <w:pPr>
              <w:jc w:val="center"/>
            </w:pPr>
            <w:r/>
            <w:r>
              <w:rPr>
                <w:b w:val="0"/>
                <w:sz w:val="18"/>
              </w:rPr>
              <w:t>0.012</w:t>
            </w:r>
          </w:p>
        </w:tc>
      </w:tr>
    </w:tbl>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direct_svm_chi2_k_svm_c_validation_heatmap.png"/>
                    <pic:cNvPicPr/>
                  </pic:nvPicPr>
                  <pic:blipFill>
                    <a:blip r:embed="rId9"/>
                    <a:stretch>
                      <a:fillRect/>
                    </a:stretch>
                  </pic:blipFill>
                  <pic:spPr>
                    <a:xfrm>
                      <a:off x="0" y="0"/>
                      <a:ext cx="5303520" cy="3030583"/>
                    </a:xfrm>
                    <a:prstGeom prst="rect"/>
                  </pic:spPr>
                </pic:pic>
              </a:graphicData>
            </a:graphic>
          </wp:inline>
        </w:drawing>
      </w:r>
    </w:p>
    <w:p>
      <w:pPr>
        <w:jc w:val="center"/>
      </w:pPr>
      <w:r>
        <w:rPr>
          <w:b/>
          <w:color w:val="2D3748"/>
          <w:sz w:val="20"/>
        </w:rPr>
        <w:t>圖 1 Direct SVM K × C Validation Macro F1 參數表面</w:t>
      </w:r>
    </w:p>
    <w:p>
      <w:pPr>
        <w:pStyle w:val="Heading2"/>
      </w:pPr>
      <w:r>
        <w:rPr>
          <w:rFonts w:ascii="Calibri" w:hAnsi="Calibri" w:eastAsia="Microsoft JhengHei"/>
          <w:color w:val="1F4E79"/>
        </w:rPr>
        <w:t>4.6 Leakage Analysis</w:t>
      </w:r>
    </w:p>
    <w:p>
      <w:pPr>
        <w:jc w:val="center"/>
      </w:pPr>
      <w:r>
        <w:rPr>
          <w:b/>
          <w:color w:val="2D3748"/>
          <w:sz w:val="20"/>
        </w:rPr>
        <w:t>表 6 Direct SVM 下 no-leakage 與 with-leakage 之最佳 Macro F1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23"/>
        <w:gridCol w:w="2323"/>
        <w:gridCol w:w="2323"/>
        <w:gridCol w:w="2323"/>
      </w:tblGrid>
      <w:tr>
        <w:tc>
          <w:tcPr>
            <w:tcW w:type="dxa" w:w="2323"/>
            <w:shd w:fill="2F5597"/>
            <w:vAlign w:val="center"/>
          </w:tcPr>
          <w:p>
            <w:pPr>
              <w:jc w:val="center"/>
            </w:pPr>
            <w:r/>
            <w:r>
              <w:rPr>
                <w:b/>
                <w:color w:val="FFFFFF"/>
                <w:sz w:val="18"/>
              </w:rPr>
              <w:t>資料集</w:t>
            </w:r>
          </w:p>
        </w:tc>
        <w:tc>
          <w:tcPr>
            <w:tcW w:type="dxa" w:w="2323"/>
            <w:shd w:fill="2F5597"/>
            <w:vAlign w:val="center"/>
          </w:tcPr>
          <w:p>
            <w:pPr>
              <w:jc w:val="center"/>
            </w:pPr>
            <w:r/>
            <w:r>
              <w:rPr>
                <w:b/>
                <w:color w:val="FFFFFF"/>
                <w:sz w:val="18"/>
              </w:rPr>
              <w:t>no leakage</w:t>
            </w:r>
          </w:p>
        </w:tc>
        <w:tc>
          <w:tcPr>
            <w:tcW w:type="dxa" w:w="2323"/>
            <w:shd w:fill="2F5597"/>
            <w:vAlign w:val="center"/>
          </w:tcPr>
          <w:p>
            <w:pPr>
              <w:jc w:val="center"/>
            </w:pPr>
            <w:r/>
            <w:r>
              <w:rPr>
                <w:b/>
                <w:color w:val="FFFFFF"/>
                <w:sz w:val="18"/>
              </w:rPr>
              <w:t>with leakage</w:t>
            </w:r>
          </w:p>
        </w:tc>
        <w:tc>
          <w:tcPr>
            <w:tcW w:type="dxa" w:w="2323"/>
            <w:shd w:fill="2F5597"/>
            <w:vAlign w:val="center"/>
          </w:tcPr>
          <w:p>
            <w:pPr>
              <w:jc w:val="center"/>
            </w:pPr>
            <w:r/>
            <w:r>
              <w:rPr>
                <w:b/>
                <w:color w:val="FFFFFF"/>
                <w:sz w:val="18"/>
              </w:rPr>
              <w:t>no - with</w:t>
            </w:r>
          </w:p>
        </w:tc>
      </w:tr>
      <w:tr>
        <w:tc>
          <w:tcPr>
            <w:tcW w:type="dxa" w:w="2323"/>
            <w:vAlign w:val="center"/>
          </w:tcPr>
          <w:p>
            <w:pPr>
              <w:jc w:val="center"/>
            </w:pPr>
            <w:r/>
            <w:r>
              <w:rPr>
                <w:b w:val="0"/>
                <w:sz w:val="18"/>
              </w:rPr>
              <w:t>刑事</w:t>
            </w:r>
          </w:p>
        </w:tc>
        <w:tc>
          <w:tcPr>
            <w:tcW w:type="dxa" w:w="2323"/>
            <w:vAlign w:val="center"/>
          </w:tcPr>
          <w:p>
            <w:pPr>
              <w:jc w:val="center"/>
            </w:pPr>
            <w:r/>
            <w:r>
              <w:rPr>
                <w:b w:val="0"/>
                <w:sz w:val="18"/>
              </w:rPr>
              <w:t>0.577</w:t>
            </w:r>
          </w:p>
        </w:tc>
        <w:tc>
          <w:tcPr>
            <w:tcW w:type="dxa" w:w="2323"/>
            <w:vAlign w:val="center"/>
          </w:tcPr>
          <w:p>
            <w:pPr>
              <w:jc w:val="center"/>
            </w:pPr>
            <w:r/>
            <w:r>
              <w:rPr>
                <w:b w:val="0"/>
                <w:sz w:val="18"/>
              </w:rPr>
              <w:t>0.564</w:t>
            </w:r>
          </w:p>
        </w:tc>
        <w:tc>
          <w:tcPr>
            <w:tcW w:type="dxa" w:w="2323"/>
            <w:vAlign w:val="center"/>
          </w:tcPr>
          <w:p>
            <w:pPr>
              <w:jc w:val="center"/>
            </w:pPr>
            <w:r/>
            <w:r>
              <w:rPr>
                <w:b w:val="0"/>
                <w:sz w:val="18"/>
              </w:rPr>
              <w:t>0.013</w:t>
            </w:r>
          </w:p>
        </w:tc>
      </w:tr>
      <w:tr>
        <w:tc>
          <w:tcPr>
            <w:tcW w:type="dxa" w:w="2323"/>
            <w:vAlign w:val="center"/>
          </w:tcPr>
          <w:p>
            <w:pPr>
              <w:jc w:val="center"/>
            </w:pPr>
            <w:r/>
            <w:r>
              <w:rPr>
                <w:b w:val="0"/>
                <w:sz w:val="18"/>
              </w:rPr>
              <w:t>刑事附帶民事</w:t>
            </w:r>
          </w:p>
        </w:tc>
        <w:tc>
          <w:tcPr>
            <w:tcW w:type="dxa" w:w="2323"/>
            <w:vAlign w:val="center"/>
          </w:tcPr>
          <w:p>
            <w:pPr>
              <w:jc w:val="center"/>
            </w:pPr>
            <w:r/>
            <w:r>
              <w:rPr>
                <w:b w:val="0"/>
                <w:sz w:val="18"/>
              </w:rPr>
              <w:t>0.654</w:t>
            </w:r>
          </w:p>
        </w:tc>
        <w:tc>
          <w:tcPr>
            <w:tcW w:type="dxa" w:w="2323"/>
            <w:vAlign w:val="center"/>
          </w:tcPr>
          <w:p>
            <w:pPr>
              <w:jc w:val="center"/>
            </w:pPr>
            <w:r/>
            <w:r>
              <w:rPr>
                <w:b w:val="0"/>
                <w:sz w:val="18"/>
              </w:rPr>
              <w:t>0.646</w:t>
            </w:r>
          </w:p>
        </w:tc>
        <w:tc>
          <w:tcPr>
            <w:tcW w:type="dxa" w:w="2323"/>
            <w:vAlign w:val="center"/>
          </w:tcPr>
          <w:p>
            <w:pPr>
              <w:jc w:val="center"/>
            </w:pPr>
            <w:r/>
            <w:r>
              <w:rPr>
                <w:b w:val="0"/>
                <w:sz w:val="18"/>
              </w:rPr>
              <w:t>0.008</w:t>
            </w:r>
          </w:p>
        </w:tc>
      </w:tr>
      <w:tr>
        <w:tc>
          <w:tcPr>
            <w:tcW w:type="dxa" w:w="2323"/>
            <w:vAlign w:val="center"/>
          </w:tcPr>
          <w:p>
            <w:pPr>
              <w:jc w:val="center"/>
            </w:pPr>
            <w:r/>
            <w:r>
              <w:rPr>
                <w:b w:val="0"/>
                <w:sz w:val="18"/>
              </w:rPr>
              <w:t>民事</w:t>
            </w:r>
          </w:p>
        </w:tc>
        <w:tc>
          <w:tcPr>
            <w:tcW w:type="dxa" w:w="2323"/>
            <w:vAlign w:val="center"/>
          </w:tcPr>
          <w:p>
            <w:pPr>
              <w:jc w:val="center"/>
            </w:pPr>
            <w:r/>
            <w:r>
              <w:rPr>
                <w:b w:val="0"/>
                <w:sz w:val="18"/>
              </w:rPr>
              <w:t>0.428</w:t>
            </w:r>
          </w:p>
        </w:tc>
        <w:tc>
          <w:tcPr>
            <w:tcW w:type="dxa" w:w="2323"/>
            <w:vAlign w:val="center"/>
          </w:tcPr>
          <w:p>
            <w:pPr>
              <w:jc w:val="center"/>
            </w:pPr>
            <w:r/>
            <w:r>
              <w:rPr>
                <w:b w:val="0"/>
                <w:sz w:val="18"/>
              </w:rPr>
              <w:t>0.425</w:t>
            </w:r>
          </w:p>
        </w:tc>
        <w:tc>
          <w:tcPr>
            <w:tcW w:type="dxa" w:w="2323"/>
            <w:vAlign w:val="center"/>
          </w:tcPr>
          <w:p>
            <w:pPr>
              <w:jc w:val="center"/>
            </w:pPr>
            <w:r/>
            <w:r>
              <w:rPr>
                <w:b w:val="0"/>
                <w:sz w:val="18"/>
              </w:rPr>
              <w:t>0.003</w:t>
            </w:r>
          </w:p>
        </w:tc>
      </w:tr>
      <w:tr>
        <w:tc>
          <w:tcPr>
            <w:tcW w:type="dxa" w:w="2323"/>
            <w:vAlign w:val="center"/>
          </w:tcPr>
          <w:p>
            <w:pPr>
              <w:jc w:val="center"/>
            </w:pPr>
            <w:r/>
            <w:r>
              <w:rPr>
                <w:b w:val="0"/>
                <w:sz w:val="18"/>
              </w:rPr>
              <w:t>行政</w:t>
            </w:r>
          </w:p>
        </w:tc>
        <w:tc>
          <w:tcPr>
            <w:tcW w:type="dxa" w:w="2323"/>
            <w:vAlign w:val="center"/>
          </w:tcPr>
          <w:p>
            <w:pPr>
              <w:jc w:val="center"/>
            </w:pPr>
            <w:r/>
            <w:r>
              <w:rPr>
                <w:b w:val="0"/>
                <w:sz w:val="18"/>
              </w:rPr>
              <w:t>0.380</w:t>
            </w:r>
          </w:p>
        </w:tc>
        <w:tc>
          <w:tcPr>
            <w:tcW w:type="dxa" w:w="2323"/>
            <w:vAlign w:val="center"/>
          </w:tcPr>
          <w:p>
            <w:pPr>
              <w:jc w:val="center"/>
            </w:pPr>
            <w:r/>
            <w:r>
              <w:rPr>
                <w:b w:val="0"/>
                <w:sz w:val="18"/>
              </w:rPr>
              <w:t>0.402</w:t>
            </w:r>
          </w:p>
        </w:tc>
        <w:tc>
          <w:tcPr>
            <w:tcW w:type="dxa" w:w="2323"/>
            <w:vAlign w:val="center"/>
          </w:tcPr>
          <w:p>
            <w:pPr>
              <w:jc w:val="center"/>
            </w:pPr>
            <w:r/>
            <w:r>
              <w:rPr>
                <w:b w:val="0"/>
                <w:sz w:val="18"/>
              </w:rPr>
              <w:t>-0.022</w:t>
            </w:r>
          </w:p>
        </w:tc>
      </w:tr>
    </w:tbl>
    <w:p/>
    <w:p>
      <w:pPr>
        <w:spacing w:line="324" w:lineRule="auto" w:after="120"/>
        <w:ind w:firstLine="420"/>
      </w:pPr>
      <w:r>
        <w:rPr>
          <w:sz w:val="22"/>
          <w:rFonts w:eastAsia="Microsoft JhengHei"/>
        </w:rPr>
        <w:t>Leakage 移除的影響並不一致。部分資料集在 no-leakage 版本仍維持或取得較佳表現，表示模型並非完全依賴明顯裁判結果詞彙；但行政資料集中 with-leakage 表現較高，顯示 outcome leakage 仍可能影響模型評估。因此，本文主要結論應優先依據 no-leakage 結果解讀。</w:t>
      </w:r>
    </w:p>
    <w:p>
      <w:pPr>
        <w:pStyle w:val="Heading2"/>
      </w:pPr>
      <w:r>
        <w:rPr>
          <w:rFonts w:ascii="Calibri" w:hAnsi="Calibri" w:eastAsia="Microsoft JhengHei"/>
          <w:color w:val="1F4E79"/>
        </w:rPr>
        <w:t>4.7 Error Analysis</w:t>
      </w:r>
    </w:p>
    <w:p>
      <w:pPr>
        <w:spacing w:line="324" w:lineRule="auto" w:after="120"/>
        <w:ind w:firstLine="420"/>
      </w:pPr>
      <w:r>
        <w:rPr>
          <w:sz w:val="22"/>
          <w:rFonts w:eastAsia="Microsoft JhengHei"/>
        </w:rPr>
        <w:t>最佳整體模型雖然取得較高 Accuracy 與 Macro F1，但混淆矩陣與類別報告顯示 Win 類別仍是主要困難來源。此現象與資料不平衡一致，表示模型對少數類別的召回能力不足，未來可進一步加入 class weighting、resampling 或針對少數類別的錯誤案例分析。</w:t>
      </w:r>
    </w:p>
    <w:p>
      <w:pPr>
        <w:jc w:val="center"/>
      </w:pPr>
      <w:r>
        <w:rPr>
          <w:b/>
          <w:color w:val="2D3748"/>
          <w:sz w:val="20"/>
        </w:rPr>
        <w:t>表 7 最佳整體 Direct SVM 模型之測試集混淆矩陣</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23"/>
        <w:gridCol w:w="2323"/>
        <w:gridCol w:w="2323"/>
        <w:gridCol w:w="2323"/>
      </w:tblGrid>
      <w:tr>
        <w:tc>
          <w:tcPr>
            <w:tcW w:type="dxa" w:w="2323"/>
            <w:shd w:fill="2F5597"/>
            <w:vAlign w:val="center"/>
          </w:tcPr>
          <w:p>
            <w:pPr>
              <w:jc w:val="center"/>
            </w:pPr>
            <w:r/>
            <w:r>
              <w:rPr>
                <w:b/>
                <w:color w:val="FFFFFF"/>
                <w:sz w:val="18"/>
              </w:rPr>
              <w:t>實際\預測</w:t>
            </w:r>
          </w:p>
        </w:tc>
        <w:tc>
          <w:tcPr>
            <w:tcW w:type="dxa" w:w="2323"/>
            <w:shd w:fill="2F5597"/>
            <w:vAlign w:val="center"/>
          </w:tcPr>
          <w:p>
            <w:pPr>
              <w:jc w:val="center"/>
            </w:pPr>
            <w:r/>
            <w:r>
              <w:rPr>
                <w:b/>
                <w:color w:val="FFFFFF"/>
                <w:sz w:val="18"/>
              </w:rPr>
              <w:t>Predicted Lose</w:t>
            </w:r>
          </w:p>
        </w:tc>
        <w:tc>
          <w:tcPr>
            <w:tcW w:type="dxa" w:w="2323"/>
            <w:shd w:fill="2F5597"/>
            <w:vAlign w:val="center"/>
          </w:tcPr>
          <w:p>
            <w:pPr>
              <w:jc w:val="center"/>
            </w:pPr>
            <w:r/>
            <w:r>
              <w:rPr>
                <w:b/>
                <w:color w:val="FFFFFF"/>
                <w:sz w:val="18"/>
              </w:rPr>
              <w:t>Predicted Mixed</w:t>
            </w:r>
          </w:p>
        </w:tc>
        <w:tc>
          <w:tcPr>
            <w:tcW w:type="dxa" w:w="2323"/>
            <w:shd w:fill="2F5597"/>
            <w:vAlign w:val="center"/>
          </w:tcPr>
          <w:p>
            <w:pPr>
              <w:jc w:val="center"/>
            </w:pPr>
            <w:r/>
            <w:r>
              <w:rPr>
                <w:b/>
                <w:color w:val="FFFFFF"/>
                <w:sz w:val="18"/>
              </w:rPr>
              <w:t>Predicted Win</w:t>
            </w:r>
          </w:p>
        </w:tc>
      </w:tr>
      <w:tr>
        <w:tc>
          <w:tcPr>
            <w:tcW w:type="dxa" w:w="2323"/>
            <w:vAlign w:val="center"/>
          </w:tcPr>
          <w:p>
            <w:pPr>
              <w:jc w:val="center"/>
            </w:pPr>
            <w:r/>
            <w:r>
              <w:rPr>
                <w:b w:val="0"/>
                <w:sz w:val="18"/>
              </w:rPr>
              <w:t>Actual Lose</w:t>
            </w:r>
          </w:p>
        </w:tc>
        <w:tc>
          <w:tcPr>
            <w:tcW w:type="dxa" w:w="2323"/>
            <w:vAlign w:val="center"/>
          </w:tcPr>
          <w:p>
            <w:pPr>
              <w:jc w:val="center"/>
            </w:pPr>
            <w:r/>
            <w:r>
              <w:rPr>
                <w:b w:val="0"/>
                <w:sz w:val="18"/>
              </w:rPr>
              <w:t>121</w:t>
            </w:r>
          </w:p>
        </w:tc>
        <w:tc>
          <w:tcPr>
            <w:tcW w:type="dxa" w:w="2323"/>
            <w:vAlign w:val="center"/>
          </w:tcPr>
          <w:p>
            <w:pPr>
              <w:jc w:val="center"/>
            </w:pPr>
            <w:r/>
            <w:r>
              <w:rPr>
                <w:b w:val="0"/>
                <w:sz w:val="18"/>
              </w:rPr>
              <w:t>25</w:t>
            </w:r>
          </w:p>
        </w:tc>
        <w:tc>
          <w:tcPr>
            <w:tcW w:type="dxa" w:w="2323"/>
            <w:vAlign w:val="center"/>
          </w:tcPr>
          <w:p>
            <w:pPr>
              <w:jc w:val="center"/>
            </w:pPr>
            <w:r/>
            <w:r>
              <w:rPr>
                <w:b w:val="0"/>
                <w:sz w:val="18"/>
              </w:rPr>
              <w:t>0</w:t>
            </w:r>
          </w:p>
        </w:tc>
      </w:tr>
      <w:tr>
        <w:tc>
          <w:tcPr>
            <w:tcW w:type="dxa" w:w="2323"/>
            <w:vAlign w:val="center"/>
          </w:tcPr>
          <w:p>
            <w:pPr>
              <w:jc w:val="center"/>
            </w:pPr>
            <w:r/>
            <w:r>
              <w:rPr>
                <w:b w:val="0"/>
                <w:sz w:val="18"/>
              </w:rPr>
              <w:t>Actual Mixed</w:t>
            </w:r>
          </w:p>
        </w:tc>
        <w:tc>
          <w:tcPr>
            <w:tcW w:type="dxa" w:w="2323"/>
            <w:vAlign w:val="center"/>
          </w:tcPr>
          <w:p>
            <w:pPr>
              <w:jc w:val="center"/>
            </w:pPr>
            <w:r/>
            <w:r>
              <w:rPr>
                <w:b w:val="0"/>
                <w:sz w:val="18"/>
              </w:rPr>
              <w:t>22</w:t>
            </w:r>
          </w:p>
        </w:tc>
        <w:tc>
          <w:tcPr>
            <w:tcW w:type="dxa" w:w="2323"/>
            <w:vAlign w:val="center"/>
          </w:tcPr>
          <w:p>
            <w:pPr>
              <w:jc w:val="center"/>
            </w:pPr>
            <w:r/>
            <w:r>
              <w:rPr>
                <w:b w:val="0"/>
                <w:sz w:val="18"/>
              </w:rPr>
              <w:t>187</w:t>
            </w:r>
          </w:p>
        </w:tc>
        <w:tc>
          <w:tcPr>
            <w:tcW w:type="dxa" w:w="2323"/>
            <w:vAlign w:val="center"/>
          </w:tcPr>
          <w:p>
            <w:pPr>
              <w:jc w:val="center"/>
            </w:pPr>
            <w:r/>
            <w:r>
              <w:rPr>
                <w:b w:val="0"/>
                <w:sz w:val="18"/>
              </w:rPr>
              <w:t>1</w:t>
            </w:r>
          </w:p>
        </w:tc>
      </w:tr>
      <w:tr>
        <w:tc>
          <w:tcPr>
            <w:tcW w:type="dxa" w:w="2323"/>
            <w:vAlign w:val="center"/>
          </w:tcPr>
          <w:p>
            <w:pPr>
              <w:jc w:val="center"/>
            </w:pPr>
            <w:r/>
            <w:r>
              <w:rPr>
                <w:b w:val="0"/>
                <w:sz w:val="18"/>
              </w:rPr>
              <w:t>Actual Win</w:t>
            </w:r>
          </w:p>
        </w:tc>
        <w:tc>
          <w:tcPr>
            <w:tcW w:type="dxa" w:w="2323"/>
            <w:vAlign w:val="center"/>
          </w:tcPr>
          <w:p>
            <w:pPr>
              <w:jc w:val="center"/>
            </w:pPr>
            <w:r/>
            <w:r>
              <w:rPr>
                <w:b w:val="0"/>
                <w:sz w:val="18"/>
              </w:rPr>
              <w:t>1</w:t>
            </w:r>
          </w:p>
        </w:tc>
        <w:tc>
          <w:tcPr>
            <w:tcW w:type="dxa" w:w="2323"/>
            <w:vAlign w:val="center"/>
          </w:tcPr>
          <w:p>
            <w:pPr>
              <w:jc w:val="center"/>
            </w:pPr>
            <w:r/>
            <w:r>
              <w:rPr>
                <w:b w:val="0"/>
                <w:sz w:val="18"/>
              </w:rPr>
              <w:t>4</w:t>
            </w:r>
          </w:p>
        </w:tc>
        <w:tc>
          <w:tcPr>
            <w:tcW w:type="dxa" w:w="2323"/>
            <w:vAlign w:val="center"/>
          </w:tcPr>
          <w:p>
            <w:pPr>
              <w:jc w:val="center"/>
            </w:pPr>
            <w:r/>
            <w:r>
              <w:rPr>
                <w:b w:val="0"/>
                <w:sz w:val="18"/>
              </w:rPr>
              <w:t>1</w:t>
            </w:r>
          </w:p>
        </w:tc>
      </w:tr>
    </w:tbl>
    <w:p/>
    <w:p>
      <w:pPr>
        <w:jc w:val="center"/>
      </w:pPr>
      <w:r>
        <w:rPr>
          <w:b/>
          <w:color w:val="2D3748"/>
          <w:sz w:val="20"/>
        </w:rPr>
        <w:t>表 8 最佳整體 Direct SVM 模型之分類報告</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58"/>
        <w:gridCol w:w="1858"/>
        <w:gridCol w:w="1858"/>
        <w:gridCol w:w="1858"/>
        <w:gridCol w:w="1858"/>
      </w:tblGrid>
      <w:tr>
        <w:tc>
          <w:tcPr>
            <w:tcW w:type="dxa" w:w="1858"/>
            <w:shd w:fill="2F5597"/>
            <w:vAlign w:val="center"/>
          </w:tcPr>
          <w:p>
            <w:pPr>
              <w:jc w:val="center"/>
            </w:pPr>
            <w:r/>
            <w:r>
              <w:rPr>
                <w:b/>
                <w:color w:val="FFFFFF"/>
                <w:sz w:val="18"/>
              </w:rPr>
              <w:t>類別</w:t>
            </w:r>
          </w:p>
        </w:tc>
        <w:tc>
          <w:tcPr>
            <w:tcW w:type="dxa" w:w="1858"/>
            <w:shd w:fill="2F5597"/>
            <w:vAlign w:val="center"/>
          </w:tcPr>
          <w:p>
            <w:pPr>
              <w:jc w:val="center"/>
            </w:pPr>
            <w:r/>
            <w:r>
              <w:rPr>
                <w:b/>
                <w:color w:val="FFFFFF"/>
                <w:sz w:val="18"/>
              </w:rPr>
              <w:t>precision</w:t>
            </w:r>
          </w:p>
        </w:tc>
        <w:tc>
          <w:tcPr>
            <w:tcW w:type="dxa" w:w="1858"/>
            <w:shd w:fill="2F5597"/>
            <w:vAlign w:val="center"/>
          </w:tcPr>
          <w:p>
            <w:pPr>
              <w:jc w:val="center"/>
            </w:pPr>
            <w:r/>
            <w:r>
              <w:rPr>
                <w:b/>
                <w:color w:val="FFFFFF"/>
                <w:sz w:val="18"/>
              </w:rPr>
              <w:t>recall</w:t>
            </w:r>
          </w:p>
        </w:tc>
        <w:tc>
          <w:tcPr>
            <w:tcW w:type="dxa" w:w="1858"/>
            <w:shd w:fill="2F5597"/>
            <w:vAlign w:val="center"/>
          </w:tcPr>
          <w:p>
            <w:pPr>
              <w:jc w:val="center"/>
            </w:pPr>
            <w:r/>
            <w:r>
              <w:rPr>
                <w:b/>
                <w:color w:val="FFFFFF"/>
                <w:sz w:val="18"/>
              </w:rPr>
              <w:t>f1-score</w:t>
            </w:r>
          </w:p>
        </w:tc>
        <w:tc>
          <w:tcPr>
            <w:tcW w:type="dxa" w:w="1858"/>
            <w:shd w:fill="2F5597"/>
            <w:vAlign w:val="center"/>
          </w:tcPr>
          <w:p>
            <w:pPr>
              <w:jc w:val="center"/>
            </w:pPr>
            <w:r/>
            <w:r>
              <w:rPr>
                <w:b/>
                <w:color w:val="FFFFFF"/>
                <w:sz w:val="18"/>
              </w:rPr>
              <w:t>support</w:t>
            </w:r>
          </w:p>
        </w:tc>
      </w:tr>
      <w:tr>
        <w:tc>
          <w:tcPr>
            <w:tcW w:type="dxa" w:w="1858"/>
            <w:vAlign w:val="center"/>
          </w:tcPr>
          <w:p>
            <w:pPr>
              <w:jc w:val="center"/>
            </w:pPr>
            <w:r/>
            <w:r>
              <w:rPr>
                <w:b w:val="0"/>
                <w:sz w:val="18"/>
              </w:rPr>
              <w:t>Lose</w:t>
            </w:r>
          </w:p>
        </w:tc>
        <w:tc>
          <w:tcPr>
            <w:tcW w:type="dxa" w:w="1858"/>
            <w:vAlign w:val="center"/>
          </w:tcPr>
          <w:p>
            <w:pPr>
              <w:jc w:val="center"/>
            </w:pPr>
            <w:r/>
            <w:r>
              <w:rPr>
                <w:b w:val="0"/>
                <w:sz w:val="18"/>
              </w:rPr>
              <w:t>0.840</w:t>
            </w:r>
          </w:p>
        </w:tc>
        <w:tc>
          <w:tcPr>
            <w:tcW w:type="dxa" w:w="1858"/>
            <w:vAlign w:val="center"/>
          </w:tcPr>
          <w:p>
            <w:pPr>
              <w:jc w:val="center"/>
            </w:pPr>
            <w:r/>
            <w:r>
              <w:rPr>
                <w:b w:val="0"/>
                <w:sz w:val="18"/>
              </w:rPr>
              <w:t>0.829</w:t>
            </w:r>
          </w:p>
        </w:tc>
        <w:tc>
          <w:tcPr>
            <w:tcW w:type="dxa" w:w="1858"/>
            <w:vAlign w:val="center"/>
          </w:tcPr>
          <w:p>
            <w:pPr>
              <w:jc w:val="center"/>
            </w:pPr>
            <w:r/>
            <w:r>
              <w:rPr>
                <w:b w:val="0"/>
                <w:sz w:val="18"/>
              </w:rPr>
              <w:t>0.834</w:t>
            </w:r>
          </w:p>
        </w:tc>
        <w:tc>
          <w:tcPr>
            <w:tcW w:type="dxa" w:w="1858"/>
            <w:vAlign w:val="center"/>
          </w:tcPr>
          <w:p>
            <w:pPr>
              <w:jc w:val="center"/>
            </w:pPr>
            <w:r/>
            <w:r>
              <w:rPr>
                <w:b w:val="0"/>
                <w:sz w:val="18"/>
              </w:rPr>
              <w:t>146.000</w:t>
            </w:r>
          </w:p>
        </w:tc>
      </w:tr>
      <w:tr>
        <w:tc>
          <w:tcPr>
            <w:tcW w:type="dxa" w:w="1858"/>
            <w:vAlign w:val="center"/>
          </w:tcPr>
          <w:p>
            <w:pPr>
              <w:jc w:val="center"/>
            </w:pPr>
            <w:r/>
            <w:r>
              <w:rPr>
                <w:b w:val="0"/>
                <w:sz w:val="18"/>
              </w:rPr>
              <w:t>Mixed</w:t>
            </w:r>
          </w:p>
        </w:tc>
        <w:tc>
          <w:tcPr>
            <w:tcW w:type="dxa" w:w="1858"/>
            <w:vAlign w:val="center"/>
          </w:tcPr>
          <w:p>
            <w:pPr>
              <w:jc w:val="center"/>
            </w:pPr>
            <w:r/>
            <w:r>
              <w:rPr>
                <w:b w:val="0"/>
                <w:sz w:val="18"/>
              </w:rPr>
              <w:t>0.866</w:t>
            </w:r>
          </w:p>
        </w:tc>
        <w:tc>
          <w:tcPr>
            <w:tcW w:type="dxa" w:w="1858"/>
            <w:vAlign w:val="center"/>
          </w:tcPr>
          <w:p>
            <w:pPr>
              <w:jc w:val="center"/>
            </w:pPr>
            <w:r/>
            <w:r>
              <w:rPr>
                <w:b w:val="0"/>
                <w:sz w:val="18"/>
              </w:rPr>
              <w:t>0.890</w:t>
            </w:r>
          </w:p>
        </w:tc>
        <w:tc>
          <w:tcPr>
            <w:tcW w:type="dxa" w:w="1858"/>
            <w:vAlign w:val="center"/>
          </w:tcPr>
          <w:p>
            <w:pPr>
              <w:jc w:val="center"/>
            </w:pPr>
            <w:r/>
            <w:r>
              <w:rPr>
                <w:b w:val="0"/>
                <w:sz w:val="18"/>
              </w:rPr>
              <w:t>0.878</w:t>
            </w:r>
          </w:p>
        </w:tc>
        <w:tc>
          <w:tcPr>
            <w:tcW w:type="dxa" w:w="1858"/>
            <w:vAlign w:val="center"/>
          </w:tcPr>
          <w:p>
            <w:pPr>
              <w:jc w:val="center"/>
            </w:pPr>
            <w:r/>
            <w:r>
              <w:rPr>
                <w:b w:val="0"/>
                <w:sz w:val="18"/>
              </w:rPr>
              <w:t>210.000</w:t>
            </w:r>
          </w:p>
        </w:tc>
      </w:tr>
      <w:tr>
        <w:tc>
          <w:tcPr>
            <w:tcW w:type="dxa" w:w="1858"/>
            <w:vAlign w:val="center"/>
          </w:tcPr>
          <w:p>
            <w:pPr>
              <w:jc w:val="center"/>
            </w:pPr>
            <w:r/>
            <w:r>
              <w:rPr>
                <w:b w:val="0"/>
                <w:sz w:val="18"/>
              </w:rPr>
              <w:t>Win</w:t>
            </w:r>
          </w:p>
        </w:tc>
        <w:tc>
          <w:tcPr>
            <w:tcW w:type="dxa" w:w="1858"/>
            <w:vAlign w:val="center"/>
          </w:tcPr>
          <w:p>
            <w:pPr>
              <w:jc w:val="center"/>
            </w:pPr>
            <w:r/>
            <w:r>
              <w:rPr>
                <w:b w:val="0"/>
                <w:sz w:val="18"/>
              </w:rPr>
              <w:t>0.500</w:t>
            </w:r>
          </w:p>
        </w:tc>
        <w:tc>
          <w:tcPr>
            <w:tcW w:type="dxa" w:w="1858"/>
            <w:vAlign w:val="center"/>
          </w:tcPr>
          <w:p>
            <w:pPr>
              <w:jc w:val="center"/>
            </w:pPr>
            <w:r/>
            <w:r>
              <w:rPr>
                <w:b w:val="0"/>
                <w:sz w:val="18"/>
              </w:rPr>
              <w:t>0.167</w:t>
            </w:r>
          </w:p>
        </w:tc>
        <w:tc>
          <w:tcPr>
            <w:tcW w:type="dxa" w:w="1858"/>
            <w:vAlign w:val="center"/>
          </w:tcPr>
          <w:p>
            <w:pPr>
              <w:jc w:val="center"/>
            </w:pPr>
            <w:r/>
            <w:r>
              <w:rPr>
                <w:b w:val="0"/>
                <w:sz w:val="18"/>
              </w:rPr>
              <w:t>0.250</w:t>
            </w:r>
          </w:p>
        </w:tc>
        <w:tc>
          <w:tcPr>
            <w:tcW w:type="dxa" w:w="1858"/>
            <w:vAlign w:val="center"/>
          </w:tcPr>
          <w:p>
            <w:pPr>
              <w:jc w:val="center"/>
            </w:pPr>
            <w:r/>
            <w:r>
              <w:rPr>
                <w:b w:val="0"/>
                <w:sz w:val="18"/>
              </w:rPr>
              <w:t>6.000</w:t>
            </w:r>
          </w:p>
        </w:tc>
      </w:tr>
      <w:tr>
        <w:tc>
          <w:tcPr>
            <w:tcW w:type="dxa" w:w="1858"/>
            <w:vAlign w:val="center"/>
          </w:tcPr>
          <w:p>
            <w:pPr>
              <w:jc w:val="center"/>
            </w:pPr>
            <w:r/>
            <w:r>
              <w:rPr>
                <w:b w:val="0"/>
                <w:sz w:val="18"/>
              </w:rPr>
              <w:t>macro avg</w:t>
            </w:r>
          </w:p>
        </w:tc>
        <w:tc>
          <w:tcPr>
            <w:tcW w:type="dxa" w:w="1858"/>
            <w:vAlign w:val="center"/>
          </w:tcPr>
          <w:p>
            <w:pPr>
              <w:jc w:val="center"/>
            </w:pPr>
            <w:r/>
            <w:r>
              <w:rPr>
                <w:b w:val="0"/>
                <w:sz w:val="18"/>
              </w:rPr>
              <w:t>0.735</w:t>
            </w:r>
          </w:p>
        </w:tc>
        <w:tc>
          <w:tcPr>
            <w:tcW w:type="dxa" w:w="1858"/>
            <w:vAlign w:val="center"/>
          </w:tcPr>
          <w:p>
            <w:pPr>
              <w:jc w:val="center"/>
            </w:pPr>
            <w:r/>
            <w:r>
              <w:rPr>
                <w:b w:val="0"/>
                <w:sz w:val="18"/>
              </w:rPr>
              <w:t>0.629</w:t>
            </w:r>
          </w:p>
        </w:tc>
        <w:tc>
          <w:tcPr>
            <w:tcW w:type="dxa" w:w="1858"/>
            <w:vAlign w:val="center"/>
          </w:tcPr>
          <w:p>
            <w:pPr>
              <w:jc w:val="center"/>
            </w:pPr>
            <w:r/>
            <w:r>
              <w:rPr>
                <w:b w:val="0"/>
                <w:sz w:val="18"/>
              </w:rPr>
              <w:t>0.654</w:t>
            </w:r>
          </w:p>
        </w:tc>
        <w:tc>
          <w:tcPr>
            <w:tcW w:type="dxa" w:w="1858"/>
            <w:vAlign w:val="center"/>
          </w:tcPr>
          <w:p>
            <w:pPr>
              <w:jc w:val="center"/>
            </w:pPr>
            <w:r/>
            <w:r>
              <w:rPr>
                <w:b w:val="0"/>
                <w:sz w:val="18"/>
              </w:rPr>
              <w:t>362.000</w:t>
            </w:r>
          </w:p>
        </w:tc>
      </w:tr>
      <w:tr>
        <w:tc>
          <w:tcPr>
            <w:tcW w:type="dxa" w:w="1858"/>
            <w:vAlign w:val="center"/>
          </w:tcPr>
          <w:p>
            <w:pPr>
              <w:jc w:val="center"/>
            </w:pPr>
            <w:r/>
            <w:r>
              <w:rPr>
                <w:b w:val="0"/>
                <w:sz w:val="18"/>
              </w:rPr>
              <w:t>weighted avg</w:t>
            </w:r>
          </w:p>
        </w:tc>
        <w:tc>
          <w:tcPr>
            <w:tcW w:type="dxa" w:w="1858"/>
            <w:vAlign w:val="center"/>
          </w:tcPr>
          <w:p>
            <w:pPr>
              <w:jc w:val="center"/>
            </w:pPr>
            <w:r/>
            <w:r>
              <w:rPr>
                <w:b w:val="0"/>
                <w:sz w:val="18"/>
              </w:rPr>
              <w:t>0.849</w:t>
            </w:r>
          </w:p>
        </w:tc>
        <w:tc>
          <w:tcPr>
            <w:tcW w:type="dxa" w:w="1858"/>
            <w:vAlign w:val="center"/>
          </w:tcPr>
          <w:p>
            <w:pPr>
              <w:jc w:val="center"/>
            </w:pPr>
            <w:r/>
            <w:r>
              <w:rPr>
                <w:b w:val="0"/>
                <w:sz w:val="18"/>
              </w:rPr>
              <w:t>0.854</w:t>
            </w:r>
          </w:p>
        </w:tc>
        <w:tc>
          <w:tcPr>
            <w:tcW w:type="dxa" w:w="1858"/>
            <w:vAlign w:val="center"/>
          </w:tcPr>
          <w:p>
            <w:pPr>
              <w:jc w:val="center"/>
            </w:pPr>
            <w:r/>
            <w:r>
              <w:rPr>
                <w:b w:val="0"/>
                <w:sz w:val="18"/>
              </w:rPr>
              <w:t>0.850</w:t>
            </w:r>
          </w:p>
        </w:tc>
        <w:tc>
          <w:tcPr>
            <w:tcW w:type="dxa" w:w="1858"/>
            <w:vAlign w:val="center"/>
          </w:tcPr>
          <w:p>
            <w:pPr>
              <w:jc w:val="center"/>
            </w:pPr>
            <w:r/>
            <w:r>
              <w:rPr>
                <w:b w:val="0"/>
                <w:sz w:val="18"/>
              </w:rPr>
              <w:t>362.000</w:t>
            </w:r>
          </w:p>
        </w:tc>
      </w:tr>
    </w:tbl>
    <w:p/>
    <w:p>
      <w:pPr>
        <w:pStyle w:val="Heading1"/>
      </w:pPr>
      <w:r>
        <w:rPr>
          <w:rFonts w:ascii="Calibri" w:hAnsi="Calibri" w:eastAsia="Microsoft JhengHei"/>
          <w:color w:val="1F4E79"/>
        </w:rPr>
        <w:t>第五章 討論</w:t>
      </w:r>
    </w:p>
    <w:p>
      <w:pPr>
        <w:pStyle w:val="Heading2"/>
      </w:pPr>
      <w:r>
        <w:rPr>
          <w:rFonts w:ascii="Calibri" w:hAnsi="Calibri" w:eastAsia="Microsoft JhengHei"/>
          <w:color w:val="1F4E79"/>
        </w:rPr>
        <w:t>5.1 主要發現</w:t>
      </w:r>
    </w:p>
    <w:p>
      <w:pPr>
        <w:spacing w:line="324" w:lineRule="auto" w:after="120"/>
        <w:ind w:firstLine="420"/>
      </w:pPr>
      <w:r>
        <w:rPr>
          <w:sz w:val="22"/>
          <w:rFonts w:eastAsia="Microsoft JhengHei"/>
        </w:rPr>
        <w:t>本研究的主要發現有三點。第一，Direct SVM 在各資料集皆優於 MNIR+SVM baseline。第二，BoW、TF 與 TF-IDF 的最佳表現依案件類型而不同。第三，Accuracy 受多數類別影響明顯，Macro F1 與混淆矩陣更能反映模型對少數類別的限制。</w:t>
      </w:r>
    </w:p>
    <w:p>
      <w:pPr>
        <w:pStyle w:val="Heading2"/>
      </w:pPr>
      <w:r>
        <w:rPr>
          <w:rFonts w:ascii="Calibri" w:hAnsi="Calibri" w:eastAsia="Microsoft JhengHei"/>
          <w:color w:val="1F4E79"/>
        </w:rPr>
        <w:t>5.2 MNIR+SVM 作為 Baseline 的意義</w:t>
      </w:r>
    </w:p>
    <w:p>
      <w:pPr>
        <w:spacing w:line="324" w:lineRule="auto" w:after="120"/>
        <w:ind w:firstLine="420"/>
      </w:pPr>
      <w:r>
        <w:rPr>
          <w:sz w:val="22"/>
          <w:rFonts w:eastAsia="Microsoft JhengHei"/>
        </w:rPr>
        <w:t>MNIR+SVM 在本文中應定位為比較基準，而非主方法。其結果有助於說明監督式特徵轉換在本資料設定下未必優於傳統稀疏詞彙表示。這個結果本身具有研究意義，因為它提醒法律文本分類不一定需要更複雜的特徵轉換流程，嚴謹調參的簡潔 baseline 可能已具有相當競爭力。</w:t>
      </w:r>
    </w:p>
    <w:p>
      <w:pPr>
        <w:pStyle w:val="Heading2"/>
      </w:pPr>
      <w:r>
        <w:rPr>
          <w:rFonts w:ascii="Calibri" w:hAnsi="Calibri" w:eastAsia="Microsoft JhengHei"/>
          <w:color w:val="1F4E79"/>
        </w:rPr>
        <w:t>5.3 研究限制</w:t>
      </w:r>
    </w:p>
    <w:p>
      <w:pPr>
        <w:spacing w:line="324" w:lineRule="auto" w:after="120"/>
        <w:ind w:firstLine="420"/>
      </w:pPr>
      <w:r>
        <w:rPr>
          <w:sz w:val="22"/>
          <w:rFonts w:eastAsia="Microsoft JhengHei"/>
        </w:rPr>
        <w:t>本研究仍受資料標籤品質、類別不平衡、缺乏外部驗證資料與尚未納入大型語言模型等限制。尤其 Win 類別樣本不足，使模型難以學習穩定決策邊界。後續研究可進一步檢查標籤正確性、擴增少數類別樣本，並比較法律語言模型與傳統稀疏特徵模型之差異。</w:t>
      </w:r>
    </w:p>
    <w:p>
      <w:pPr>
        <w:pStyle w:val="Heading1"/>
      </w:pPr>
      <w:r>
        <w:rPr>
          <w:rFonts w:ascii="Calibri" w:hAnsi="Calibri" w:eastAsia="Microsoft JhengHei"/>
          <w:color w:val="1F4E79"/>
        </w:rPr>
        <w:t>第六章 結論</w:t>
      </w:r>
    </w:p>
    <w:p>
      <w:pPr>
        <w:spacing w:line="324" w:lineRule="auto" w:after="120"/>
        <w:ind w:firstLine="420"/>
      </w:pPr>
      <w:r>
        <w:rPr>
          <w:sz w:val="22"/>
          <w:rFonts w:eastAsia="Microsoft JhengHei"/>
        </w:rPr>
        <w:t>本文比較 BoW、TF、TF-IDF 三種文字表示與 Direct SVM、MNIR+SVM 兩種流程於智慧財產權判決勝敗訴預測之表現。實驗結果顯示，Direct SVM 在本研究設定下整體優於 MNIR+SVM，且最佳文字表示法會隨案件類型而改變。此發現支持以嚴謹調參的傳統稀疏特徵模型作為法律文本分類研究的強 baseline，並指出未來若導入更複雜模型，仍應與此類 baseline 進行公平比較。</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