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C2EE9" w14:textId="7777777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45406547" w14:textId="7777777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527A3D51" w14:textId="77777777"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368F352D" w14:textId="77777777"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35490546"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近年來，大數據（</w:t>
      </w:r>
      <w:r w:rsidRPr="00E04535">
        <w:rPr>
          <w:rFonts w:ascii="Times New Roman" w:eastAsia="標楷體" w:hAnsi="Times New Roman" w:cs="Times New Roman"/>
          <w:sz w:val="28"/>
          <w:szCs w:val="28"/>
        </w:rPr>
        <w:t>Big Data</w:t>
      </w:r>
      <w:r w:rsidRPr="00E04535">
        <w:rPr>
          <w:rFonts w:ascii="Times New Roman" w:eastAsia="標楷體" w:hAnsi="Times New Roman" w:cs="Times New Roman"/>
          <w:sz w:val="28"/>
          <w:szCs w:val="28"/>
        </w:rPr>
        <w:t>）與人工智慧（</w:t>
      </w:r>
      <w:r w:rsidRPr="00E04535">
        <w:rPr>
          <w:rFonts w:ascii="Times New Roman" w:eastAsia="標楷體" w:hAnsi="Times New Roman" w:cs="Times New Roman"/>
          <w:sz w:val="28"/>
          <w:szCs w:val="28"/>
        </w:rPr>
        <w:t>Artificial Intelligence</w:t>
      </w:r>
      <w:r w:rsidRPr="00E04535">
        <w:rPr>
          <w:rFonts w:ascii="Times New Roman" w:eastAsia="標楷體" w:hAnsi="Times New Roman" w:cs="Times New Roman"/>
          <w:sz w:val="28"/>
          <w:szCs w:val="28"/>
        </w:rPr>
        <w:t>）的發展，使法律研究逐漸從傳統法規範解釋與個案分析，延伸至以資料為基礎的實證研究。傳統法學研究多側重於法規範的內在邏輯與解釋，亦即所謂「書本上的法律」（</w:t>
      </w:r>
      <w:r w:rsidRPr="00E04535">
        <w:rPr>
          <w:rFonts w:ascii="Times New Roman" w:eastAsia="標楷體" w:hAnsi="Times New Roman" w:cs="Times New Roman"/>
          <w:sz w:val="28"/>
          <w:szCs w:val="28"/>
        </w:rPr>
        <w:t>Law in Books</w:t>
      </w:r>
      <w:r w:rsidRPr="00E04535">
        <w:rPr>
          <w:rFonts w:ascii="Times New Roman" w:eastAsia="標楷體" w:hAnsi="Times New Roman" w:cs="Times New Roman"/>
          <w:sz w:val="28"/>
          <w:szCs w:val="28"/>
        </w:rPr>
        <w:t>）；然而，隨著法律經濟學、社會科學方法與資料科學工具的導入，研究者也開始關注法律在實際案件中的運作方式，亦即「行動中的法律」（</w:t>
      </w:r>
      <w:r w:rsidRPr="00E04535">
        <w:rPr>
          <w:rFonts w:ascii="Times New Roman" w:eastAsia="標楷體" w:hAnsi="Times New Roman" w:cs="Times New Roman"/>
          <w:sz w:val="28"/>
          <w:szCs w:val="28"/>
        </w:rPr>
        <w:t>Law in Action</w:t>
      </w:r>
      <w:r w:rsidRPr="00E04535">
        <w:rPr>
          <w:rFonts w:ascii="Times New Roman" w:eastAsia="標楷體" w:hAnsi="Times New Roman" w:cs="Times New Roman"/>
          <w:sz w:val="28"/>
          <w:szCs w:val="28"/>
        </w:rPr>
        <w:t>）。在此脈絡下，實證法律研究（</w:t>
      </w:r>
      <w:r w:rsidRPr="00E04535">
        <w:rPr>
          <w:rFonts w:ascii="Times New Roman" w:eastAsia="標楷體" w:hAnsi="Times New Roman" w:cs="Times New Roman"/>
          <w:sz w:val="28"/>
          <w:szCs w:val="28"/>
        </w:rPr>
        <w:t>Empirical Legal Studies, ELS</w:t>
      </w:r>
      <w:r w:rsidRPr="00E04535">
        <w:rPr>
          <w:rFonts w:ascii="Times New Roman" w:eastAsia="標楷體" w:hAnsi="Times New Roman" w:cs="Times New Roman"/>
          <w:sz w:val="28"/>
          <w:szCs w:val="28"/>
        </w:rPr>
        <w:t>）逐漸成為觀察法院裁判、司法行為與訴訟結果的重要方法。</w:t>
      </w:r>
    </w:p>
    <w:p w14:paraId="4D5C18D5"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臺灣司法體系在資料透明與開放方面具備制度性優勢。林常青（</w:t>
      </w:r>
      <w:r w:rsidRPr="00E04535">
        <w:rPr>
          <w:rFonts w:ascii="Times New Roman" w:eastAsia="標楷體" w:hAnsi="Times New Roman" w:cs="Times New Roman"/>
          <w:sz w:val="28"/>
          <w:szCs w:val="28"/>
        </w:rPr>
        <w:t>2019</w:t>
      </w:r>
      <w:r w:rsidRPr="00E04535">
        <w:rPr>
          <w:rFonts w:ascii="Times New Roman" w:eastAsia="標楷體" w:hAnsi="Times New Roman" w:cs="Times New Roman"/>
          <w:sz w:val="28"/>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ascii="Times New Roman" w:eastAsia="標楷體" w:hAnsi="Times New Roman" w:cs="Times New Roman"/>
          <w:sz w:val="28"/>
          <w:szCs w:val="28"/>
        </w:rPr>
        <w:t>LegalTech</w:t>
      </w:r>
      <w:r w:rsidRPr="00E04535">
        <w:rPr>
          <w:rFonts w:ascii="Times New Roman" w:eastAsia="標楷體" w:hAnsi="Times New Roman" w:cs="Times New Roman"/>
          <w:sz w:val="28"/>
          <w:szCs w:val="28"/>
        </w:rPr>
        <w:t>）與法律文本分析中的重要問題。</w:t>
      </w:r>
    </w:p>
    <w:p w14:paraId="61318B61"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智慧財產權案件尤其具有高度專業性與技術性。張添潑等人（</w:t>
      </w:r>
      <w:r w:rsidRPr="00E04535">
        <w:rPr>
          <w:rFonts w:ascii="Times New Roman" w:eastAsia="標楷體" w:hAnsi="Times New Roman" w:cs="Times New Roman"/>
          <w:sz w:val="28"/>
          <w:szCs w:val="28"/>
        </w:rPr>
        <w:t>2013</w:t>
      </w:r>
      <w:r w:rsidRPr="00E04535">
        <w:rPr>
          <w:rFonts w:ascii="Times New Roman" w:eastAsia="標楷體" w:hAnsi="Times New Roman" w:cs="Times New Roman"/>
          <w:sz w:val="28"/>
          <w:szCs w:val="28"/>
        </w:rPr>
        <w:t>）指出，在智慧財產權案件中，判決預測的挑戰往往來自法律解釋與事實認定兩個層面。以專利侵權判斷為例，法院常需處理文義侵害與均等論（</w:t>
      </w:r>
      <w:r w:rsidRPr="00E04535">
        <w:rPr>
          <w:rFonts w:ascii="Times New Roman" w:eastAsia="標楷體" w:hAnsi="Times New Roman" w:cs="Times New Roman"/>
          <w:sz w:val="28"/>
          <w:szCs w:val="28"/>
        </w:rPr>
        <w:t>Doctrine of Equivalents</w:t>
      </w:r>
      <w:r w:rsidRPr="00E04535">
        <w:rPr>
          <w:rFonts w:ascii="Times New Roman" w:eastAsia="標楷體" w:hAnsi="Times New Roman" w:cs="Times New Roman"/>
          <w:sz w:val="28"/>
          <w:szCs w:val="28"/>
        </w:rPr>
        <w:t>）等問題。均等論雖可作為專利權保護的重要機制，但因其涉及專利權範圍是否擴張至請求項文字之</w:t>
      </w:r>
      <w:r w:rsidRPr="00E04535">
        <w:rPr>
          <w:rFonts w:ascii="Times New Roman" w:eastAsia="標楷體" w:hAnsi="Times New Roman" w:cs="Times New Roman"/>
          <w:sz w:val="28"/>
          <w:szCs w:val="28"/>
        </w:rPr>
        <w:lastRenderedPageBreak/>
        <w:t>外，容易與專利制度所重視之公示作用產生緊張關係，使法院判斷具有高度解釋空間。此類案件中，單純依靠少數關鍵字往往難以完整呈現法院判斷的依據。</w:t>
      </w:r>
    </w:p>
    <w:p w14:paraId="44BCE693"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此外，在新興技術領域中，事實認定的複雜度亦進一步提高。以智慧財產法院</w:t>
      </w:r>
      <w:r w:rsidRPr="00E04535">
        <w:rPr>
          <w:rFonts w:ascii="Times New Roman" w:eastAsia="標楷體" w:hAnsi="Times New Roman" w:cs="Times New Roman"/>
          <w:sz w:val="28"/>
          <w:szCs w:val="28"/>
        </w:rPr>
        <w:t xml:space="preserve"> 108 </w:t>
      </w:r>
      <w:r w:rsidRPr="00E04535">
        <w:rPr>
          <w:rFonts w:ascii="Times New Roman" w:eastAsia="標楷體" w:hAnsi="Times New Roman" w:cs="Times New Roman"/>
          <w:sz w:val="28"/>
          <w:szCs w:val="28"/>
        </w:rPr>
        <w:t>年民專訴字第</w:t>
      </w:r>
      <w:r w:rsidRPr="00E04535">
        <w:rPr>
          <w:rFonts w:ascii="Times New Roman" w:eastAsia="標楷體" w:hAnsi="Times New Roman" w:cs="Times New Roman"/>
          <w:sz w:val="28"/>
          <w:szCs w:val="28"/>
        </w:rPr>
        <w:t xml:space="preserve"> 59 </w:t>
      </w:r>
      <w:r w:rsidRPr="00E04535">
        <w:rPr>
          <w:rFonts w:ascii="Times New Roman" w:eastAsia="標楷體" w:hAnsi="Times New Roman" w:cs="Times New Roman"/>
          <w:sz w:val="28"/>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ascii="Times New Roman" w:eastAsia="標楷體" w:hAnsi="Times New Roman" w:cs="Times New Roman"/>
          <w:sz w:val="28"/>
          <w:szCs w:val="28"/>
        </w:rPr>
        <w:t>2021</w:t>
      </w:r>
      <w:r w:rsidRPr="00E04535">
        <w:rPr>
          <w:rFonts w:ascii="Times New Roman" w:eastAsia="標楷體" w:hAnsi="Times New Roman" w:cs="Times New Roman"/>
          <w:sz w:val="28"/>
          <w:szCs w:val="28"/>
        </w:rPr>
        <w:t>）。此類案件顯示，智慧財產權判決文本不僅包含法律規範，也包含技術事實、權利範圍、行為主體與因果關係等多層次資訊，因此適合作為法律文本探勘與裁判結果分類之研究對象。</w:t>
      </w:r>
    </w:p>
    <w:p w14:paraId="1DE6632E"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另一方面，智慧財產權案件亦存在明顯的裁判結果不均衡問題。郭建中、陳羿愷（</w:t>
      </w:r>
      <w:r w:rsidRPr="00E04535">
        <w:rPr>
          <w:rFonts w:ascii="Times New Roman" w:eastAsia="標楷體" w:hAnsi="Times New Roman" w:cs="Times New Roman"/>
          <w:sz w:val="28"/>
          <w:szCs w:val="28"/>
        </w:rPr>
        <w:t>2020</w:t>
      </w:r>
      <w:r w:rsidRPr="00E04535">
        <w:rPr>
          <w:rFonts w:ascii="Times New Roman" w:eastAsia="標楷體" w:hAnsi="Times New Roman" w:cs="Times New Roman"/>
          <w:sz w:val="28"/>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ascii="Times New Roman" w:eastAsia="標楷體" w:hAnsi="Times New Roman" w:cs="Times New Roman"/>
          <w:sz w:val="28"/>
          <w:szCs w:val="28"/>
        </w:rPr>
        <w:t>Accuracy</w:t>
      </w:r>
      <w:r w:rsidRPr="00E04535">
        <w:rPr>
          <w:rFonts w:ascii="Times New Roman" w:eastAsia="標楷體" w:hAnsi="Times New Roman" w:cs="Times New Roman"/>
          <w:sz w:val="28"/>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2A77A405" w14:textId="77777777" w:rsidR="00E04535" w:rsidRPr="00E04535" w:rsidRDefault="00E04535" w:rsidP="00E04535">
      <w:pPr>
        <w:widowControl/>
        <w:rPr>
          <w:rFonts w:ascii="Times New Roman" w:eastAsia="標楷體" w:hAnsi="Times New Roman" w:cs="Times New Roman"/>
          <w:sz w:val="28"/>
          <w:szCs w:val="28"/>
        </w:rPr>
      </w:pPr>
      <w:r w:rsidRPr="00E04535">
        <w:rPr>
          <w:rFonts w:ascii="Times New Roman" w:eastAsia="標楷體" w:hAnsi="Times New Roman" w:cs="Times New Roman"/>
          <w:sz w:val="28"/>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w:t>
      </w:r>
      <w:r w:rsidRPr="00E04535">
        <w:rPr>
          <w:rFonts w:ascii="Times New Roman" w:eastAsia="標楷體" w:hAnsi="Times New Roman" w:cs="Times New Roman"/>
          <w:sz w:val="28"/>
          <w:szCs w:val="28"/>
        </w:rPr>
        <w:lastRenderedPageBreak/>
        <w:t>政、民事、刑事與刑事附帶民事案件；在方法上，則比較</w:t>
      </w:r>
      <w:r w:rsidRPr="00E04535">
        <w:rPr>
          <w:rFonts w:ascii="Times New Roman" w:eastAsia="標楷體" w:hAnsi="Times New Roman" w:cs="Times New Roman"/>
          <w:sz w:val="28"/>
          <w:szCs w:val="28"/>
        </w:rPr>
        <w:t xml:space="preserve"> Chi-square + MNIR + SVM </w:t>
      </w:r>
      <w:r w:rsidRPr="00E04535">
        <w:rPr>
          <w:rFonts w:ascii="Times New Roman" w:eastAsia="標楷體" w:hAnsi="Times New Roman" w:cs="Times New Roman"/>
          <w:sz w:val="28"/>
          <w:szCs w:val="28"/>
        </w:rPr>
        <w:t>與</w:t>
      </w:r>
      <w:r w:rsidRPr="00E04535">
        <w:rPr>
          <w:rFonts w:ascii="Times New Roman" w:eastAsia="標楷體" w:hAnsi="Times New Roman" w:cs="Times New Roman"/>
          <w:sz w:val="28"/>
          <w:szCs w:val="28"/>
        </w:rPr>
        <w:t xml:space="preserve"> Chi-square + Direct SVM </w:t>
      </w:r>
      <w:r w:rsidRPr="00E04535">
        <w:rPr>
          <w:rFonts w:ascii="Times New Roman" w:eastAsia="標楷體" w:hAnsi="Times New Roman" w:cs="Times New Roman"/>
          <w:sz w:val="28"/>
          <w:szCs w:val="28"/>
        </w:rPr>
        <w:t>兩種流程，以檢驗</w:t>
      </w:r>
      <w:r w:rsidRPr="00E04535">
        <w:rPr>
          <w:rFonts w:ascii="Times New Roman" w:eastAsia="標楷體" w:hAnsi="Times New Roman" w:cs="Times New Roman"/>
          <w:sz w:val="28"/>
          <w:szCs w:val="28"/>
        </w:rPr>
        <w:t xml:space="preserve"> MNIR </w:t>
      </w:r>
      <w:r w:rsidRPr="00E04535">
        <w:rPr>
          <w:rFonts w:ascii="Times New Roman" w:eastAsia="標楷體" w:hAnsi="Times New Roman" w:cs="Times New Roman"/>
          <w:sz w:val="28"/>
          <w:szCs w:val="28"/>
        </w:rPr>
        <w:t>監督式特徵轉換是否能在高維法律文本分類任務中帶來額外增益，並同時評估傳統稀疏文字特徵模型之基準價值。</w:t>
      </w:r>
    </w:p>
    <w:p w14:paraId="7BA0CD83" w14:textId="777777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2F908E2" w14:textId="77777777"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185DD702"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630E2817"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ascii="Times New Roman" w:eastAsia="標楷體" w:hAnsi="Times New Roman" w:cs="Times New Roman"/>
          <w:sz w:val="28"/>
          <w:szCs w:val="28"/>
        </w:rPr>
        <w:t xml:space="preserve"> </w:t>
      </w:r>
      <w:proofErr w:type="spellStart"/>
      <w:r w:rsidRPr="00BE0F2F">
        <w:rPr>
          <w:rFonts w:ascii="Times New Roman" w:eastAsia="標楷體" w:hAnsi="Times New Roman" w:cs="Times New Roman"/>
          <w:sz w:val="28"/>
          <w:szCs w:val="28"/>
        </w:rPr>
        <w:t>BoW</w:t>
      </w:r>
      <w:proofErr w:type="spellEnd"/>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 xml:space="preserve">TF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TF-IDF </w:t>
      </w:r>
      <w:r w:rsidRPr="00BE0F2F">
        <w:rPr>
          <w:rFonts w:ascii="Times New Roman" w:eastAsia="標楷體" w:hAnsi="Times New Roman" w:cs="Times New Roman"/>
          <w:sz w:val="28"/>
          <w:szCs w:val="28"/>
        </w:rPr>
        <w:t>三種特徵表示；在模型流程方面，則比較</w:t>
      </w:r>
      <w:r w:rsidRPr="00BE0F2F">
        <w:rPr>
          <w:rFonts w:ascii="Times New Roman" w:eastAsia="標楷體" w:hAnsi="Times New Roman" w:cs="Times New Roman"/>
          <w:sz w:val="28"/>
          <w:szCs w:val="28"/>
        </w:rPr>
        <w:t xml:space="preserve"> Chi-square + MNIR + SVM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Chi-square + Direct SVM </w:t>
      </w:r>
      <w:r w:rsidRPr="00BE0F2F">
        <w:rPr>
          <w:rFonts w:ascii="Times New Roman" w:eastAsia="標楷體" w:hAnsi="Times New Roman" w:cs="Times New Roman"/>
          <w:sz w:val="28"/>
          <w:szCs w:val="28"/>
        </w:rPr>
        <w:t>兩種方法。前者用以檢驗</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監督式特徵轉換是否能改善高維法律文本分類，後者則作為不經</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轉換之對照流程。</w:t>
      </w:r>
    </w:p>
    <w:p w14:paraId="3124D552" w14:textId="77777777" w:rsidR="00BE0F2F" w:rsidRPr="00BE0F2F" w:rsidRDefault="00BE0F2F" w:rsidP="00BE0F2F">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本研究之具體目的如下。第一，建立台灣智慧財產權判決文本之資料篩選、標籤整理、文字特徵建構與模型訓練流程，作為法律文本分類分析之基礎。第二，透過</w:t>
      </w:r>
      <w:r w:rsidRPr="00BE0F2F">
        <w:rPr>
          <w:rFonts w:ascii="Times New Roman" w:eastAsia="標楷體" w:hAnsi="Times New Roman" w:cs="Times New Roman"/>
          <w:sz w:val="28"/>
          <w:szCs w:val="28"/>
        </w:rPr>
        <w:t xml:space="preserve"> Chi-square </w:t>
      </w:r>
      <w:r w:rsidRPr="00BE0F2F">
        <w:rPr>
          <w:rFonts w:ascii="Times New Roman" w:eastAsia="標楷體" w:hAnsi="Times New Roman" w:cs="Times New Roman"/>
          <w:sz w:val="28"/>
          <w:szCs w:val="28"/>
        </w:rPr>
        <w:t>特徵選擇，篩選與裁判結果較具關聯之文字特徵，並比較</w:t>
      </w:r>
      <w:r w:rsidRPr="00BE0F2F">
        <w:rPr>
          <w:rFonts w:ascii="Times New Roman" w:eastAsia="標楷體" w:hAnsi="Times New Roman" w:cs="Times New Roman"/>
          <w:sz w:val="28"/>
          <w:szCs w:val="28"/>
        </w:rPr>
        <w:t xml:space="preserve"> </w:t>
      </w:r>
      <w:proofErr w:type="spellStart"/>
      <w:r w:rsidRPr="00BE0F2F">
        <w:rPr>
          <w:rFonts w:ascii="Times New Roman" w:eastAsia="標楷體" w:hAnsi="Times New Roman" w:cs="Times New Roman"/>
          <w:sz w:val="28"/>
          <w:szCs w:val="28"/>
        </w:rPr>
        <w:t>BoW</w:t>
      </w:r>
      <w:proofErr w:type="spellEnd"/>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 xml:space="preserve">TF </w:t>
      </w:r>
      <w:r w:rsidRPr="00BE0F2F">
        <w:rPr>
          <w:rFonts w:ascii="Times New Roman" w:eastAsia="標楷體" w:hAnsi="Times New Roman" w:cs="Times New Roman"/>
          <w:sz w:val="28"/>
          <w:szCs w:val="28"/>
        </w:rPr>
        <w:t>與</w:t>
      </w:r>
      <w:r w:rsidRPr="00BE0F2F">
        <w:rPr>
          <w:rFonts w:ascii="Times New Roman" w:eastAsia="標楷體" w:hAnsi="Times New Roman" w:cs="Times New Roman"/>
          <w:sz w:val="28"/>
          <w:szCs w:val="28"/>
        </w:rPr>
        <w:t xml:space="preserve"> TF-IDF </w:t>
      </w:r>
      <w:r w:rsidRPr="00BE0F2F">
        <w:rPr>
          <w:rFonts w:ascii="Times New Roman" w:eastAsia="標楷體" w:hAnsi="Times New Roman" w:cs="Times New Roman"/>
          <w:sz w:val="28"/>
          <w:szCs w:val="28"/>
        </w:rPr>
        <w:t>在不同案件類型下之分類效果。第三，檢驗</w:t>
      </w:r>
      <w:r w:rsidRPr="00BE0F2F">
        <w:rPr>
          <w:rFonts w:ascii="Times New Roman" w:eastAsia="標楷體" w:hAnsi="Times New Roman" w:cs="Times New Roman"/>
          <w:sz w:val="28"/>
          <w:szCs w:val="28"/>
        </w:rPr>
        <w:t xml:space="preserve"> MNIR </w:t>
      </w:r>
      <w:r w:rsidRPr="00BE0F2F">
        <w:rPr>
          <w:rFonts w:ascii="Times New Roman" w:eastAsia="標楷體" w:hAnsi="Times New Roman" w:cs="Times New Roman"/>
          <w:sz w:val="28"/>
          <w:szCs w:val="28"/>
        </w:rPr>
        <w:t>監督式特徵轉換於智慧財產權判決結果分類任務中的適用性，並與直接使用卡方篩選後稀疏文字特徵之</w:t>
      </w:r>
      <w:r w:rsidRPr="00BE0F2F">
        <w:rPr>
          <w:rFonts w:ascii="Times New Roman" w:eastAsia="標楷體" w:hAnsi="Times New Roman" w:cs="Times New Roman"/>
          <w:sz w:val="28"/>
          <w:szCs w:val="28"/>
        </w:rPr>
        <w:t xml:space="preserve"> Direct SVM </w:t>
      </w:r>
      <w:r w:rsidRPr="00BE0F2F">
        <w:rPr>
          <w:rFonts w:ascii="Times New Roman" w:eastAsia="標楷體" w:hAnsi="Times New Roman" w:cs="Times New Roman"/>
          <w:sz w:val="28"/>
          <w:szCs w:val="28"/>
        </w:rPr>
        <w:t>流程進行比較。第四，針對敗訴、部分勝訴與勝訴三類裁判結果，分析模型在</w:t>
      </w:r>
      <w:r w:rsidRPr="00BE0F2F">
        <w:rPr>
          <w:rFonts w:ascii="Times New Roman" w:eastAsia="標楷體" w:hAnsi="Times New Roman" w:cs="Times New Roman"/>
          <w:sz w:val="28"/>
          <w:szCs w:val="28"/>
        </w:rPr>
        <w:lastRenderedPageBreak/>
        <w:t>不同類別上的辨識能力，並檢視類別不平衡對預測表現之影響。第五，透過</w:t>
      </w:r>
      <w:r w:rsidRPr="00BE0F2F">
        <w:rPr>
          <w:rFonts w:ascii="Times New Roman" w:eastAsia="標楷體" w:hAnsi="Times New Roman" w:cs="Times New Roman"/>
          <w:sz w:val="28"/>
          <w:szCs w:val="28"/>
        </w:rPr>
        <w:t xml:space="preserve"> Macro F1</w:t>
      </w:r>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Accuracy</w:t>
      </w:r>
      <w:r w:rsidRPr="00BE0F2F">
        <w:rPr>
          <w:rFonts w:ascii="Times New Roman" w:eastAsia="標楷體" w:hAnsi="Times New Roman" w:cs="Times New Roman"/>
          <w:sz w:val="28"/>
          <w:szCs w:val="28"/>
        </w:rPr>
        <w:t>、</w:t>
      </w:r>
      <w:r w:rsidRPr="00BE0F2F">
        <w:rPr>
          <w:rFonts w:ascii="Times New Roman" w:eastAsia="標楷體" w:hAnsi="Times New Roman" w:cs="Times New Roman"/>
          <w:sz w:val="28"/>
          <w:szCs w:val="28"/>
        </w:rPr>
        <w:t>Majority Class baseline</w:t>
      </w:r>
      <w:r w:rsidRPr="00BE0F2F">
        <w:rPr>
          <w:rFonts w:ascii="Times New Roman" w:eastAsia="標楷體" w:hAnsi="Times New Roman" w:cs="Times New Roman"/>
          <w:sz w:val="28"/>
          <w:szCs w:val="28"/>
        </w:rPr>
        <w:t>、分類報告與混淆矩陣，評估模型整體表現與錯誤分類型態，避免僅以</w:t>
      </w:r>
      <w:r w:rsidRPr="00BE0F2F">
        <w:rPr>
          <w:rFonts w:ascii="Times New Roman" w:eastAsia="標楷體" w:hAnsi="Times New Roman" w:cs="Times New Roman"/>
          <w:sz w:val="28"/>
          <w:szCs w:val="28"/>
        </w:rPr>
        <w:t xml:space="preserve"> Accuracy </w:t>
      </w:r>
      <w:r w:rsidRPr="00BE0F2F">
        <w:rPr>
          <w:rFonts w:ascii="Times New Roman" w:eastAsia="標楷體" w:hAnsi="Times New Roman" w:cs="Times New Roman"/>
          <w:sz w:val="28"/>
          <w:szCs w:val="28"/>
        </w:rPr>
        <w:t>高低判斷模型是否有效。</w:t>
      </w:r>
    </w:p>
    <w:p w14:paraId="3E31CA50" w14:textId="2F778DC2" w:rsidR="00AA12B1" w:rsidRPr="00BE0F2F" w:rsidRDefault="00BE0F2F" w:rsidP="00AA12B1">
      <w:pPr>
        <w:outlineLvl w:val="0"/>
        <w:rPr>
          <w:rFonts w:ascii="Times New Roman" w:eastAsia="標楷體" w:hAnsi="Times New Roman" w:cs="Times New Roman"/>
          <w:sz w:val="28"/>
          <w:szCs w:val="28"/>
        </w:rPr>
      </w:pPr>
      <w:r w:rsidRPr="00BE0F2F">
        <w:rPr>
          <w:rFonts w:ascii="Times New Roman" w:eastAsia="標楷體" w:hAnsi="Times New Roman" w:cs="Times New Roman"/>
          <w:sz w:val="28"/>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172B402C" w14:textId="77777777" w:rsidR="00CC5EA4" w:rsidRPr="00970794" w:rsidRDefault="00836709" w:rsidP="00AA12B1">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71499B0B" w14:textId="77777777"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2FCDE4A4"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62727E9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大數據與人工智慧技術在法律領域的應用，使傳統法學分析逐漸轉向實證與數據驅動的文字探勘（</w:t>
      </w:r>
      <w:r w:rsidRPr="00564795">
        <w:rPr>
          <w:rFonts w:ascii="Times New Roman" w:eastAsia="標楷體" w:hAnsi="Times New Roman" w:cs="Times New Roman"/>
          <w:sz w:val="28"/>
          <w:szCs w:val="28"/>
        </w:rPr>
        <w:t>Text Mining</w:t>
      </w:r>
      <w:r w:rsidRPr="00564795">
        <w:rPr>
          <w:rFonts w:ascii="Times New Roman" w:eastAsia="標楷體" w:hAnsi="Times New Roman" w:cs="Times New Roman"/>
          <w:sz w:val="28"/>
          <w:szCs w:val="28"/>
        </w:rPr>
        <w:t>）（</w:t>
      </w:r>
      <w:proofErr w:type="spellStart"/>
      <w:r w:rsidRPr="00564795">
        <w:rPr>
          <w:rFonts w:ascii="Times New Roman" w:eastAsia="標楷體" w:hAnsi="Times New Roman" w:cs="Times New Roman"/>
          <w:sz w:val="28"/>
          <w:szCs w:val="28"/>
        </w:rPr>
        <w:t>Ariai</w:t>
      </w:r>
      <w:proofErr w:type="spellEnd"/>
      <w:r w:rsidRPr="00564795">
        <w:rPr>
          <w:rFonts w:ascii="Times New Roman" w:eastAsia="標楷體" w:hAnsi="Times New Roman" w:cs="Times New Roman"/>
          <w:sz w:val="28"/>
          <w:szCs w:val="28"/>
        </w:rPr>
        <w:t xml:space="preserve"> &amp; </w:t>
      </w:r>
      <w:proofErr w:type="spellStart"/>
      <w:r w:rsidRPr="00564795">
        <w:rPr>
          <w:rFonts w:ascii="Times New Roman" w:eastAsia="標楷體" w:hAnsi="Times New Roman" w:cs="Times New Roman"/>
          <w:sz w:val="28"/>
          <w:szCs w:val="28"/>
        </w:rPr>
        <w:t>Demartini</w:t>
      </w:r>
      <w:proofErr w:type="spellEnd"/>
      <w:r w:rsidRPr="00564795">
        <w:rPr>
          <w:rFonts w:ascii="Times New Roman" w:eastAsia="標楷體" w:hAnsi="Times New Roman" w:cs="Times New Roman"/>
          <w:sz w:val="28"/>
          <w:szCs w:val="28"/>
        </w:rPr>
        <w:t>, 2024</w:t>
      </w:r>
      <w:r w:rsidRPr="00564795">
        <w:rPr>
          <w:rFonts w:ascii="Times New Roman" w:eastAsia="標楷體" w:hAnsi="Times New Roman" w:cs="Times New Roman"/>
          <w:sz w:val="28"/>
          <w:szCs w:val="28"/>
        </w:rPr>
        <w:t>）。過去法律研究多以法規範解釋、個案分析與法理推演為主，然而隨著司法判決資料逐漸公開，研究者得以將大量非結構化判決文本轉換為可分析之資料，並透過自然語言處理（</w:t>
      </w:r>
      <w:r w:rsidRPr="00564795">
        <w:rPr>
          <w:rFonts w:ascii="Times New Roman" w:eastAsia="標楷體" w:hAnsi="Times New Roman" w:cs="Times New Roman"/>
          <w:sz w:val="28"/>
          <w:szCs w:val="28"/>
        </w:rPr>
        <w:t>Natural Language Processing, NLP</w:t>
      </w:r>
      <w:r w:rsidRPr="00564795">
        <w:rPr>
          <w:rFonts w:ascii="Times New Roman" w:eastAsia="標楷體" w:hAnsi="Times New Roman" w:cs="Times New Roman"/>
          <w:sz w:val="28"/>
          <w:szCs w:val="28"/>
        </w:rPr>
        <w:t>）、文字探勘與機器學習方法，檢視法律文本中是否存在可供模型辨識之分類訊號。</w:t>
      </w:r>
    </w:p>
    <w:p w14:paraId="5D6F1D7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0ACABB1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本章將依序回顧實證法律研究與法律文本分析的發展，說明</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監督式特徵轉換與</w:t>
      </w:r>
      <w:r w:rsidRPr="00564795">
        <w:rPr>
          <w:rFonts w:ascii="Times New Roman" w:eastAsia="標楷體" w:hAnsi="Times New Roman" w:cs="Times New Roman"/>
          <w:sz w:val="28"/>
          <w:szCs w:val="28"/>
        </w:rPr>
        <w:t xml:space="preserve"> Direct SVM </w:t>
      </w:r>
      <w:r w:rsidRPr="00564795">
        <w:rPr>
          <w:rFonts w:ascii="Times New Roman" w:eastAsia="標楷體" w:hAnsi="Times New Roman" w:cs="Times New Roman"/>
          <w:sz w:val="28"/>
          <w:szCs w:val="28"/>
        </w:rPr>
        <w:t>對照流程之研究定位。</w:t>
      </w:r>
    </w:p>
    <w:p w14:paraId="29DA0ED3"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4FE5B8A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實證法律研究（</w:t>
      </w:r>
      <w:r w:rsidRPr="00564795">
        <w:rPr>
          <w:rFonts w:ascii="Times New Roman" w:eastAsia="標楷體" w:hAnsi="Times New Roman" w:cs="Times New Roman"/>
          <w:sz w:val="28"/>
          <w:szCs w:val="28"/>
        </w:rPr>
        <w:t>Empirical Legal Studies, ELS</w:t>
      </w:r>
      <w:r w:rsidRPr="00564795">
        <w:rPr>
          <w:rFonts w:ascii="Times New Roman" w:eastAsia="標楷體" w:hAnsi="Times New Roman" w:cs="Times New Roman"/>
          <w:sz w:val="28"/>
          <w:szCs w:val="28"/>
        </w:rPr>
        <w:t>）強調以資料觀察法律制度的實際運作，並透過統計分析或量化方法檢視法院判決、法官行為與訴訟結果之間的關係。相較於</w:t>
      </w:r>
      <w:r w:rsidRPr="00564795">
        <w:rPr>
          <w:rFonts w:ascii="Times New Roman" w:eastAsia="標楷體" w:hAnsi="Times New Roman" w:cs="Times New Roman"/>
          <w:sz w:val="28"/>
          <w:szCs w:val="28"/>
        </w:rPr>
        <w:lastRenderedPageBreak/>
        <w:t>傳統法學研究多著重於法規範內部邏輯與法理推演，實證法律研究更關注法律如何在實際案件中被操作與適用。</w:t>
      </w:r>
    </w:p>
    <w:p w14:paraId="3AE98841"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在國際研究中，已有文獻運用大量法院資料分析司法決策。例如</w:t>
      </w:r>
      <w:r w:rsidRPr="00564795">
        <w:rPr>
          <w:rFonts w:ascii="Times New Roman" w:eastAsia="標楷體" w:hAnsi="Times New Roman" w:cs="Times New Roman"/>
          <w:sz w:val="28"/>
          <w:szCs w:val="28"/>
        </w:rPr>
        <w:t xml:space="preserve"> Eren and Mocan</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2018</w:t>
      </w:r>
      <w:r w:rsidRPr="00564795">
        <w:rPr>
          <w:rFonts w:ascii="Times New Roman" w:eastAsia="標楷體" w:hAnsi="Times New Roman" w:cs="Times New Roman"/>
          <w:sz w:val="28"/>
          <w:szCs w:val="28"/>
        </w:rPr>
        <w:t>）探討外部事件是否影響法官量刑，</w:t>
      </w:r>
      <w:r w:rsidRPr="00564795">
        <w:rPr>
          <w:rFonts w:ascii="Times New Roman" w:eastAsia="標楷體" w:hAnsi="Times New Roman" w:cs="Times New Roman"/>
          <w:sz w:val="28"/>
          <w:szCs w:val="28"/>
        </w:rPr>
        <w:t xml:space="preserve">Heyes and </w:t>
      </w:r>
      <w:proofErr w:type="spellStart"/>
      <w:r w:rsidRPr="00564795">
        <w:rPr>
          <w:rFonts w:ascii="Times New Roman" w:eastAsia="標楷體" w:hAnsi="Times New Roman" w:cs="Times New Roman"/>
          <w:sz w:val="28"/>
          <w:szCs w:val="28"/>
        </w:rPr>
        <w:t>Saberian</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）則研究環境溫度與法院判決之間的關聯。這類研究顯示，法院判決可被視為可觀察、可量化並可進一步分析的實證資料，而不僅是單純的法理文本。</w:t>
      </w:r>
    </w:p>
    <w:p w14:paraId="2C1CF83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在台灣脈絡下，司法資料公開亦為法律實證研究提供重要基礎。林常青（</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）指出，司法院裁判書查詢系統提供大量完整判決資料，使研究者能夠從判決全文、案件類型、裁判結果等面向進行實證分析。</w:t>
      </w:r>
      <w:r w:rsidRPr="00564795">
        <w:rPr>
          <w:rFonts w:ascii="Times New Roman" w:eastAsia="標楷體" w:hAnsi="Times New Roman" w:cs="Times New Roman"/>
          <w:sz w:val="28"/>
          <w:szCs w:val="28"/>
        </w:rPr>
        <w:t>Chen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2015</w:t>
      </w:r>
      <w:r w:rsidRPr="00564795">
        <w:rPr>
          <w:rFonts w:ascii="Times New Roman" w:eastAsia="標楷體" w:hAnsi="Times New Roman" w:cs="Times New Roman"/>
          <w:sz w:val="28"/>
          <w:szCs w:val="28"/>
        </w:rPr>
        <w:t>）透過最高法院民事案件資料分析訴訟資源與裁判結果之關係，</w:t>
      </w:r>
      <w:r w:rsidRPr="00564795">
        <w:rPr>
          <w:rFonts w:ascii="Times New Roman" w:eastAsia="標楷體" w:hAnsi="Times New Roman" w:cs="Times New Roman"/>
          <w:sz w:val="28"/>
          <w:szCs w:val="28"/>
        </w:rPr>
        <w:t>Chang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2018</w:t>
      </w:r>
      <w:r w:rsidRPr="00564795">
        <w:rPr>
          <w:rFonts w:ascii="Times New Roman" w:eastAsia="標楷體" w:hAnsi="Times New Roman" w:cs="Times New Roman"/>
          <w:sz w:val="28"/>
          <w:szCs w:val="28"/>
        </w:rPr>
        <w:t>）則檢驗法院賠償金額判斷中的定錨效果。這些文獻不僅證明台灣司法資料庫具備量化研究價值，也確立了將非結構化判決文本轉化為可計算特徵的正當性。</w:t>
      </w:r>
    </w:p>
    <w:p w14:paraId="6E6A035B"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4FF9BB7D" w14:textId="77777777" w:rsidR="00564795" w:rsidRDefault="00A82637" w:rsidP="00C207D2">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00564795" w:rsidRPr="00564795">
        <w:rPr>
          <w:rFonts w:ascii="Times New Roman" w:eastAsia="標楷體" w:hAnsi="Times New Roman" w:cs="Times New Roman"/>
          <w:sz w:val="28"/>
          <w:szCs w:val="28"/>
        </w:rPr>
        <w:t>法律文本之特徵表示：</w:t>
      </w:r>
      <w:proofErr w:type="spellStart"/>
      <w:r w:rsidR="00564795" w:rsidRPr="00564795">
        <w:rPr>
          <w:rFonts w:ascii="Times New Roman" w:eastAsia="標楷體" w:hAnsi="Times New Roman" w:cs="Times New Roman"/>
          <w:sz w:val="28"/>
          <w:szCs w:val="28"/>
        </w:rPr>
        <w:t>BoW</w:t>
      </w:r>
      <w:proofErr w:type="spellEnd"/>
      <w:r w:rsidR="00564795" w:rsidRPr="00564795">
        <w:rPr>
          <w:rFonts w:ascii="Times New Roman" w:eastAsia="標楷體" w:hAnsi="Times New Roman" w:cs="Times New Roman"/>
          <w:sz w:val="28"/>
          <w:szCs w:val="28"/>
        </w:rPr>
        <w:t>、</w:t>
      </w:r>
      <w:r w:rsidR="00564795" w:rsidRPr="00564795">
        <w:rPr>
          <w:rFonts w:ascii="Times New Roman" w:eastAsia="標楷體" w:hAnsi="Times New Roman" w:cs="Times New Roman"/>
          <w:sz w:val="28"/>
          <w:szCs w:val="28"/>
        </w:rPr>
        <w:t xml:space="preserve">TF </w:t>
      </w:r>
      <w:r w:rsidR="00564795" w:rsidRPr="00564795">
        <w:rPr>
          <w:rFonts w:ascii="Times New Roman" w:eastAsia="標楷體" w:hAnsi="Times New Roman" w:cs="Times New Roman"/>
          <w:sz w:val="28"/>
          <w:szCs w:val="28"/>
        </w:rPr>
        <w:t>與</w:t>
      </w:r>
      <w:r w:rsidR="00564795" w:rsidRPr="00564795">
        <w:rPr>
          <w:rFonts w:ascii="Times New Roman" w:eastAsia="標楷體" w:hAnsi="Times New Roman" w:cs="Times New Roman"/>
          <w:sz w:val="28"/>
          <w:szCs w:val="28"/>
        </w:rPr>
        <w:t xml:space="preserve"> TF-IDF</w:t>
      </w:r>
    </w:p>
    <w:p w14:paraId="648503E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在文字探勘與文本分類任務中，第一個關鍵步驟是將非結構化文本轉換為模型可處理</w:t>
      </w:r>
      <w:r w:rsidRPr="00564795">
        <w:rPr>
          <w:rFonts w:ascii="Times New Roman" w:eastAsia="標楷體" w:hAnsi="Times New Roman" w:cs="Times New Roman"/>
          <w:sz w:val="28"/>
          <w:szCs w:val="28"/>
        </w:rPr>
        <w:lastRenderedPageBreak/>
        <w:t>的數值特徵。傳統文本分類常用的方式包括詞袋模型（</w:t>
      </w:r>
      <w:r w:rsidRPr="00564795">
        <w:rPr>
          <w:rFonts w:ascii="Times New Roman" w:eastAsia="標楷體" w:hAnsi="Times New Roman" w:cs="Times New Roman"/>
          <w:sz w:val="28"/>
          <w:szCs w:val="28"/>
        </w:rPr>
        <w:t xml:space="preserve">Bag-of-Words,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）、詞頻表示（</w:t>
      </w:r>
      <w:r w:rsidRPr="00564795">
        <w:rPr>
          <w:rFonts w:ascii="Times New Roman" w:eastAsia="標楷體" w:hAnsi="Times New Roman" w:cs="Times New Roman"/>
          <w:sz w:val="28"/>
          <w:szCs w:val="28"/>
        </w:rPr>
        <w:t>Term Frequency, TF</w:t>
      </w:r>
      <w:r w:rsidRPr="00564795">
        <w:rPr>
          <w:rFonts w:ascii="Times New Roman" w:eastAsia="標楷體" w:hAnsi="Times New Roman" w:cs="Times New Roman"/>
          <w:sz w:val="28"/>
          <w:szCs w:val="28"/>
        </w:rPr>
        <w:t>）與詞頻－逆文件頻率（</w:t>
      </w:r>
      <w:r w:rsidRPr="00564795">
        <w:rPr>
          <w:rFonts w:ascii="Times New Roman" w:eastAsia="標楷體" w:hAnsi="Times New Roman" w:cs="Times New Roman"/>
          <w:sz w:val="28"/>
          <w:szCs w:val="28"/>
        </w:rPr>
        <w:t>Term Frequency–Inverse Document Frequency, TF-IDF</w:t>
      </w:r>
      <w:r w:rsidRPr="00564795">
        <w:rPr>
          <w:rFonts w:ascii="Times New Roman" w:eastAsia="標楷體" w:hAnsi="Times New Roman" w:cs="Times New Roman"/>
          <w:sz w:val="28"/>
          <w:szCs w:val="28"/>
        </w:rPr>
        <w:t>）。這些方法雖然不直接處理詞序與深層語意，但在許多專業文本分類任務中仍具備良好的基準價值。</w:t>
      </w:r>
    </w:p>
    <w:p w14:paraId="5DF4166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564795">
        <w:rPr>
          <w:rFonts w:ascii="Times New Roman" w:eastAsia="標楷體" w:hAnsi="Times New Roman" w:cs="Times New Roman"/>
          <w:sz w:val="28"/>
          <w:szCs w:val="28"/>
        </w:rPr>
        <w:t>Mamakas</w:t>
      </w:r>
      <w:proofErr w:type="spellEnd"/>
      <w:r w:rsidRPr="00564795">
        <w:rPr>
          <w:rFonts w:ascii="Times New Roman" w:eastAsia="標楷體" w:hAnsi="Times New Roman" w:cs="Times New Roman"/>
          <w:sz w:val="28"/>
          <w:szCs w:val="28"/>
        </w:rPr>
        <w:t xml:space="preserve"> et al., 2022; Tang &amp; Yang, 2024</w:t>
      </w:r>
      <w:r w:rsidRPr="00564795">
        <w:rPr>
          <w:rFonts w:ascii="Times New Roman" w:eastAsia="標楷體" w:hAnsi="Times New Roman" w:cs="Times New Roman"/>
          <w:sz w:val="28"/>
          <w:szCs w:val="28"/>
        </w:rPr>
        <w:t>）。此一發現表示，對高度制度化與專業化文本而言，詞彙本身的出現與分布仍可能包含重要分類訊號。</w:t>
      </w:r>
    </w:p>
    <w:p w14:paraId="780B5011" w14:textId="77777777" w:rsidR="00564795" w:rsidRPr="00564795" w:rsidRDefault="00564795" w:rsidP="00564795">
      <w:pPr>
        <w:outlineLvl w:val="0"/>
        <w:rPr>
          <w:rFonts w:ascii="Times New Roman" w:eastAsia="標楷體" w:hAnsi="Times New Roman" w:cs="Times New Roman"/>
          <w:sz w:val="28"/>
          <w:szCs w:val="28"/>
        </w:rPr>
      </w:pP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t>忽略詞序，其仍可能捕捉法律文本中具判別力的詞彙訊號。</w:t>
      </w:r>
    </w:p>
    <w:p w14:paraId="650B8B4B"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有助於比較不同文件中詞彙相對使用程度，而非僅觀察詞彙出現次數。</w:t>
      </w:r>
    </w:p>
    <w:p w14:paraId="06EBA47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lastRenderedPageBreak/>
        <w:t xml:space="preserve">TF-IDF </w:t>
      </w:r>
      <w:r w:rsidRPr="00564795">
        <w:rPr>
          <w:rFonts w:ascii="Times New Roman" w:eastAsia="標楷體" w:hAnsi="Times New Roman" w:cs="Times New Roman"/>
          <w:sz w:val="28"/>
          <w:szCs w:val="28"/>
        </w:rPr>
        <w:t>則同時考量詞彙在個別文件中的出現頻率，以及該詞彙在整體語料中的稀有程度。若某一詞彙在某篇判決中頻繁出現，但在整體語料中並不常見，</w:t>
      </w:r>
      <w:r w:rsidRPr="00564795">
        <w:rPr>
          <w:rFonts w:ascii="Times New Roman" w:eastAsia="標楷體" w:hAnsi="Times New Roman" w:cs="Times New Roman"/>
          <w:sz w:val="28"/>
          <w:szCs w:val="28"/>
        </w:rPr>
        <w:t xml:space="preserve">TF-IDF </w:t>
      </w:r>
      <w:r w:rsidRPr="00564795">
        <w:rPr>
          <w:rFonts w:ascii="Times New Roman" w:eastAsia="標楷體" w:hAnsi="Times New Roman" w:cs="Times New Roman"/>
          <w:sz w:val="28"/>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可能有助於強化此類訊號。</w:t>
      </w:r>
    </w:p>
    <w:p w14:paraId="191182D6"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本研究因此不預設單一特徵表示必然最佳，而是比較</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BoW</w:t>
      </w:r>
      <w:proofErr w:type="spellEnd"/>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TF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TF-IDF </w:t>
      </w:r>
      <w:r w:rsidRPr="00564795">
        <w:rPr>
          <w:rFonts w:ascii="Times New Roman" w:eastAsia="標楷體" w:hAnsi="Times New Roman" w:cs="Times New Roman"/>
          <w:sz w:val="28"/>
          <w:szCs w:val="28"/>
        </w:rPr>
        <w:t>三種文字特徵表示在不同案件類型下的分類效果。此一設計可檢視不同智慧財產權案件中，裁判結果分類較依賴詞項是否出現、詞頻分布，或相對稀有詞彙之權重。</w:t>
      </w:r>
    </w:p>
    <w:p w14:paraId="3F1CFA06"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CAA910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法律判決預測（</w:t>
      </w:r>
      <w:r w:rsidRPr="00564795">
        <w:rPr>
          <w:rFonts w:ascii="Times New Roman" w:eastAsia="標楷體" w:hAnsi="Times New Roman" w:cs="Times New Roman"/>
          <w:sz w:val="28"/>
          <w:szCs w:val="28"/>
        </w:rPr>
        <w:t>Legal Judgment Prediction, LJP</w:t>
      </w:r>
      <w:r w:rsidRPr="00564795">
        <w:rPr>
          <w:rFonts w:ascii="Times New Roman" w:eastAsia="標楷體" w:hAnsi="Times New Roman" w:cs="Times New Roman"/>
          <w:sz w:val="28"/>
          <w:szCs w:val="28"/>
        </w:rPr>
        <w:t>）是法律人工智慧中的重要任務，其核心目標是利用案件事實、法律文本、法院理由或其他案件資訊，預測法院可能作成之裁判結果。既有研究顯示，法律文本中確實存在可供模型辨識之訊號。例如</w:t>
      </w:r>
      <w:r w:rsidRPr="00564795">
        <w:rPr>
          <w:rFonts w:ascii="Times New Roman" w:eastAsia="標楷體" w:hAnsi="Times New Roman" w:cs="Times New Roman"/>
          <w:sz w:val="28"/>
          <w:szCs w:val="28"/>
        </w:rPr>
        <w:t xml:space="preserve"> </w:t>
      </w:r>
      <w:proofErr w:type="spellStart"/>
      <w:r w:rsidRPr="00564795">
        <w:rPr>
          <w:rFonts w:ascii="Times New Roman" w:eastAsia="標楷體" w:hAnsi="Times New Roman" w:cs="Times New Roman"/>
          <w:sz w:val="28"/>
          <w:szCs w:val="28"/>
        </w:rPr>
        <w:t>Aletras</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2016</w:t>
      </w:r>
      <w:r w:rsidRPr="00564795">
        <w:rPr>
          <w:rFonts w:ascii="Times New Roman" w:eastAsia="標楷體" w:hAnsi="Times New Roman" w:cs="Times New Roman"/>
          <w:sz w:val="28"/>
          <w:szCs w:val="28"/>
        </w:rPr>
        <w:t>）以歐洲人權法院案件文本預測是否違反公約條文，</w:t>
      </w:r>
      <w:proofErr w:type="spellStart"/>
      <w:r w:rsidRPr="00564795">
        <w:rPr>
          <w:rFonts w:ascii="Times New Roman" w:eastAsia="標楷體" w:hAnsi="Times New Roman" w:cs="Times New Roman"/>
          <w:sz w:val="28"/>
          <w:szCs w:val="28"/>
        </w:rPr>
        <w:t>Surdeanu</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2011</w:t>
      </w:r>
      <w:r w:rsidRPr="00564795">
        <w:rPr>
          <w:rFonts w:ascii="Times New Roman" w:eastAsia="標楷體" w:hAnsi="Times New Roman" w:cs="Times New Roman"/>
          <w:sz w:val="28"/>
          <w:szCs w:val="28"/>
        </w:rPr>
        <w:t>）則針對智慧財產權訴訟進行訴訟風險分析。這些研究說明，機器學習方法可被應用於法律裁判結果或訴訟風險之預測。</w:t>
      </w:r>
    </w:p>
    <w:p w14:paraId="568ADBFD"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不過，法律判決預測並不限於二元分類。</w:t>
      </w:r>
      <w:r w:rsidRPr="00564795">
        <w:rPr>
          <w:rFonts w:ascii="Times New Roman" w:eastAsia="標楷體" w:hAnsi="Times New Roman" w:cs="Times New Roman"/>
          <w:sz w:val="28"/>
          <w:szCs w:val="28"/>
        </w:rPr>
        <w:t>Feng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）指出，法律判決預測包含多種任務形式，例如法條預測、罪名預測、刑期預測、裁判結果預測、多標籤分類與多任務學習。</w:t>
      </w:r>
      <w:r w:rsidRPr="00564795">
        <w:rPr>
          <w:rFonts w:ascii="Times New Roman" w:eastAsia="標楷體" w:hAnsi="Times New Roman" w:cs="Times New Roman"/>
          <w:sz w:val="28"/>
          <w:szCs w:val="28"/>
        </w:rPr>
        <w:t>Yang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）亦將法律判決預測視為多任務學習問題，嘗試整合法律關鍵詞與多視角特徵進行預測。</w:t>
      </w:r>
      <w:r w:rsidRPr="00564795">
        <w:rPr>
          <w:rFonts w:ascii="Times New Roman" w:eastAsia="標楷體" w:hAnsi="Times New Roman" w:cs="Times New Roman"/>
          <w:sz w:val="28"/>
          <w:szCs w:val="28"/>
        </w:rPr>
        <w:t>Chalkidis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2019</w:t>
      </w:r>
      <w:r w:rsidRPr="00564795">
        <w:rPr>
          <w:rFonts w:ascii="Times New Roman" w:eastAsia="標楷體" w:hAnsi="Times New Roman" w:cs="Times New Roman"/>
          <w:sz w:val="28"/>
          <w:szCs w:val="28"/>
        </w:rPr>
        <w:t>）則在英文法律判決預測研究</w:t>
      </w:r>
      <w:r w:rsidRPr="00564795">
        <w:rPr>
          <w:rFonts w:ascii="Times New Roman" w:eastAsia="標楷體" w:hAnsi="Times New Roman" w:cs="Times New Roman"/>
          <w:sz w:val="28"/>
          <w:szCs w:val="28"/>
        </w:rPr>
        <w:lastRenderedPageBreak/>
        <w:t>中，同時處理二元分類、多標籤分類與案件重要性預測。換言之，法律判決預測文獻中確有二元分類設定，但整體研究範圍並不限於二元分類。</w:t>
      </w:r>
    </w:p>
    <w:p w14:paraId="28264AF5"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ascii="Times New Roman" w:eastAsia="標楷體" w:hAnsi="Times New Roman" w:cs="Times New Roman"/>
          <w:sz w:val="28"/>
          <w:szCs w:val="28"/>
        </w:rPr>
        <w:t xml:space="preserve"> Accuracy</w:t>
      </w:r>
      <w:r w:rsidRPr="00564795">
        <w:rPr>
          <w:rFonts w:ascii="Times New Roman" w:eastAsia="標楷體" w:hAnsi="Times New Roman" w:cs="Times New Roman"/>
          <w:sz w:val="28"/>
          <w:szCs w:val="28"/>
        </w:rPr>
        <w:t>，而應進一步說明模型是否真正捕捉到與法律爭點、請求類型或裁判理由相關的訊號。</w:t>
      </w:r>
    </w:p>
    <w:p w14:paraId="60166ED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ascii="Times New Roman" w:eastAsia="標楷體" w:hAnsi="Times New Roman" w:cs="Times New Roman"/>
          <w:sz w:val="28"/>
          <w:szCs w:val="28"/>
        </w:rPr>
        <w:t>Hsieh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2021</w:t>
      </w:r>
      <w:r w:rsidRPr="00564795">
        <w:rPr>
          <w:rFonts w:ascii="Times New Roman" w:eastAsia="標楷體" w:hAnsi="Times New Roman" w:cs="Times New Roman"/>
          <w:sz w:val="28"/>
          <w:szCs w:val="28"/>
        </w:rPr>
        <w:t>）即運用隨機森林結合排列特徵重要性，預測車禍案件精神慰撫金，並分析法官審酌因素。</w:t>
      </w:r>
      <w:proofErr w:type="spellStart"/>
      <w:r w:rsidRPr="00564795">
        <w:rPr>
          <w:rFonts w:ascii="Times New Roman" w:eastAsia="標楷體" w:hAnsi="Times New Roman" w:cs="Times New Roman"/>
          <w:sz w:val="28"/>
          <w:szCs w:val="28"/>
        </w:rPr>
        <w:t>Alghazzawi</w:t>
      </w:r>
      <w:proofErr w:type="spellEnd"/>
      <w:r w:rsidRPr="00564795">
        <w:rPr>
          <w:rFonts w:ascii="Times New Roman" w:eastAsia="標楷體" w:hAnsi="Times New Roman" w:cs="Times New Roman"/>
          <w:sz w:val="28"/>
          <w:szCs w:val="28"/>
        </w:rPr>
        <w:t xml:space="preserve"> et al.</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2022</w:t>
      </w:r>
      <w:r w:rsidRPr="00564795">
        <w:rPr>
          <w:rFonts w:ascii="Times New Roman" w:eastAsia="標楷體" w:hAnsi="Times New Roman" w:cs="Times New Roman"/>
          <w:sz w:val="28"/>
          <w:szCs w:val="28"/>
        </w:rPr>
        <w:t>）則指出，基礎深度學習模型在司法資料上可取得較高準確率與</w:t>
      </w:r>
      <w:r w:rsidRPr="00564795">
        <w:rPr>
          <w:rFonts w:ascii="Times New Roman" w:eastAsia="標楷體" w:hAnsi="Times New Roman" w:cs="Times New Roman"/>
          <w:sz w:val="28"/>
          <w:szCs w:val="28"/>
        </w:rPr>
        <w:t xml:space="preserve"> F1 </w:t>
      </w:r>
      <w:r w:rsidRPr="00564795">
        <w:rPr>
          <w:rFonts w:ascii="Times New Roman" w:eastAsia="標楷體" w:hAnsi="Times New Roman" w:cs="Times New Roman"/>
          <w:sz w:val="28"/>
          <w:szCs w:val="28"/>
        </w:rPr>
        <w:t>分數，但黑箱性仍限制其在判決理由透明化上的應用。</w:t>
      </w:r>
    </w:p>
    <w:p w14:paraId="57A840FE"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ascii="Times New Roman" w:eastAsia="標楷體" w:hAnsi="Times New Roman" w:cs="Times New Roman"/>
          <w:sz w:val="28"/>
          <w:szCs w:val="28"/>
        </w:rPr>
        <w:t>Support Vector Machine, SVM</w:t>
      </w:r>
      <w:r w:rsidRPr="00564795">
        <w:rPr>
          <w:rFonts w:ascii="Times New Roman" w:eastAsia="標楷體" w:hAnsi="Times New Roman" w:cs="Times New Roman"/>
          <w:sz w:val="28"/>
          <w:szCs w:val="28"/>
        </w:rPr>
        <w:t>）即為常見的文本分類方法之一，尤其在高維稀疏文字特徵中具有良好表現。若搭配卡方特徵選擇，</w:t>
      </w:r>
      <w:r w:rsidRPr="00564795">
        <w:rPr>
          <w:rFonts w:ascii="Times New Roman" w:eastAsia="標楷體" w:hAnsi="Times New Roman" w:cs="Times New Roman"/>
          <w:sz w:val="28"/>
          <w:szCs w:val="28"/>
        </w:rPr>
        <w:t xml:space="preserve">SVM </w:t>
      </w:r>
      <w:r w:rsidRPr="00564795">
        <w:rPr>
          <w:rFonts w:ascii="Times New Roman" w:eastAsia="標楷體" w:hAnsi="Times New Roman" w:cs="Times New Roman"/>
          <w:sz w:val="28"/>
          <w:szCs w:val="28"/>
        </w:rPr>
        <w:t>可先保留與裁判結果關聯較高的詞彙，再進行分類，形成可作為基準模型的傳統文字分類流程。</w:t>
      </w:r>
    </w:p>
    <w:p w14:paraId="6CD24443"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基於上述考量，本研究以</w:t>
      </w:r>
      <w:r w:rsidRPr="00564795">
        <w:rPr>
          <w:rFonts w:ascii="Times New Roman" w:eastAsia="標楷體" w:hAnsi="Times New Roman" w:cs="Times New Roman"/>
          <w:sz w:val="28"/>
          <w:szCs w:val="28"/>
        </w:rPr>
        <w:t xml:space="preserve"> SVM </w:t>
      </w:r>
      <w:r w:rsidRPr="00564795">
        <w:rPr>
          <w:rFonts w:ascii="Times New Roman" w:eastAsia="標楷體" w:hAnsi="Times New Roman" w:cs="Times New Roman"/>
          <w:sz w:val="28"/>
          <w:szCs w:val="28"/>
        </w:rPr>
        <w:t>作為主要下游分類器，並比較</w:t>
      </w:r>
      <w:r w:rsidRPr="00564795">
        <w:rPr>
          <w:rFonts w:ascii="Times New Roman" w:eastAsia="標楷體" w:hAnsi="Times New Roman" w:cs="Times New Roman"/>
          <w:sz w:val="28"/>
          <w:szCs w:val="28"/>
        </w:rPr>
        <w:t xml:space="preserve"> Direct SVM </w:t>
      </w:r>
      <w:r w:rsidRPr="00564795">
        <w:rPr>
          <w:rFonts w:ascii="Times New Roman" w:eastAsia="標楷體" w:hAnsi="Times New Roman" w:cs="Times New Roman"/>
          <w:sz w:val="28"/>
          <w:szCs w:val="28"/>
        </w:rPr>
        <w:t>與</w:t>
      </w:r>
      <w:r w:rsidRPr="00564795">
        <w:rPr>
          <w:rFonts w:ascii="Times New Roman" w:eastAsia="標楷體" w:hAnsi="Times New Roman" w:cs="Times New Roman"/>
          <w:sz w:val="28"/>
          <w:szCs w:val="28"/>
        </w:rPr>
        <w:t xml:space="preserve"> </w:t>
      </w:r>
      <w:r w:rsidRPr="00564795">
        <w:rPr>
          <w:rFonts w:ascii="Times New Roman" w:eastAsia="標楷體" w:hAnsi="Times New Roman" w:cs="Times New Roman"/>
          <w:sz w:val="28"/>
          <w:szCs w:val="28"/>
        </w:rPr>
        <w:lastRenderedPageBreak/>
        <w:t xml:space="preserve">MNIR+SVM </w:t>
      </w:r>
      <w:r w:rsidRPr="00564795">
        <w:rPr>
          <w:rFonts w:ascii="Times New Roman" w:eastAsia="標楷體" w:hAnsi="Times New Roman" w:cs="Times New Roman"/>
          <w:sz w:val="28"/>
          <w:szCs w:val="28"/>
        </w:rPr>
        <w:t>兩種流程。前者直接使用卡方篩選後的稀疏文字特徵進行分類，後者則先透過</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將高維文本轉換為低維監督式特徵，再進行分類。此一設計可同時檢驗傳統稀疏文字模型之基準表現，以及</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監督式特徵轉換是否能帶來額外增益。</w:t>
      </w:r>
    </w:p>
    <w:p w14:paraId="2C76FF0B" w14:textId="77777777" w:rsidR="00564795" w:rsidRPr="00564795" w:rsidRDefault="00A82637" w:rsidP="00564795">
      <w:pPr>
        <w:outlineLvl w:val="0"/>
        <w:rPr>
          <w:rFonts w:ascii="Times New Roman" w:eastAsia="標楷體" w:hAnsi="Times New Roman" w:cs="Times New Roman"/>
          <w:b/>
          <w:bCs/>
          <w:sz w:val="28"/>
          <w:szCs w:val="28"/>
        </w:rPr>
      </w:pPr>
      <w:r w:rsidRPr="00A82637">
        <w:rPr>
          <w:rFonts w:ascii="Times New Roman" w:eastAsia="標楷體" w:hAnsi="Times New Roman" w:cs="Times New Roman" w:hint="eastAsia"/>
          <w:sz w:val="28"/>
          <w:szCs w:val="28"/>
        </w:rPr>
        <w:t xml:space="preserve">2.5 </w:t>
      </w:r>
      <w:r w:rsidR="00564795" w:rsidRPr="00564795">
        <w:rPr>
          <w:rFonts w:ascii="Times New Roman" w:eastAsia="標楷體" w:hAnsi="Times New Roman" w:cs="Times New Roman"/>
          <w:b/>
          <w:bCs/>
          <w:sz w:val="28"/>
          <w:szCs w:val="28"/>
        </w:rPr>
        <w:t xml:space="preserve">MNIR </w:t>
      </w:r>
      <w:r w:rsidR="00564795" w:rsidRPr="00564795">
        <w:rPr>
          <w:rFonts w:ascii="Times New Roman" w:eastAsia="標楷體" w:hAnsi="Times New Roman" w:cs="Times New Roman"/>
          <w:b/>
          <w:bCs/>
          <w:sz w:val="28"/>
          <w:szCs w:val="28"/>
        </w:rPr>
        <w:t>監督式特徵轉換與本研究定位</w:t>
      </w:r>
    </w:p>
    <w:p w14:paraId="6C2301F0"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160E5631"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卡方特徵選擇（</w:t>
      </w:r>
      <w:r w:rsidRPr="00564795">
        <w:rPr>
          <w:rFonts w:ascii="Times New Roman" w:eastAsia="標楷體" w:hAnsi="Times New Roman" w:cs="Times New Roman"/>
          <w:sz w:val="28"/>
          <w:szCs w:val="28"/>
        </w:rPr>
        <w:t>Chi-square feature selection</w:t>
      </w:r>
      <w:r w:rsidRPr="00564795">
        <w:rPr>
          <w:rFonts w:ascii="Times New Roman" w:eastAsia="標楷體" w:hAnsi="Times New Roman" w:cs="Times New Roman"/>
          <w:sz w:val="28"/>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3F0D4EF9"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則是一種監督式特徵轉換方法，其主要目的在於將高維文字資料轉換為與目標變數相關的低維表徵。</w:t>
      </w:r>
      <w:r w:rsidRPr="00564795">
        <w:rPr>
          <w:rFonts w:ascii="Times New Roman" w:eastAsia="標楷體" w:hAnsi="Times New Roman" w:cs="Times New Roman"/>
          <w:sz w:val="28"/>
          <w:szCs w:val="28"/>
        </w:rPr>
        <w:t>Taddy</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2013</w:t>
      </w:r>
      <w:r w:rsidRPr="00564795">
        <w:rPr>
          <w:rFonts w:ascii="Times New Roman" w:eastAsia="標楷體" w:hAnsi="Times New Roman" w:cs="Times New Roman"/>
          <w:sz w:val="28"/>
          <w:szCs w:val="28"/>
        </w:rPr>
        <w:t>）提出的</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架構，透過反向建模思維，分析給定目標變數條件下的文本生成分布，進而將高維文字資料轉換為</w:t>
      </w:r>
      <w:r w:rsidRPr="00564795">
        <w:rPr>
          <w:rFonts w:ascii="Times New Roman" w:eastAsia="標楷體" w:hAnsi="Times New Roman" w:cs="Times New Roman"/>
          <w:sz w:val="28"/>
          <w:szCs w:val="28"/>
        </w:rPr>
        <w:t xml:space="preserve"> sufficient reduction scores</w:t>
      </w:r>
      <w:r w:rsidRPr="00564795">
        <w:rPr>
          <w:rFonts w:ascii="Times New Roman" w:eastAsia="標楷體" w:hAnsi="Times New Roman" w:cs="Times New Roman"/>
          <w:sz w:val="28"/>
          <w:szCs w:val="28"/>
        </w:rPr>
        <w:t>。與一般無監督式降維方法不同，</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的重點不只是壓縮文本，而是透過標籤資訊萃取與分類目標相關的文本方向。理論上，若</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能有效捕捉裁判結果與詞彙分布之間的關係，則其產生的低維特徵可作為下游分類模型的有效輸入。</w:t>
      </w:r>
    </w:p>
    <w:p w14:paraId="7C9B70A2"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然而，</w:t>
      </w:r>
      <w:r w:rsidRPr="00564795">
        <w:rPr>
          <w:rFonts w:ascii="Times New Roman" w:eastAsia="標楷體" w:hAnsi="Times New Roman" w:cs="Times New Roman"/>
          <w:sz w:val="28"/>
          <w:szCs w:val="28"/>
        </w:rPr>
        <w:t xml:space="preserve">MNIR </w:t>
      </w:r>
      <w:r w:rsidRPr="00564795">
        <w:rPr>
          <w:rFonts w:ascii="Times New Roman" w:eastAsia="標楷體" w:hAnsi="Times New Roman" w:cs="Times New Roman"/>
          <w:sz w:val="28"/>
          <w:szCs w:val="28"/>
        </w:rPr>
        <w:t>是否能提升模型表現，仍須透過實證比較檢驗。特別是在本研究已先透</w:t>
      </w:r>
      <w:r w:rsidRPr="00564795">
        <w:rPr>
          <w:rFonts w:ascii="Times New Roman" w:eastAsia="標楷體" w:hAnsi="Times New Roman" w:cs="Times New Roman"/>
          <w:sz w:val="28"/>
          <w:szCs w:val="28"/>
        </w:rPr>
        <w:lastRenderedPageBreak/>
        <w:t>過卡方統計量進行特徵選擇的情況下，高關聯詞彙可能已被保留於稀疏文字特徵中。此時，進一步進行</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轉換是否能帶來額外增益，或反而壓縮掉少數類別與細部法律爭點的訊號，便成為本研究的重要問題。</w:t>
      </w:r>
    </w:p>
    <w:p w14:paraId="723CF04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因此，本研究以</w:t>
      </w:r>
      <w:r w:rsidRPr="00564795">
        <w:rPr>
          <w:rFonts w:ascii="Times New Roman" w:eastAsia="標楷體" w:hAnsi="Times New Roman" w:cs="Times New Roman"/>
          <w:sz w:val="28"/>
          <w:szCs w:val="28"/>
        </w:rPr>
        <w:t xml:space="preserve"> Chi-square + MNIR + SVM </w:t>
      </w:r>
      <w:r w:rsidRPr="00564795">
        <w:rPr>
          <w:rFonts w:ascii="Times New Roman" w:eastAsia="標楷體" w:hAnsi="Times New Roman" w:cs="Times New Roman"/>
          <w:sz w:val="28"/>
          <w:szCs w:val="28"/>
        </w:rPr>
        <w:t>作為核心技術流程，並以</w:t>
      </w:r>
      <w:r w:rsidRPr="00564795">
        <w:rPr>
          <w:rFonts w:ascii="Times New Roman" w:eastAsia="標楷體" w:hAnsi="Times New Roman" w:cs="Times New Roman"/>
          <w:sz w:val="28"/>
          <w:szCs w:val="28"/>
        </w:rPr>
        <w:t xml:space="preserve"> Chi-square + Direct SVM </w:t>
      </w:r>
      <w:r w:rsidRPr="00564795">
        <w:rPr>
          <w:rFonts w:ascii="Times New Roman" w:eastAsia="標楷體" w:hAnsi="Times New Roman" w:cs="Times New Roman"/>
          <w:sz w:val="28"/>
          <w:szCs w:val="28"/>
        </w:rPr>
        <w:t>作為對照流程。透過比較兩者在行政、民事、刑事與刑事附帶民事案件中的</w:t>
      </w:r>
      <w:r w:rsidRPr="00564795">
        <w:rPr>
          <w:rFonts w:ascii="Times New Roman" w:eastAsia="標楷體" w:hAnsi="Times New Roman" w:cs="Times New Roman"/>
          <w:sz w:val="28"/>
          <w:szCs w:val="28"/>
        </w:rPr>
        <w:t xml:space="preserve"> Macro F1</w:t>
      </w:r>
      <w:r w:rsidRPr="00564795">
        <w:rPr>
          <w:rFonts w:ascii="Times New Roman" w:eastAsia="標楷體" w:hAnsi="Times New Roman" w:cs="Times New Roman"/>
          <w:sz w:val="28"/>
          <w:szCs w:val="28"/>
        </w:rPr>
        <w:t>、</w:t>
      </w:r>
      <w:r w:rsidRPr="00564795">
        <w:rPr>
          <w:rFonts w:ascii="Times New Roman" w:eastAsia="標楷體" w:hAnsi="Times New Roman" w:cs="Times New Roman"/>
          <w:sz w:val="28"/>
          <w:szCs w:val="28"/>
        </w:rPr>
        <w:t xml:space="preserve">Accuracy </w:t>
      </w:r>
      <w:r w:rsidRPr="00564795">
        <w:rPr>
          <w:rFonts w:ascii="Times New Roman" w:eastAsia="標楷體" w:hAnsi="Times New Roman" w:cs="Times New Roman"/>
          <w:sz w:val="28"/>
          <w:szCs w:val="28"/>
        </w:rPr>
        <w:t>與類別層級表現，本研究可檢驗</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監督式特徵轉換在中文智慧財產權判決分類任務中的適用性，同時評估傳統稀疏文字模型在此任務中的基準價值。</w:t>
      </w:r>
    </w:p>
    <w:p w14:paraId="486EEE20" w14:textId="3B01AD3C" w:rsidR="00564795" w:rsidRPr="00564795" w:rsidRDefault="00564795" w:rsidP="00564795">
      <w:pPr>
        <w:outlineLvl w:val="0"/>
        <w:rPr>
          <w:rFonts w:ascii="Times New Roman" w:eastAsia="標楷體" w:hAnsi="Times New Roman" w:cs="Times New Roman"/>
          <w:b/>
          <w:bCs/>
          <w:sz w:val="28"/>
          <w:szCs w:val="28"/>
        </w:rPr>
      </w:pPr>
      <w:r>
        <w:rPr>
          <w:rFonts w:ascii="Times New Roman" w:eastAsia="標楷體" w:hAnsi="Times New Roman" w:cs="Times New Roman" w:hint="eastAsia"/>
          <w:b/>
          <w:bCs/>
          <w:sz w:val="28"/>
          <w:szCs w:val="28"/>
        </w:rPr>
        <w:t>2</w:t>
      </w:r>
      <w:r w:rsidRPr="00564795">
        <w:rPr>
          <w:rFonts w:ascii="Times New Roman" w:eastAsia="標楷體" w:hAnsi="Times New Roman" w:cs="Times New Roman"/>
          <w:b/>
          <w:bCs/>
          <w:sz w:val="28"/>
          <w:szCs w:val="28"/>
        </w:rPr>
        <w:t xml:space="preserve">.6 </w:t>
      </w:r>
      <w:r w:rsidRPr="00564795">
        <w:rPr>
          <w:rFonts w:ascii="Times New Roman" w:eastAsia="標楷體" w:hAnsi="Times New Roman" w:cs="Times New Roman"/>
          <w:b/>
          <w:bCs/>
          <w:sz w:val="28"/>
          <w:szCs w:val="28"/>
        </w:rPr>
        <w:t>總結與研究缺口</w:t>
      </w:r>
    </w:p>
    <w:p w14:paraId="62B2117F"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ascii="Times New Roman" w:eastAsia="標楷體" w:hAnsi="Times New Roman" w:cs="Times New Roman"/>
          <w:sz w:val="28"/>
          <w:szCs w:val="28"/>
        </w:rPr>
        <w:t>Aletras</w:t>
      </w:r>
      <w:proofErr w:type="spellEnd"/>
      <w:r w:rsidRPr="00564795">
        <w:rPr>
          <w:rFonts w:ascii="Times New Roman" w:eastAsia="標楷體" w:hAnsi="Times New Roman" w:cs="Times New Roman"/>
          <w:sz w:val="28"/>
          <w:szCs w:val="28"/>
        </w:rPr>
        <w:t xml:space="preserve"> et al., 2016; </w:t>
      </w:r>
      <w:proofErr w:type="spellStart"/>
      <w:r w:rsidRPr="00564795">
        <w:rPr>
          <w:rFonts w:ascii="Times New Roman" w:eastAsia="標楷體" w:hAnsi="Times New Roman" w:cs="Times New Roman"/>
          <w:sz w:val="28"/>
          <w:szCs w:val="28"/>
        </w:rPr>
        <w:t>Surdeanu</w:t>
      </w:r>
      <w:proofErr w:type="spellEnd"/>
      <w:r w:rsidRPr="00564795">
        <w:rPr>
          <w:rFonts w:ascii="Times New Roman" w:eastAsia="標楷體" w:hAnsi="Times New Roman" w:cs="Times New Roman"/>
          <w:sz w:val="28"/>
          <w:szCs w:val="28"/>
        </w:rPr>
        <w:t xml:space="preserve"> et al., 2011</w:t>
      </w:r>
      <w:r w:rsidRPr="00564795">
        <w:rPr>
          <w:rFonts w:ascii="Times New Roman" w:eastAsia="標楷體" w:hAnsi="Times New Roman" w:cs="Times New Roman"/>
          <w:sz w:val="28"/>
          <w:szCs w:val="28"/>
        </w:rPr>
        <w:t>）。然而，法律判決預測並不限於二元分類，也包含法條預測、罪名預測、刑期預測、多標籤分類與多任務學習等形式（</w:t>
      </w:r>
      <w:r w:rsidRPr="00564795">
        <w:rPr>
          <w:rFonts w:ascii="Times New Roman" w:eastAsia="標楷體" w:hAnsi="Times New Roman" w:cs="Times New Roman"/>
          <w:sz w:val="28"/>
          <w:szCs w:val="28"/>
        </w:rPr>
        <w:t>Chalkidis et al., 2019; Feng et al., 2022; Yang et al., 2022</w:t>
      </w:r>
      <w:r w:rsidRPr="00564795">
        <w:rPr>
          <w:rFonts w:ascii="Times New Roman" w:eastAsia="標楷體" w:hAnsi="Times New Roman" w:cs="Times New Roman"/>
          <w:sz w:val="28"/>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6456271A"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在智慧財產權判決文本中，部分勝訴與勝訴等類別通常樣本數較少，且其文字特徵可能與敗訴類別高度重疊。若僅觀察整體</w:t>
      </w:r>
      <w:r w:rsidRPr="00564795">
        <w:rPr>
          <w:rFonts w:ascii="Times New Roman" w:eastAsia="標楷體" w:hAnsi="Times New Roman" w:cs="Times New Roman"/>
          <w:sz w:val="28"/>
          <w:szCs w:val="28"/>
        </w:rPr>
        <w:t xml:space="preserve"> Accuracy</w:t>
      </w:r>
      <w:r w:rsidRPr="00564795">
        <w:rPr>
          <w:rFonts w:ascii="Times New Roman" w:eastAsia="標楷體" w:hAnsi="Times New Roman" w:cs="Times New Roman"/>
          <w:sz w:val="28"/>
          <w:szCs w:val="28"/>
        </w:rPr>
        <w:t>，模型可能因偏向預測多數類別而取</w:t>
      </w:r>
      <w:r w:rsidRPr="00564795">
        <w:rPr>
          <w:rFonts w:ascii="Times New Roman" w:eastAsia="標楷體" w:hAnsi="Times New Roman" w:cs="Times New Roman"/>
          <w:sz w:val="28"/>
          <w:szCs w:val="28"/>
        </w:rPr>
        <w:lastRenderedPageBreak/>
        <w:t>得較高分數，卻無法充分反映少數類別之辨識困難。因此，本研究以</w:t>
      </w:r>
      <w:r w:rsidRPr="00564795">
        <w:rPr>
          <w:rFonts w:ascii="Times New Roman" w:eastAsia="標楷體" w:hAnsi="Times New Roman" w:cs="Times New Roman"/>
          <w:sz w:val="28"/>
          <w:szCs w:val="28"/>
        </w:rPr>
        <w:t xml:space="preserve"> Macro F1 </w:t>
      </w:r>
      <w:r w:rsidRPr="00564795">
        <w:rPr>
          <w:rFonts w:ascii="Times New Roman" w:eastAsia="標楷體" w:hAnsi="Times New Roman" w:cs="Times New Roman"/>
          <w:sz w:val="28"/>
          <w:szCs w:val="28"/>
        </w:rPr>
        <w:t>作為主要評估指標，並輔以分類報告與混淆矩陣，檢視模型是否真正能辨識不同裁判結果，而非僅依賴多數類別分布取得表面上的分類效果。</w:t>
      </w:r>
    </w:p>
    <w:p w14:paraId="5826F4D9"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在方法設計上，本研究不以單一複雜模型為唯一依據，而是比較兩條具代表性的文字分類流程。第一條為</w:t>
      </w:r>
      <w:r w:rsidRPr="00564795">
        <w:rPr>
          <w:rFonts w:ascii="Times New Roman" w:eastAsia="標楷體" w:hAnsi="Times New Roman" w:cs="Times New Roman"/>
          <w:sz w:val="28"/>
          <w:szCs w:val="28"/>
        </w:rPr>
        <w:t xml:space="preserve"> Chi-square + MNIR + SVM</w:t>
      </w:r>
      <w:r w:rsidRPr="00564795">
        <w:rPr>
          <w:rFonts w:ascii="Times New Roman" w:eastAsia="標楷體" w:hAnsi="Times New Roman" w:cs="Times New Roman"/>
          <w:sz w:val="28"/>
          <w:szCs w:val="28"/>
        </w:rPr>
        <w:t>，亦即先以卡方統計量進行特徵選擇，再透過</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進行監督式特徵轉換，最後以</w:t>
      </w:r>
      <w:r w:rsidRPr="00564795">
        <w:rPr>
          <w:rFonts w:ascii="Times New Roman" w:eastAsia="標楷體" w:hAnsi="Times New Roman" w:cs="Times New Roman"/>
          <w:sz w:val="28"/>
          <w:szCs w:val="28"/>
        </w:rPr>
        <w:t xml:space="preserve"> SVM </w:t>
      </w:r>
      <w:r w:rsidRPr="00564795">
        <w:rPr>
          <w:rFonts w:ascii="Times New Roman" w:eastAsia="標楷體" w:hAnsi="Times New Roman" w:cs="Times New Roman"/>
          <w:sz w:val="28"/>
          <w:szCs w:val="28"/>
        </w:rPr>
        <w:t>進行分類；第二條為</w:t>
      </w:r>
      <w:r w:rsidRPr="00564795">
        <w:rPr>
          <w:rFonts w:ascii="Times New Roman" w:eastAsia="標楷體" w:hAnsi="Times New Roman" w:cs="Times New Roman"/>
          <w:sz w:val="28"/>
          <w:szCs w:val="28"/>
        </w:rPr>
        <w:t xml:space="preserve"> Chi-square + Direct SVM</w:t>
      </w:r>
      <w:r w:rsidRPr="00564795">
        <w:rPr>
          <w:rFonts w:ascii="Times New Roman" w:eastAsia="標楷體" w:hAnsi="Times New Roman" w:cs="Times New Roman"/>
          <w:sz w:val="28"/>
          <w:szCs w:val="28"/>
        </w:rPr>
        <w:t>，亦即不經</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轉換，直接以卡方篩選後之稀疏文字特徵訓練</w:t>
      </w:r>
      <w:r w:rsidRPr="00564795">
        <w:rPr>
          <w:rFonts w:ascii="Times New Roman" w:eastAsia="標楷體" w:hAnsi="Times New Roman" w:cs="Times New Roman"/>
          <w:sz w:val="28"/>
          <w:szCs w:val="28"/>
        </w:rPr>
        <w:t xml:space="preserve"> SVM</w:t>
      </w:r>
      <w:r w:rsidRPr="00564795">
        <w:rPr>
          <w:rFonts w:ascii="Times New Roman" w:eastAsia="標楷體" w:hAnsi="Times New Roman" w:cs="Times New Roman"/>
          <w:sz w:val="28"/>
          <w:szCs w:val="28"/>
        </w:rPr>
        <w:t>。透過此一設計，本研究可檢驗</w:t>
      </w:r>
      <w:r w:rsidRPr="00564795">
        <w:rPr>
          <w:rFonts w:ascii="Times New Roman" w:eastAsia="標楷體" w:hAnsi="Times New Roman" w:cs="Times New Roman"/>
          <w:sz w:val="28"/>
          <w:szCs w:val="28"/>
        </w:rPr>
        <w:t xml:space="preserve"> MNIR </w:t>
      </w:r>
      <w:r w:rsidRPr="00564795">
        <w:rPr>
          <w:rFonts w:ascii="Times New Roman" w:eastAsia="標楷體" w:hAnsi="Times New Roman" w:cs="Times New Roman"/>
          <w:sz w:val="28"/>
          <w:szCs w:val="28"/>
        </w:rPr>
        <w:t>特徵轉換是否能在卡方特徵選擇後進一步提升分類表現，同時也能評估傳統稀疏文字特徵模型在中文智慧財產權判決分類任務中的基準價值。</w:t>
      </w:r>
    </w:p>
    <w:p w14:paraId="698C11F4" w14:textId="77777777" w:rsidR="00564795" w:rsidRPr="00564795" w:rsidRDefault="00564795" w:rsidP="00564795">
      <w:pPr>
        <w:outlineLvl w:val="0"/>
        <w:rPr>
          <w:rFonts w:ascii="Times New Roman" w:eastAsia="標楷體" w:hAnsi="Times New Roman" w:cs="Times New Roman"/>
          <w:sz w:val="28"/>
          <w:szCs w:val="28"/>
        </w:rPr>
      </w:pPr>
      <w:r w:rsidRPr="00564795">
        <w:rPr>
          <w:rFonts w:ascii="Times New Roman" w:eastAsia="標楷體" w:hAnsi="Times New Roman" w:cs="Times New Roman"/>
          <w:sz w:val="28"/>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0499C1CD" w14:textId="26DBF179" w:rsidR="008613E4" w:rsidRPr="00F1382A" w:rsidRDefault="00CC5EA4" w:rsidP="00564795">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9AC82CF" w14:textId="77777777"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0A22EE8F" w14:textId="77777777"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79268FA1" w14:textId="77777777"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73F2EF3D"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6E1F1A04"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478B43A"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FC95695"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64A9776"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73F2EF3D"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6E1F1A04"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4478B43A"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4FC95695"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264A9776" w14:textId="77777777"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57610FB8" w14:textId="77777777" w:rsidR="002C6512" w:rsidRDefault="002C6512" w:rsidP="008613E4">
      <w:pPr>
        <w:outlineLvl w:val="0"/>
        <w:rPr>
          <w:rFonts w:ascii="Times New Roman" w:eastAsia="標楷體" w:hAnsi="Times New Roman" w:cs="Times New Roman"/>
          <w:sz w:val="28"/>
          <w:szCs w:val="28"/>
        </w:rPr>
      </w:pPr>
    </w:p>
    <w:p w14:paraId="41A4E5FA" w14:textId="77777777" w:rsidR="002C6512" w:rsidRDefault="002C6512" w:rsidP="008613E4">
      <w:pPr>
        <w:outlineLvl w:val="0"/>
        <w:rPr>
          <w:rFonts w:ascii="Times New Roman" w:eastAsia="標楷體" w:hAnsi="Times New Roman" w:cs="Times New Roman"/>
          <w:sz w:val="28"/>
          <w:szCs w:val="28"/>
        </w:rPr>
      </w:pPr>
    </w:p>
    <w:p w14:paraId="6E178361" w14:textId="77777777" w:rsidR="002C6512" w:rsidRDefault="002C6512" w:rsidP="008613E4">
      <w:pPr>
        <w:outlineLvl w:val="0"/>
        <w:rPr>
          <w:rFonts w:ascii="Times New Roman" w:eastAsia="標楷體" w:hAnsi="Times New Roman" w:cs="Times New Roman"/>
          <w:sz w:val="28"/>
          <w:szCs w:val="28"/>
        </w:rPr>
      </w:pPr>
    </w:p>
    <w:p w14:paraId="17181F18" w14:textId="77777777" w:rsidR="002C6512" w:rsidRDefault="002C6512" w:rsidP="008613E4">
      <w:pPr>
        <w:outlineLvl w:val="0"/>
        <w:rPr>
          <w:rFonts w:ascii="Times New Roman" w:eastAsia="標楷體" w:hAnsi="Times New Roman" w:cs="Times New Roman"/>
          <w:sz w:val="28"/>
          <w:szCs w:val="28"/>
        </w:rPr>
      </w:pPr>
    </w:p>
    <w:p w14:paraId="136DA321" w14:textId="77777777" w:rsidR="00B9506F" w:rsidRPr="00E53D0F" w:rsidRDefault="00B9506F" w:rsidP="00E53D0F">
      <w:pPr>
        <w:outlineLvl w:val="0"/>
        <w:rPr>
          <w:rFonts w:ascii="Times New Roman" w:eastAsia="標楷體" w:hAnsi="Times New Roman" w:cs="Times New Roman"/>
          <w:sz w:val="28"/>
          <w:szCs w:val="28"/>
        </w:rPr>
      </w:pPr>
    </w:p>
    <w:p w14:paraId="7017E06F" w14:textId="77777777"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5F09EC0C" w14:textId="77777777"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AB16D97" w14:textId="77777777"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23C5FC8B" w14:textId="77777777"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7D762D4B" w14:textId="77777777"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39B49D6B" w14:textId="77777777"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6107DF6C"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06130C01" w14:textId="77777777"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23C026B5" w14:textId="77777777"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1D99A4E7" w14:textId="7777777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2A57FFC5" w14:textId="77777777"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CFBF7D8" w14:textId="77777777"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395FD3B0" w14:textId="77777777"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2C48E5F3" w14:textId="77777777"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03AA5B0C" w14:textId="77777777"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39737E94" w14:textId="77777777"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1ECBB57B"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7FDEEA1"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33B839C8" w14:textId="77777777"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3D8D7656" w14:textId="777777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701A26C"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14C0F9A1" w14:textId="77777777"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4A355AA6" w14:textId="77777777"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7BE35EE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5CBBD001" w14:textId="77777777"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2C27905B" w14:textId="77777777"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04D9AC4F" w14:textId="77777777"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DB3FD7C"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D104D05" w14:textId="77777777"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2567A3E4"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4072B09"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36B27100" w14:textId="77777777" w:rsidTr="00AB194A">
        <w:trPr>
          <w:jc w:val="center"/>
        </w:trPr>
        <w:tc>
          <w:tcPr>
            <w:tcW w:w="5228" w:type="dxa"/>
          </w:tcPr>
          <w:p w14:paraId="720ABD8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2114D16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0C2779F0" w14:textId="77777777" w:rsidTr="00AB194A">
        <w:trPr>
          <w:jc w:val="center"/>
        </w:trPr>
        <w:tc>
          <w:tcPr>
            <w:tcW w:w="5228" w:type="dxa"/>
          </w:tcPr>
          <w:p w14:paraId="76A5EE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6B22AF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0A72BDFE" w14:textId="77777777" w:rsidTr="00AB194A">
        <w:trPr>
          <w:jc w:val="center"/>
        </w:trPr>
        <w:tc>
          <w:tcPr>
            <w:tcW w:w="5228" w:type="dxa"/>
          </w:tcPr>
          <w:p w14:paraId="617D99B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2A7FF8A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37E6F7C8" w14:textId="77777777" w:rsidTr="00AB194A">
        <w:trPr>
          <w:jc w:val="center"/>
        </w:trPr>
        <w:tc>
          <w:tcPr>
            <w:tcW w:w="5228" w:type="dxa"/>
          </w:tcPr>
          <w:p w14:paraId="6EEF69E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71BE98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3E791E33" w14:textId="77777777" w:rsidTr="00AB194A">
        <w:trPr>
          <w:jc w:val="center"/>
        </w:trPr>
        <w:tc>
          <w:tcPr>
            <w:tcW w:w="5228" w:type="dxa"/>
          </w:tcPr>
          <w:p w14:paraId="32BC73B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02B03F4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732EC80F" w14:textId="77777777" w:rsidTr="00AB194A">
        <w:trPr>
          <w:jc w:val="center"/>
        </w:trPr>
        <w:tc>
          <w:tcPr>
            <w:tcW w:w="5228" w:type="dxa"/>
          </w:tcPr>
          <w:p w14:paraId="478871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58709C73"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36376520" w14:textId="77777777" w:rsidTr="00AB194A">
        <w:trPr>
          <w:jc w:val="center"/>
        </w:trPr>
        <w:tc>
          <w:tcPr>
            <w:tcW w:w="5228" w:type="dxa"/>
          </w:tcPr>
          <w:p w14:paraId="64BDD0F2"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6105CA86"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40C2DDF5" w14:textId="77777777" w:rsidTr="00AB194A">
        <w:trPr>
          <w:trHeight w:val="212"/>
          <w:jc w:val="center"/>
        </w:trPr>
        <w:tc>
          <w:tcPr>
            <w:tcW w:w="5228" w:type="dxa"/>
          </w:tcPr>
          <w:p w14:paraId="062F4C6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5F93B63B"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71095FB5" w14:textId="77777777" w:rsidTr="00AB194A">
        <w:trPr>
          <w:trHeight w:val="322"/>
          <w:jc w:val="center"/>
        </w:trPr>
        <w:tc>
          <w:tcPr>
            <w:tcW w:w="5228" w:type="dxa"/>
          </w:tcPr>
          <w:p w14:paraId="0EC9E8C2"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72F30B6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0FA9952C" w14:textId="77777777" w:rsidR="00B66EDF" w:rsidRPr="00772559" w:rsidRDefault="00B66EDF" w:rsidP="00B66EDF">
      <w:pPr>
        <w:outlineLvl w:val="0"/>
        <w:rPr>
          <w:rFonts w:ascii="Times New Roman" w:eastAsia="標楷體" w:hAnsi="Times New Roman" w:cs="Times New Roman"/>
          <w:sz w:val="28"/>
          <w:szCs w:val="28"/>
        </w:rPr>
      </w:pPr>
    </w:p>
    <w:p w14:paraId="77CC7A8B"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7A862439"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0728971F"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3B3A2FD8" w14:textId="77777777"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24A320F" w14:textId="77777777"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336F32F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4C029BB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B1DD7D0"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62ED0FD7" w14:textId="77777777"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3B859DAC"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0A5E36B9" w14:textId="77777777" w:rsidTr="00AB194A">
        <w:trPr>
          <w:jc w:val="center"/>
        </w:trPr>
        <w:tc>
          <w:tcPr>
            <w:tcW w:w="2077" w:type="dxa"/>
            <w:vAlign w:val="center"/>
          </w:tcPr>
          <w:p w14:paraId="0FFE9EE9" w14:textId="77777777" w:rsidR="00B66EDF" w:rsidRPr="00204DC5" w:rsidRDefault="00B66EDF" w:rsidP="00AB194A">
            <w:pPr>
              <w:jc w:val="center"/>
              <w:outlineLvl w:val="0"/>
            </w:pPr>
            <w:r w:rsidRPr="0098108F">
              <w:t>資料集</w:t>
            </w:r>
          </w:p>
        </w:tc>
        <w:tc>
          <w:tcPr>
            <w:tcW w:w="2137" w:type="dxa"/>
            <w:vAlign w:val="center"/>
          </w:tcPr>
          <w:p w14:paraId="362318CD" w14:textId="77777777" w:rsidR="00B66EDF" w:rsidRPr="0098108F" w:rsidRDefault="00B66EDF" w:rsidP="00AB194A">
            <w:pPr>
              <w:jc w:val="center"/>
              <w:outlineLvl w:val="0"/>
            </w:pPr>
            <w:r w:rsidRPr="0098108F">
              <w:t>Lose</w:t>
            </w:r>
          </w:p>
        </w:tc>
        <w:tc>
          <w:tcPr>
            <w:tcW w:w="2117" w:type="dxa"/>
            <w:vAlign w:val="center"/>
          </w:tcPr>
          <w:p w14:paraId="7B7B473C" w14:textId="77777777" w:rsidR="00B66EDF" w:rsidRPr="0098108F" w:rsidRDefault="00B66EDF" w:rsidP="00AB194A">
            <w:pPr>
              <w:jc w:val="center"/>
              <w:outlineLvl w:val="0"/>
            </w:pPr>
            <w:r w:rsidRPr="0098108F">
              <w:t>Mixed</w:t>
            </w:r>
          </w:p>
        </w:tc>
        <w:tc>
          <w:tcPr>
            <w:tcW w:w="2097" w:type="dxa"/>
            <w:vAlign w:val="center"/>
          </w:tcPr>
          <w:p w14:paraId="4368D609" w14:textId="77777777" w:rsidR="00B66EDF" w:rsidRPr="0098108F" w:rsidRDefault="00B66EDF" w:rsidP="00AB194A">
            <w:pPr>
              <w:jc w:val="center"/>
              <w:outlineLvl w:val="0"/>
            </w:pPr>
            <w:r w:rsidRPr="0098108F">
              <w:t>Win</w:t>
            </w:r>
          </w:p>
        </w:tc>
        <w:tc>
          <w:tcPr>
            <w:tcW w:w="2038" w:type="dxa"/>
            <w:vAlign w:val="center"/>
          </w:tcPr>
          <w:p w14:paraId="27E8003F" w14:textId="77777777" w:rsidR="00B66EDF" w:rsidRPr="0098108F" w:rsidRDefault="00B66EDF" w:rsidP="00AB194A">
            <w:pPr>
              <w:jc w:val="center"/>
              <w:outlineLvl w:val="0"/>
            </w:pPr>
            <w:r w:rsidRPr="0098108F">
              <w:t>合計</w:t>
            </w:r>
          </w:p>
        </w:tc>
      </w:tr>
      <w:tr w:rsidR="00B66EDF" w14:paraId="6603750F" w14:textId="77777777" w:rsidTr="00AB194A">
        <w:trPr>
          <w:jc w:val="center"/>
        </w:trPr>
        <w:tc>
          <w:tcPr>
            <w:tcW w:w="2077" w:type="dxa"/>
            <w:vAlign w:val="center"/>
          </w:tcPr>
          <w:p w14:paraId="5B6615C5" w14:textId="77777777" w:rsidR="00B66EDF" w:rsidRPr="00204DC5" w:rsidRDefault="00B66EDF" w:rsidP="00AB194A">
            <w:pPr>
              <w:jc w:val="center"/>
              <w:outlineLvl w:val="0"/>
            </w:pPr>
            <w:r>
              <w:rPr>
                <w:sz w:val="18"/>
              </w:rPr>
              <w:t>行政</w:t>
            </w:r>
          </w:p>
        </w:tc>
        <w:tc>
          <w:tcPr>
            <w:tcW w:w="2137" w:type="dxa"/>
            <w:vAlign w:val="center"/>
          </w:tcPr>
          <w:p w14:paraId="765E1A1A" w14:textId="77777777" w:rsidR="00B66EDF" w:rsidRPr="00204DC5" w:rsidRDefault="00B66EDF" w:rsidP="00AB194A">
            <w:pPr>
              <w:jc w:val="center"/>
              <w:outlineLvl w:val="0"/>
            </w:pPr>
            <w:r>
              <w:rPr>
                <w:sz w:val="18"/>
              </w:rPr>
              <w:t>10106</w:t>
            </w:r>
          </w:p>
        </w:tc>
        <w:tc>
          <w:tcPr>
            <w:tcW w:w="2117" w:type="dxa"/>
            <w:vAlign w:val="center"/>
          </w:tcPr>
          <w:p w14:paraId="131C5B19" w14:textId="77777777" w:rsidR="00B66EDF" w:rsidRPr="00204DC5" w:rsidRDefault="00B66EDF" w:rsidP="00AB194A">
            <w:pPr>
              <w:jc w:val="center"/>
              <w:outlineLvl w:val="0"/>
            </w:pPr>
            <w:r>
              <w:rPr>
                <w:sz w:val="18"/>
              </w:rPr>
              <w:t>502</w:t>
            </w:r>
          </w:p>
        </w:tc>
        <w:tc>
          <w:tcPr>
            <w:tcW w:w="2097" w:type="dxa"/>
            <w:vAlign w:val="center"/>
          </w:tcPr>
          <w:p w14:paraId="41DF871A" w14:textId="77777777" w:rsidR="00B66EDF" w:rsidRPr="00204DC5" w:rsidRDefault="00B66EDF" w:rsidP="00AB194A">
            <w:pPr>
              <w:jc w:val="center"/>
              <w:outlineLvl w:val="0"/>
            </w:pPr>
            <w:r>
              <w:rPr>
                <w:sz w:val="18"/>
              </w:rPr>
              <w:t>911</w:t>
            </w:r>
          </w:p>
        </w:tc>
        <w:tc>
          <w:tcPr>
            <w:tcW w:w="2038" w:type="dxa"/>
            <w:vAlign w:val="center"/>
          </w:tcPr>
          <w:p w14:paraId="374ED30D" w14:textId="77777777" w:rsidR="00B66EDF" w:rsidRPr="00204DC5" w:rsidRDefault="00B66EDF" w:rsidP="00AB194A">
            <w:pPr>
              <w:jc w:val="center"/>
              <w:outlineLvl w:val="0"/>
            </w:pPr>
            <w:r>
              <w:rPr>
                <w:sz w:val="18"/>
              </w:rPr>
              <w:t>11519</w:t>
            </w:r>
          </w:p>
        </w:tc>
      </w:tr>
      <w:tr w:rsidR="00B66EDF" w14:paraId="577D5465" w14:textId="77777777" w:rsidTr="00AB194A">
        <w:trPr>
          <w:jc w:val="center"/>
        </w:trPr>
        <w:tc>
          <w:tcPr>
            <w:tcW w:w="2077" w:type="dxa"/>
            <w:vAlign w:val="center"/>
          </w:tcPr>
          <w:p w14:paraId="2DAEAA66" w14:textId="77777777" w:rsidR="00B66EDF" w:rsidRPr="00204DC5" w:rsidRDefault="00B66EDF" w:rsidP="00AB194A">
            <w:pPr>
              <w:jc w:val="center"/>
              <w:outlineLvl w:val="0"/>
            </w:pPr>
            <w:r>
              <w:rPr>
                <w:sz w:val="18"/>
              </w:rPr>
              <w:t>民事</w:t>
            </w:r>
          </w:p>
        </w:tc>
        <w:tc>
          <w:tcPr>
            <w:tcW w:w="2137" w:type="dxa"/>
            <w:vAlign w:val="center"/>
          </w:tcPr>
          <w:p w14:paraId="20CBDEC0" w14:textId="77777777" w:rsidR="00B66EDF" w:rsidRPr="00204DC5" w:rsidRDefault="00B66EDF" w:rsidP="00AB194A">
            <w:pPr>
              <w:jc w:val="center"/>
              <w:outlineLvl w:val="0"/>
            </w:pPr>
            <w:r>
              <w:rPr>
                <w:sz w:val="18"/>
              </w:rPr>
              <w:t>3887</w:t>
            </w:r>
          </w:p>
        </w:tc>
        <w:tc>
          <w:tcPr>
            <w:tcW w:w="2117" w:type="dxa"/>
            <w:vAlign w:val="center"/>
          </w:tcPr>
          <w:p w14:paraId="482D4178" w14:textId="77777777" w:rsidR="00B66EDF" w:rsidRPr="00204DC5" w:rsidRDefault="00B66EDF" w:rsidP="00AB194A">
            <w:pPr>
              <w:jc w:val="center"/>
              <w:outlineLvl w:val="0"/>
            </w:pPr>
            <w:r>
              <w:rPr>
                <w:sz w:val="18"/>
              </w:rPr>
              <w:t>1408</w:t>
            </w:r>
          </w:p>
        </w:tc>
        <w:tc>
          <w:tcPr>
            <w:tcW w:w="2097" w:type="dxa"/>
            <w:vAlign w:val="center"/>
          </w:tcPr>
          <w:p w14:paraId="0B356AA5" w14:textId="77777777" w:rsidR="00B66EDF" w:rsidRPr="00204DC5" w:rsidRDefault="00B66EDF" w:rsidP="00AB194A">
            <w:pPr>
              <w:jc w:val="center"/>
              <w:outlineLvl w:val="0"/>
            </w:pPr>
            <w:r>
              <w:rPr>
                <w:sz w:val="18"/>
              </w:rPr>
              <w:t>435</w:t>
            </w:r>
          </w:p>
        </w:tc>
        <w:tc>
          <w:tcPr>
            <w:tcW w:w="2038" w:type="dxa"/>
            <w:vAlign w:val="center"/>
          </w:tcPr>
          <w:p w14:paraId="1B48EB73" w14:textId="77777777" w:rsidR="00B66EDF" w:rsidRPr="00204DC5" w:rsidRDefault="00B66EDF" w:rsidP="00AB194A">
            <w:pPr>
              <w:jc w:val="center"/>
              <w:outlineLvl w:val="0"/>
            </w:pPr>
            <w:r>
              <w:rPr>
                <w:sz w:val="18"/>
              </w:rPr>
              <w:t>5730</w:t>
            </w:r>
          </w:p>
        </w:tc>
      </w:tr>
      <w:tr w:rsidR="00B66EDF" w14:paraId="6A5B5976" w14:textId="77777777" w:rsidTr="00AB194A">
        <w:trPr>
          <w:jc w:val="center"/>
        </w:trPr>
        <w:tc>
          <w:tcPr>
            <w:tcW w:w="2077" w:type="dxa"/>
            <w:vAlign w:val="center"/>
          </w:tcPr>
          <w:p w14:paraId="7E1B9AAD" w14:textId="77777777" w:rsidR="00B66EDF" w:rsidRPr="00204DC5" w:rsidRDefault="00B66EDF" w:rsidP="00AB194A">
            <w:pPr>
              <w:jc w:val="center"/>
              <w:outlineLvl w:val="0"/>
            </w:pPr>
            <w:r>
              <w:rPr>
                <w:sz w:val="18"/>
              </w:rPr>
              <w:t>刑事</w:t>
            </w:r>
          </w:p>
        </w:tc>
        <w:tc>
          <w:tcPr>
            <w:tcW w:w="2137" w:type="dxa"/>
            <w:vAlign w:val="center"/>
          </w:tcPr>
          <w:p w14:paraId="0409E5F3" w14:textId="77777777" w:rsidR="00B66EDF" w:rsidRPr="00204DC5" w:rsidRDefault="00B66EDF" w:rsidP="00AB194A">
            <w:pPr>
              <w:jc w:val="center"/>
              <w:outlineLvl w:val="0"/>
            </w:pPr>
            <w:r>
              <w:rPr>
                <w:sz w:val="18"/>
              </w:rPr>
              <w:t>24552</w:t>
            </w:r>
          </w:p>
        </w:tc>
        <w:tc>
          <w:tcPr>
            <w:tcW w:w="2117" w:type="dxa"/>
            <w:vAlign w:val="center"/>
          </w:tcPr>
          <w:p w14:paraId="0AC73B93" w14:textId="77777777" w:rsidR="00B66EDF" w:rsidRPr="00204DC5" w:rsidRDefault="00B66EDF" w:rsidP="00AB194A">
            <w:pPr>
              <w:jc w:val="center"/>
              <w:outlineLvl w:val="0"/>
            </w:pPr>
            <w:r>
              <w:rPr>
                <w:sz w:val="18"/>
              </w:rPr>
              <w:t>80</w:t>
            </w:r>
          </w:p>
        </w:tc>
        <w:tc>
          <w:tcPr>
            <w:tcW w:w="2097" w:type="dxa"/>
            <w:vAlign w:val="center"/>
          </w:tcPr>
          <w:p w14:paraId="184534E5" w14:textId="77777777" w:rsidR="00B66EDF" w:rsidRPr="00204DC5" w:rsidRDefault="00B66EDF" w:rsidP="00AB194A">
            <w:pPr>
              <w:jc w:val="center"/>
              <w:outlineLvl w:val="0"/>
            </w:pPr>
            <w:r>
              <w:rPr>
                <w:sz w:val="18"/>
              </w:rPr>
              <w:t>1636</w:t>
            </w:r>
          </w:p>
        </w:tc>
        <w:tc>
          <w:tcPr>
            <w:tcW w:w="2038" w:type="dxa"/>
            <w:vAlign w:val="center"/>
          </w:tcPr>
          <w:p w14:paraId="320AFB67" w14:textId="77777777" w:rsidR="00B66EDF" w:rsidRPr="00204DC5" w:rsidRDefault="00B66EDF" w:rsidP="00AB194A">
            <w:pPr>
              <w:jc w:val="center"/>
              <w:outlineLvl w:val="0"/>
            </w:pPr>
            <w:r>
              <w:rPr>
                <w:sz w:val="18"/>
              </w:rPr>
              <w:t>26268</w:t>
            </w:r>
          </w:p>
        </w:tc>
      </w:tr>
      <w:tr w:rsidR="00B66EDF" w14:paraId="5870E748" w14:textId="77777777" w:rsidTr="00AB194A">
        <w:trPr>
          <w:jc w:val="center"/>
        </w:trPr>
        <w:tc>
          <w:tcPr>
            <w:tcW w:w="2077" w:type="dxa"/>
            <w:vAlign w:val="center"/>
          </w:tcPr>
          <w:p w14:paraId="4D83E2CD" w14:textId="77777777" w:rsidR="00B66EDF" w:rsidRPr="00204DC5" w:rsidRDefault="00B66EDF" w:rsidP="00AB194A">
            <w:pPr>
              <w:jc w:val="center"/>
              <w:outlineLvl w:val="0"/>
            </w:pPr>
            <w:r>
              <w:rPr>
                <w:sz w:val="18"/>
              </w:rPr>
              <w:t>刑事附帶民事</w:t>
            </w:r>
          </w:p>
        </w:tc>
        <w:tc>
          <w:tcPr>
            <w:tcW w:w="2137" w:type="dxa"/>
            <w:vAlign w:val="center"/>
          </w:tcPr>
          <w:p w14:paraId="57A0B1A1" w14:textId="77777777" w:rsidR="00B66EDF" w:rsidRPr="00204DC5" w:rsidRDefault="00B66EDF" w:rsidP="00AB194A">
            <w:pPr>
              <w:jc w:val="center"/>
              <w:outlineLvl w:val="0"/>
            </w:pPr>
            <w:r>
              <w:rPr>
                <w:sz w:val="18"/>
              </w:rPr>
              <w:t>748</w:t>
            </w:r>
          </w:p>
        </w:tc>
        <w:tc>
          <w:tcPr>
            <w:tcW w:w="2117" w:type="dxa"/>
            <w:vAlign w:val="center"/>
          </w:tcPr>
          <w:p w14:paraId="4ACB618D" w14:textId="77777777" w:rsidR="00B66EDF" w:rsidRPr="00204DC5" w:rsidRDefault="00B66EDF" w:rsidP="00AB194A">
            <w:pPr>
              <w:jc w:val="center"/>
              <w:outlineLvl w:val="0"/>
            </w:pPr>
            <w:r>
              <w:rPr>
                <w:sz w:val="18"/>
              </w:rPr>
              <w:t>1047</w:t>
            </w:r>
          </w:p>
        </w:tc>
        <w:tc>
          <w:tcPr>
            <w:tcW w:w="2097" w:type="dxa"/>
            <w:vAlign w:val="center"/>
          </w:tcPr>
          <w:p w14:paraId="776A45EC" w14:textId="77777777" w:rsidR="00B66EDF" w:rsidRPr="00204DC5" w:rsidRDefault="00B66EDF" w:rsidP="00AB194A">
            <w:pPr>
              <w:jc w:val="center"/>
              <w:outlineLvl w:val="0"/>
            </w:pPr>
            <w:r>
              <w:rPr>
                <w:sz w:val="18"/>
              </w:rPr>
              <w:t>32</w:t>
            </w:r>
          </w:p>
        </w:tc>
        <w:tc>
          <w:tcPr>
            <w:tcW w:w="2038" w:type="dxa"/>
            <w:vAlign w:val="center"/>
          </w:tcPr>
          <w:p w14:paraId="4309578F" w14:textId="77777777" w:rsidR="00B66EDF" w:rsidRPr="00204DC5" w:rsidRDefault="00B66EDF" w:rsidP="00AB194A">
            <w:pPr>
              <w:jc w:val="center"/>
              <w:outlineLvl w:val="0"/>
            </w:pPr>
            <w:r>
              <w:rPr>
                <w:sz w:val="18"/>
              </w:rPr>
              <w:t>1827</w:t>
            </w:r>
          </w:p>
        </w:tc>
      </w:tr>
      <w:tr w:rsidR="00B66EDF" w14:paraId="2E38A785" w14:textId="77777777" w:rsidTr="00AB194A">
        <w:trPr>
          <w:jc w:val="center"/>
        </w:trPr>
        <w:tc>
          <w:tcPr>
            <w:tcW w:w="2077" w:type="dxa"/>
            <w:vAlign w:val="center"/>
          </w:tcPr>
          <w:p w14:paraId="7E65A94B" w14:textId="77777777" w:rsidR="00B66EDF" w:rsidRPr="00204DC5" w:rsidRDefault="00B66EDF" w:rsidP="00AB194A">
            <w:pPr>
              <w:jc w:val="center"/>
              <w:outlineLvl w:val="0"/>
            </w:pPr>
            <w:r>
              <w:rPr>
                <w:sz w:val="18"/>
              </w:rPr>
              <w:t>合計</w:t>
            </w:r>
          </w:p>
        </w:tc>
        <w:tc>
          <w:tcPr>
            <w:tcW w:w="2137" w:type="dxa"/>
            <w:vAlign w:val="center"/>
          </w:tcPr>
          <w:p w14:paraId="1D1C90EB" w14:textId="77777777" w:rsidR="00B66EDF" w:rsidRPr="00204DC5" w:rsidRDefault="00B66EDF" w:rsidP="00AB194A">
            <w:pPr>
              <w:jc w:val="center"/>
              <w:outlineLvl w:val="0"/>
            </w:pPr>
            <w:r>
              <w:rPr>
                <w:sz w:val="18"/>
              </w:rPr>
              <w:t>39293</w:t>
            </w:r>
          </w:p>
        </w:tc>
        <w:tc>
          <w:tcPr>
            <w:tcW w:w="2117" w:type="dxa"/>
            <w:vAlign w:val="center"/>
          </w:tcPr>
          <w:p w14:paraId="6BF045C9" w14:textId="77777777" w:rsidR="00B66EDF" w:rsidRPr="00204DC5" w:rsidRDefault="00B66EDF" w:rsidP="00AB194A">
            <w:pPr>
              <w:jc w:val="center"/>
              <w:outlineLvl w:val="0"/>
            </w:pPr>
            <w:r>
              <w:rPr>
                <w:sz w:val="18"/>
              </w:rPr>
              <w:t>3037</w:t>
            </w:r>
          </w:p>
        </w:tc>
        <w:tc>
          <w:tcPr>
            <w:tcW w:w="2097" w:type="dxa"/>
            <w:vAlign w:val="center"/>
          </w:tcPr>
          <w:p w14:paraId="7BB2159E" w14:textId="77777777" w:rsidR="00B66EDF" w:rsidRPr="00204DC5" w:rsidRDefault="00B66EDF" w:rsidP="00AB194A">
            <w:pPr>
              <w:jc w:val="center"/>
              <w:outlineLvl w:val="0"/>
            </w:pPr>
            <w:r>
              <w:rPr>
                <w:sz w:val="18"/>
              </w:rPr>
              <w:t>3014</w:t>
            </w:r>
          </w:p>
        </w:tc>
        <w:tc>
          <w:tcPr>
            <w:tcW w:w="2038" w:type="dxa"/>
            <w:vAlign w:val="center"/>
          </w:tcPr>
          <w:p w14:paraId="79F45A49" w14:textId="77777777" w:rsidR="00B66EDF" w:rsidRPr="00204DC5" w:rsidRDefault="00B66EDF" w:rsidP="00AB194A">
            <w:pPr>
              <w:jc w:val="center"/>
              <w:outlineLvl w:val="0"/>
            </w:pPr>
            <w:r>
              <w:rPr>
                <w:sz w:val="18"/>
              </w:rPr>
              <w:t>45344</w:t>
            </w:r>
          </w:p>
        </w:tc>
      </w:tr>
    </w:tbl>
    <w:p w14:paraId="4E7F5CAD" w14:textId="77777777"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24951280" w14:textId="77777777" w:rsidTr="00AB194A">
        <w:trPr>
          <w:jc w:val="center"/>
        </w:trPr>
        <w:tc>
          <w:tcPr>
            <w:tcW w:w="1816" w:type="dxa"/>
            <w:vAlign w:val="bottom"/>
          </w:tcPr>
          <w:p w14:paraId="07133E01" w14:textId="77777777" w:rsidR="00411048" w:rsidRDefault="00411048" w:rsidP="00AB194A">
            <w:pPr>
              <w:jc w:val="center"/>
              <w:outlineLvl w:val="0"/>
              <w:rPr>
                <w:color w:val="000000"/>
                <w:sz w:val="22"/>
                <w:szCs w:val="22"/>
              </w:rPr>
            </w:pPr>
          </w:p>
        </w:tc>
        <w:tc>
          <w:tcPr>
            <w:tcW w:w="1584" w:type="dxa"/>
            <w:vAlign w:val="center"/>
          </w:tcPr>
          <w:p w14:paraId="083E6816"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5D2BBE8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723A07A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3744891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5B4C98F7" w14:textId="77777777" w:rsidR="00411048" w:rsidRDefault="00411048" w:rsidP="00AB194A">
            <w:pPr>
              <w:jc w:val="center"/>
              <w:outlineLvl w:val="0"/>
              <w:rPr>
                <w:color w:val="000000"/>
              </w:rPr>
            </w:pPr>
            <w:r>
              <w:rPr>
                <w:rFonts w:hint="eastAsia"/>
                <w:color w:val="000000"/>
              </w:rPr>
              <w:t>合計</w:t>
            </w:r>
          </w:p>
        </w:tc>
      </w:tr>
      <w:tr w:rsidR="00411048" w14:paraId="01504E8A" w14:textId="77777777" w:rsidTr="00AB194A">
        <w:trPr>
          <w:jc w:val="center"/>
        </w:trPr>
        <w:tc>
          <w:tcPr>
            <w:tcW w:w="1816" w:type="dxa"/>
            <w:vAlign w:val="bottom"/>
          </w:tcPr>
          <w:p w14:paraId="05F379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687650FD"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1E0DDF24"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15362AC4"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5A136E0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366FFD2C" w14:textId="77777777" w:rsidR="00411048" w:rsidRPr="007E50A1" w:rsidRDefault="00411048" w:rsidP="00AB194A">
            <w:pPr>
              <w:jc w:val="center"/>
              <w:outlineLvl w:val="0"/>
            </w:pPr>
            <w:r>
              <w:rPr>
                <w:rFonts w:hint="eastAsia"/>
              </w:rPr>
              <w:t>12</w:t>
            </w:r>
          </w:p>
        </w:tc>
      </w:tr>
      <w:tr w:rsidR="00411048" w14:paraId="29E36386" w14:textId="77777777" w:rsidTr="00AB194A">
        <w:trPr>
          <w:jc w:val="center"/>
        </w:trPr>
        <w:tc>
          <w:tcPr>
            <w:tcW w:w="1816" w:type="dxa"/>
            <w:vAlign w:val="bottom"/>
          </w:tcPr>
          <w:p w14:paraId="00E1B78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6E4ACD79"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46B983F7"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560886B3"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2024776B"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3205F70C" w14:textId="77777777" w:rsidR="00411048" w:rsidRPr="007E50A1" w:rsidRDefault="00411048" w:rsidP="00AB194A">
            <w:pPr>
              <w:jc w:val="center"/>
              <w:outlineLvl w:val="0"/>
            </w:pPr>
            <w:r>
              <w:rPr>
                <w:rFonts w:hint="eastAsia"/>
              </w:rPr>
              <w:t>2091</w:t>
            </w:r>
          </w:p>
        </w:tc>
      </w:tr>
      <w:tr w:rsidR="00411048" w14:paraId="53482468" w14:textId="77777777" w:rsidTr="00AB194A">
        <w:trPr>
          <w:jc w:val="center"/>
        </w:trPr>
        <w:tc>
          <w:tcPr>
            <w:tcW w:w="1816" w:type="dxa"/>
            <w:vAlign w:val="bottom"/>
          </w:tcPr>
          <w:p w14:paraId="136DCF31"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76B25786"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32D4AFE2"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246C42D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684D5F30"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7B49A4E7" w14:textId="77777777" w:rsidR="00411048" w:rsidRPr="007E50A1" w:rsidRDefault="00411048" w:rsidP="00AB194A">
            <w:pPr>
              <w:jc w:val="center"/>
              <w:outlineLvl w:val="0"/>
            </w:pPr>
            <w:r>
              <w:rPr>
                <w:rFonts w:hint="eastAsia"/>
              </w:rPr>
              <w:t>11312</w:t>
            </w:r>
          </w:p>
        </w:tc>
      </w:tr>
      <w:tr w:rsidR="00411048" w14:paraId="549F3E05" w14:textId="77777777" w:rsidTr="00AB194A">
        <w:trPr>
          <w:jc w:val="center"/>
        </w:trPr>
        <w:tc>
          <w:tcPr>
            <w:tcW w:w="1816" w:type="dxa"/>
            <w:vAlign w:val="bottom"/>
          </w:tcPr>
          <w:p w14:paraId="11A9989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32501839"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45BE191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28D5BE7B"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2AF94BD4"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38DEC102" w14:textId="77777777" w:rsidR="00411048" w:rsidRPr="007E50A1" w:rsidRDefault="00411048" w:rsidP="00AB194A">
            <w:pPr>
              <w:jc w:val="center"/>
              <w:outlineLvl w:val="0"/>
            </w:pPr>
            <w:r>
              <w:rPr>
                <w:rFonts w:hint="eastAsia"/>
              </w:rPr>
              <w:t>12674</w:t>
            </w:r>
          </w:p>
        </w:tc>
      </w:tr>
      <w:tr w:rsidR="00411048" w14:paraId="23002625" w14:textId="77777777" w:rsidTr="00AB194A">
        <w:trPr>
          <w:jc w:val="center"/>
        </w:trPr>
        <w:tc>
          <w:tcPr>
            <w:tcW w:w="1816" w:type="dxa"/>
            <w:vAlign w:val="bottom"/>
          </w:tcPr>
          <w:p w14:paraId="7C1B2CE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39970AD0"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7286A680"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32AE6DA5"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68B11134" w14:textId="77777777" w:rsidR="00411048" w:rsidRPr="00D43F38" w:rsidRDefault="00411048" w:rsidP="00AB194A">
            <w:pPr>
              <w:jc w:val="center"/>
              <w:outlineLvl w:val="0"/>
              <w:rPr>
                <w:color w:val="000000"/>
                <w:sz w:val="22"/>
                <w:szCs w:val="22"/>
              </w:rPr>
            </w:pPr>
            <w:r w:rsidRPr="007E50A1">
              <w:t>668</w:t>
            </w:r>
          </w:p>
        </w:tc>
        <w:tc>
          <w:tcPr>
            <w:tcW w:w="1584" w:type="dxa"/>
          </w:tcPr>
          <w:p w14:paraId="6BEDF5EB" w14:textId="77777777" w:rsidR="00411048" w:rsidRPr="007E50A1" w:rsidRDefault="00411048" w:rsidP="00AB194A">
            <w:pPr>
              <w:jc w:val="center"/>
              <w:outlineLvl w:val="0"/>
            </w:pPr>
            <w:r>
              <w:rPr>
                <w:rFonts w:hint="eastAsia"/>
              </w:rPr>
              <w:t>10380</w:t>
            </w:r>
          </w:p>
        </w:tc>
      </w:tr>
      <w:tr w:rsidR="00411048" w14:paraId="557B9751" w14:textId="77777777" w:rsidTr="00AB194A">
        <w:trPr>
          <w:jc w:val="center"/>
        </w:trPr>
        <w:tc>
          <w:tcPr>
            <w:tcW w:w="1816" w:type="dxa"/>
            <w:vAlign w:val="bottom"/>
          </w:tcPr>
          <w:p w14:paraId="57C410F6"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17CB9E10"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797B867A"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12E2FF24"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2962D5A1" w14:textId="77777777" w:rsidR="00411048" w:rsidRPr="00D43F38" w:rsidRDefault="00411048" w:rsidP="00AB194A">
            <w:pPr>
              <w:jc w:val="center"/>
              <w:outlineLvl w:val="0"/>
              <w:rPr>
                <w:color w:val="000000"/>
                <w:sz w:val="22"/>
                <w:szCs w:val="22"/>
              </w:rPr>
            </w:pPr>
            <w:r w:rsidRPr="007E50A1">
              <w:t>632</w:t>
            </w:r>
          </w:p>
        </w:tc>
        <w:tc>
          <w:tcPr>
            <w:tcW w:w="1584" w:type="dxa"/>
          </w:tcPr>
          <w:p w14:paraId="4FAA5B40" w14:textId="77777777" w:rsidR="00411048" w:rsidRPr="007E50A1" w:rsidRDefault="00411048" w:rsidP="00AB194A">
            <w:pPr>
              <w:jc w:val="center"/>
              <w:outlineLvl w:val="0"/>
            </w:pPr>
            <w:r>
              <w:rPr>
                <w:rFonts w:hint="eastAsia"/>
              </w:rPr>
              <w:t>8439</w:t>
            </w:r>
          </w:p>
        </w:tc>
      </w:tr>
    </w:tbl>
    <w:p w14:paraId="0168DBF1" w14:textId="77777777"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CA540A"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5354D5A5" w14:textId="77777777" w:rsidTr="00240C57">
        <w:tc>
          <w:tcPr>
            <w:tcW w:w="1954" w:type="dxa"/>
          </w:tcPr>
          <w:p w14:paraId="2306D2E9" w14:textId="77777777" w:rsidR="00144B2A" w:rsidRDefault="00144B2A" w:rsidP="00144B2A">
            <w:pPr>
              <w:jc w:val="center"/>
              <w:outlineLvl w:val="0"/>
              <w:rPr>
                <w:color w:val="000000"/>
              </w:rPr>
            </w:pPr>
            <w:r w:rsidRPr="00C24DF6">
              <w:rPr>
                <w:rFonts w:hint="eastAsia"/>
              </w:rPr>
              <w:t>年度區間</w:t>
            </w:r>
          </w:p>
        </w:tc>
        <w:tc>
          <w:tcPr>
            <w:tcW w:w="1983" w:type="dxa"/>
          </w:tcPr>
          <w:p w14:paraId="57D5FA5D"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46F2AF71"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741688D" w14:textId="77777777"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84B8581" w14:textId="77777777" w:rsidTr="00AB194A">
        <w:tc>
          <w:tcPr>
            <w:tcW w:w="1954" w:type="dxa"/>
          </w:tcPr>
          <w:p w14:paraId="7894EE69" w14:textId="77777777" w:rsidR="00144B2A" w:rsidRPr="0013551A" w:rsidRDefault="00144B2A" w:rsidP="00144B2A">
            <w:pPr>
              <w:jc w:val="center"/>
              <w:outlineLvl w:val="0"/>
            </w:pPr>
            <w:r w:rsidRPr="00C24DF6">
              <w:t>80-85</w:t>
            </w:r>
          </w:p>
        </w:tc>
        <w:tc>
          <w:tcPr>
            <w:tcW w:w="1983" w:type="dxa"/>
          </w:tcPr>
          <w:p w14:paraId="048B1953" w14:textId="77777777" w:rsidR="00144B2A" w:rsidRPr="0013551A" w:rsidRDefault="00144B2A" w:rsidP="00144B2A">
            <w:pPr>
              <w:jc w:val="center"/>
              <w:outlineLvl w:val="0"/>
            </w:pPr>
            <w:r w:rsidRPr="00C24DF6">
              <w:t>33.3%</w:t>
            </w:r>
          </w:p>
        </w:tc>
        <w:tc>
          <w:tcPr>
            <w:tcW w:w="1983" w:type="dxa"/>
          </w:tcPr>
          <w:p w14:paraId="67573D46" w14:textId="77777777" w:rsidR="00144B2A" w:rsidRPr="0013551A" w:rsidRDefault="00144B2A" w:rsidP="00144B2A">
            <w:pPr>
              <w:jc w:val="center"/>
              <w:outlineLvl w:val="0"/>
            </w:pPr>
            <w:r w:rsidRPr="00C24DF6">
              <w:t>0.0%</w:t>
            </w:r>
          </w:p>
        </w:tc>
        <w:tc>
          <w:tcPr>
            <w:tcW w:w="1955" w:type="dxa"/>
          </w:tcPr>
          <w:p w14:paraId="18D68225" w14:textId="77777777" w:rsidR="00144B2A" w:rsidRPr="0013551A" w:rsidRDefault="00144B2A" w:rsidP="00144B2A">
            <w:pPr>
              <w:jc w:val="center"/>
              <w:outlineLvl w:val="0"/>
            </w:pPr>
            <w:r w:rsidRPr="00C24DF6">
              <w:t>66.7%</w:t>
            </w:r>
          </w:p>
        </w:tc>
      </w:tr>
      <w:tr w:rsidR="00144B2A" w14:paraId="0C760354" w14:textId="77777777" w:rsidTr="00AB194A">
        <w:tc>
          <w:tcPr>
            <w:tcW w:w="1954" w:type="dxa"/>
          </w:tcPr>
          <w:p w14:paraId="044D8B52" w14:textId="77777777" w:rsidR="00144B2A" w:rsidRPr="0013551A" w:rsidRDefault="00144B2A" w:rsidP="00144B2A">
            <w:pPr>
              <w:jc w:val="center"/>
              <w:outlineLvl w:val="0"/>
            </w:pPr>
            <w:r w:rsidRPr="00C24DF6">
              <w:t>86-89</w:t>
            </w:r>
          </w:p>
        </w:tc>
        <w:tc>
          <w:tcPr>
            <w:tcW w:w="1983" w:type="dxa"/>
          </w:tcPr>
          <w:p w14:paraId="2DE67A2B" w14:textId="77777777" w:rsidR="00144B2A" w:rsidRPr="0013551A" w:rsidRDefault="00144B2A" w:rsidP="00144B2A">
            <w:pPr>
              <w:jc w:val="center"/>
              <w:outlineLvl w:val="0"/>
            </w:pPr>
            <w:r w:rsidRPr="00C24DF6">
              <w:t>87.5%</w:t>
            </w:r>
          </w:p>
        </w:tc>
        <w:tc>
          <w:tcPr>
            <w:tcW w:w="1983" w:type="dxa"/>
          </w:tcPr>
          <w:p w14:paraId="7DE991FE" w14:textId="77777777" w:rsidR="00144B2A" w:rsidRPr="0013551A" w:rsidRDefault="00144B2A" w:rsidP="00144B2A">
            <w:pPr>
              <w:jc w:val="center"/>
              <w:outlineLvl w:val="0"/>
            </w:pPr>
            <w:r w:rsidRPr="00C24DF6">
              <w:t>1.2%</w:t>
            </w:r>
          </w:p>
        </w:tc>
        <w:tc>
          <w:tcPr>
            <w:tcW w:w="1955" w:type="dxa"/>
          </w:tcPr>
          <w:p w14:paraId="0492BD54" w14:textId="77777777" w:rsidR="00144B2A" w:rsidRPr="0013551A" w:rsidRDefault="00144B2A" w:rsidP="00144B2A">
            <w:pPr>
              <w:jc w:val="center"/>
              <w:outlineLvl w:val="0"/>
            </w:pPr>
            <w:r w:rsidRPr="00C24DF6">
              <w:t>11.3%</w:t>
            </w:r>
          </w:p>
        </w:tc>
      </w:tr>
      <w:tr w:rsidR="00144B2A" w14:paraId="52B96BC2" w14:textId="77777777" w:rsidTr="00AB194A">
        <w:tc>
          <w:tcPr>
            <w:tcW w:w="1954" w:type="dxa"/>
          </w:tcPr>
          <w:p w14:paraId="266A6FC1" w14:textId="77777777" w:rsidR="00144B2A" w:rsidRPr="0013551A" w:rsidRDefault="00144B2A" w:rsidP="00144B2A">
            <w:pPr>
              <w:jc w:val="center"/>
              <w:outlineLvl w:val="0"/>
            </w:pPr>
            <w:r w:rsidRPr="00C24DF6">
              <w:t>90-95</w:t>
            </w:r>
          </w:p>
        </w:tc>
        <w:tc>
          <w:tcPr>
            <w:tcW w:w="1983" w:type="dxa"/>
          </w:tcPr>
          <w:p w14:paraId="5C4E0877" w14:textId="77777777" w:rsidR="00144B2A" w:rsidRPr="0013551A" w:rsidRDefault="00144B2A" w:rsidP="00144B2A">
            <w:pPr>
              <w:jc w:val="center"/>
              <w:outlineLvl w:val="0"/>
            </w:pPr>
            <w:r w:rsidRPr="00C24DF6">
              <w:t>89.2%</w:t>
            </w:r>
          </w:p>
        </w:tc>
        <w:tc>
          <w:tcPr>
            <w:tcW w:w="1983" w:type="dxa"/>
          </w:tcPr>
          <w:p w14:paraId="38A7B6C4" w14:textId="77777777" w:rsidR="00144B2A" w:rsidRPr="0013551A" w:rsidRDefault="00144B2A" w:rsidP="00144B2A">
            <w:pPr>
              <w:jc w:val="center"/>
              <w:outlineLvl w:val="0"/>
            </w:pPr>
            <w:r w:rsidRPr="00C24DF6">
              <w:t>4.0%</w:t>
            </w:r>
          </w:p>
        </w:tc>
        <w:tc>
          <w:tcPr>
            <w:tcW w:w="1955" w:type="dxa"/>
          </w:tcPr>
          <w:p w14:paraId="151B4882" w14:textId="77777777" w:rsidR="00144B2A" w:rsidRPr="0013551A" w:rsidRDefault="00144B2A" w:rsidP="00144B2A">
            <w:pPr>
              <w:jc w:val="center"/>
              <w:outlineLvl w:val="0"/>
            </w:pPr>
            <w:r w:rsidRPr="00C24DF6">
              <w:t>6.8%</w:t>
            </w:r>
          </w:p>
        </w:tc>
      </w:tr>
      <w:tr w:rsidR="00144B2A" w14:paraId="2934DA5B" w14:textId="77777777" w:rsidTr="00AB194A">
        <w:tc>
          <w:tcPr>
            <w:tcW w:w="1954" w:type="dxa"/>
          </w:tcPr>
          <w:p w14:paraId="2E67C4B9" w14:textId="77777777" w:rsidR="00144B2A" w:rsidRPr="0013551A" w:rsidRDefault="00144B2A" w:rsidP="00144B2A">
            <w:pPr>
              <w:jc w:val="center"/>
              <w:outlineLvl w:val="0"/>
            </w:pPr>
            <w:r w:rsidRPr="00C24DF6">
              <w:t>96-101</w:t>
            </w:r>
          </w:p>
        </w:tc>
        <w:tc>
          <w:tcPr>
            <w:tcW w:w="1983" w:type="dxa"/>
          </w:tcPr>
          <w:p w14:paraId="5DF2BF7A" w14:textId="77777777" w:rsidR="00144B2A" w:rsidRPr="0013551A" w:rsidRDefault="00144B2A" w:rsidP="00144B2A">
            <w:pPr>
              <w:jc w:val="center"/>
              <w:outlineLvl w:val="0"/>
            </w:pPr>
            <w:r w:rsidRPr="00C24DF6">
              <w:t>87.2%</w:t>
            </w:r>
          </w:p>
        </w:tc>
        <w:tc>
          <w:tcPr>
            <w:tcW w:w="1983" w:type="dxa"/>
          </w:tcPr>
          <w:p w14:paraId="44A89618" w14:textId="77777777" w:rsidR="00144B2A" w:rsidRPr="0013551A" w:rsidRDefault="00144B2A" w:rsidP="00144B2A">
            <w:pPr>
              <w:jc w:val="center"/>
              <w:outlineLvl w:val="0"/>
            </w:pPr>
            <w:r w:rsidRPr="00C24DF6">
              <w:t>6.3%</w:t>
            </w:r>
          </w:p>
        </w:tc>
        <w:tc>
          <w:tcPr>
            <w:tcW w:w="1955" w:type="dxa"/>
          </w:tcPr>
          <w:p w14:paraId="1292EA58" w14:textId="77777777" w:rsidR="00144B2A" w:rsidRPr="0013551A" w:rsidRDefault="00144B2A" w:rsidP="00144B2A">
            <w:pPr>
              <w:jc w:val="center"/>
              <w:outlineLvl w:val="0"/>
            </w:pPr>
            <w:r w:rsidRPr="00C24DF6">
              <w:t>6.5%</w:t>
            </w:r>
          </w:p>
        </w:tc>
      </w:tr>
      <w:tr w:rsidR="00144B2A" w14:paraId="5477D348" w14:textId="77777777" w:rsidTr="00AB194A">
        <w:tc>
          <w:tcPr>
            <w:tcW w:w="1954" w:type="dxa"/>
          </w:tcPr>
          <w:p w14:paraId="6BA9AB39" w14:textId="77777777" w:rsidR="00144B2A" w:rsidRPr="0013551A" w:rsidRDefault="00144B2A" w:rsidP="00144B2A">
            <w:pPr>
              <w:jc w:val="center"/>
              <w:outlineLvl w:val="0"/>
            </w:pPr>
            <w:r w:rsidRPr="00C24DF6">
              <w:t>102-107</w:t>
            </w:r>
          </w:p>
        </w:tc>
        <w:tc>
          <w:tcPr>
            <w:tcW w:w="1983" w:type="dxa"/>
          </w:tcPr>
          <w:p w14:paraId="671AA590" w14:textId="77777777" w:rsidR="00144B2A" w:rsidRPr="0013551A" w:rsidRDefault="00144B2A" w:rsidP="00144B2A">
            <w:pPr>
              <w:jc w:val="center"/>
              <w:outlineLvl w:val="0"/>
            </w:pPr>
            <w:r w:rsidRPr="00C24DF6">
              <w:t>84.3%</w:t>
            </w:r>
          </w:p>
        </w:tc>
        <w:tc>
          <w:tcPr>
            <w:tcW w:w="1983" w:type="dxa"/>
          </w:tcPr>
          <w:p w14:paraId="044E68E5" w14:textId="77777777" w:rsidR="00144B2A" w:rsidRPr="0013551A" w:rsidRDefault="00144B2A" w:rsidP="00144B2A">
            <w:pPr>
              <w:jc w:val="center"/>
              <w:outlineLvl w:val="0"/>
            </w:pPr>
            <w:r w:rsidRPr="00C24DF6">
              <w:t>9.0%</w:t>
            </w:r>
          </w:p>
        </w:tc>
        <w:tc>
          <w:tcPr>
            <w:tcW w:w="1955" w:type="dxa"/>
          </w:tcPr>
          <w:p w14:paraId="4F1ADC07" w14:textId="77777777" w:rsidR="00144B2A" w:rsidRPr="0013551A" w:rsidRDefault="00144B2A" w:rsidP="00144B2A">
            <w:pPr>
              <w:jc w:val="center"/>
              <w:outlineLvl w:val="0"/>
            </w:pPr>
            <w:r w:rsidRPr="00C24DF6">
              <w:t>6.8%</w:t>
            </w:r>
          </w:p>
        </w:tc>
      </w:tr>
      <w:tr w:rsidR="00144B2A" w14:paraId="5430D49C" w14:textId="77777777" w:rsidTr="00AB194A">
        <w:tc>
          <w:tcPr>
            <w:tcW w:w="1954" w:type="dxa"/>
          </w:tcPr>
          <w:p w14:paraId="13F149B9" w14:textId="77777777" w:rsidR="00144B2A" w:rsidRPr="0013551A" w:rsidRDefault="00144B2A" w:rsidP="00144B2A">
            <w:pPr>
              <w:jc w:val="center"/>
              <w:outlineLvl w:val="0"/>
            </w:pPr>
            <w:r w:rsidRPr="00C24DF6">
              <w:t>108-113</w:t>
            </w:r>
          </w:p>
        </w:tc>
        <w:tc>
          <w:tcPr>
            <w:tcW w:w="1983" w:type="dxa"/>
          </w:tcPr>
          <w:p w14:paraId="2AA60C82" w14:textId="77777777" w:rsidR="00144B2A" w:rsidRPr="0013551A" w:rsidRDefault="00144B2A" w:rsidP="00144B2A">
            <w:pPr>
              <w:jc w:val="center"/>
              <w:outlineLvl w:val="0"/>
            </w:pPr>
            <w:r w:rsidRPr="00C24DF6">
              <w:t>84.8%</w:t>
            </w:r>
          </w:p>
        </w:tc>
        <w:tc>
          <w:tcPr>
            <w:tcW w:w="1983" w:type="dxa"/>
          </w:tcPr>
          <w:p w14:paraId="3F3AA9F3" w14:textId="77777777" w:rsidR="00144B2A" w:rsidRPr="0013551A" w:rsidRDefault="00144B2A" w:rsidP="00144B2A">
            <w:pPr>
              <w:jc w:val="center"/>
              <w:outlineLvl w:val="0"/>
            </w:pPr>
            <w:r w:rsidRPr="00C24DF6">
              <w:t>9.8%</w:t>
            </w:r>
          </w:p>
        </w:tc>
        <w:tc>
          <w:tcPr>
            <w:tcW w:w="1955" w:type="dxa"/>
          </w:tcPr>
          <w:p w14:paraId="48969722" w14:textId="77777777" w:rsidR="00144B2A" w:rsidRPr="0013551A" w:rsidRDefault="00144B2A" w:rsidP="00144B2A">
            <w:pPr>
              <w:jc w:val="center"/>
              <w:outlineLvl w:val="0"/>
            </w:pPr>
            <w:r w:rsidRPr="00C24DF6">
              <w:t>5.4%</w:t>
            </w:r>
          </w:p>
        </w:tc>
      </w:tr>
    </w:tbl>
    <w:p w14:paraId="705935AB" w14:textId="77777777" w:rsidR="00A70B7A" w:rsidRPr="00F25D14" w:rsidRDefault="00A70B7A" w:rsidP="00A70B7A">
      <w:pPr>
        <w:outlineLvl w:val="0"/>
        <w:rPr>
          <w:rFonts w:ascii="Times New Roman" w:eastAsia="標楷體" w:hAnsi="Times New Roman" w:cs="Times New Roman"/>
          <w:sz w:val="28"/>
          <w:szCs w:val="28"/>
        </w:rPr>
      </w:pPr>
    </w:p>
    <w:p w14:paraId="296CC886"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4D5589A1" w14:textId="77777777" w:rsidR="0013551A" w:rsidRPr="00B66EDF" w:rsidRDefault="0013551A">
      <w:pPr>
        <w:widowControl/>
      </w:pPr>
    </w:p>
    <w:p w14:paraId="658DD43B" w14:textId="77777777"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D13C71C" w14:textId="77777777" w:rsidR="00641412" w:rsidRDefault="00000000">
      <w:pPr>
        <w:pStyle w:val="1"/>
        <w:spacing w:before="240" w:after="120" w:line="276" w:lineRule="auto"/>
      </w:pPr>
      <w:r>
        <w:rPr>
          <w:rFonts w:ascii="Times New Roman" w:eastAsia="標楷體" w:hAnsi="Times New Roman"/>
          <w:b/>
          <w:sz w:val="32"/>
        </w:rPr>
        <w:lastRenderedPageBreak/>
        <w:t>第四章</w:t>
      </w:r>
      <w:r>
        <w:rPr>
          <w:rFonts w:ascii="Times New Roman" w:eastAsia="標楷體" w:hAnsi="Times New Roman"/>
          <w:b/>
          <w:sz w:val="32"/>
        </w:rPr>
        <w:t xml:space="preserve"> </w:t>
      </w:r>
      <w:r>
        <w:rPr>
          <w:rFonts w:ascii="Times New Roman" w:eastAsia="標楷體" w:hAnsi="Times New Roman"/>
          <w:b/>
          <w:sz w:val="32"/>
        </w:rPr>
        <w:t>研究結果與分析</w:t>
      </w:r>
    </w:p>
    <w:p w14:paraId="4ACA3152" w14:textId="77777777" w:rsidR="00641412" w:rsidRDefault="00000000">
      <w:pPr>
        <w:pStyle w:val="2"/>
        <w:spacing w:before="200" w:after="120" w:line="276" w:lineRule="auto"/>
      </w:pPr>
      <w:r>
        <w:rPr>
          <w:rFonts w:ascii="Times New Roman" w:eastAsia="標楷體" w:hAnsi="Times New Roman"/>
          <w:b/>
          <w:sz w:val="28"/>
        </w:rPr>
        <w:t xml:space="preserve">4.1 </w:t>
      </w:r>
      <w:r>
        <w:rPr>
          <w:rFonts w:ascii="Times New Roman" w:eastAsia="標楷體" w:hAnsi="Times New Roman"/>
          <w:b/>
          <w:sz w:val="28"/>
        </w:rPr>
        <w:t>實驗設定與評估邏輯</w:t>
      </w:r>
    </w:p>
    <w:p w14:paraId="49D300D0" w14:textId="77777777" w:rsidR="00641412" w:rsidRDefault="00000000">
      <w:pPr>
        <w:spacing w:after="120" w:line="276" w:lineRule="auto"/>
        <w:ind w:firstLine="480"/>
      </w:pPr>
      <w:r>
        <w:rPr>
          <w:rFonts w:ascii="Times New Roman" w:eastAsia="標楷體" w:hAnsi="Times New Roman"/>
        </w:rPr>
        <w:t>依據第三章之模型流程，針對行政、民事、刑事與刑事附帶民事四類智慧財產權判決資料集進行裁判結果三分類實驗。本文比較兩條模型流程：其一為</w:t>
      </w:r>
      <w:r>
        <w:rPr>
          <w:rFonts w:ascii="Times New Roman" w:eastAsia="標楷體" w:hAnsi="Times New Roman"/>
        </w:rPr>
        <w:t xml:space="preserve"> Chi-square + MNIR + SVM</w:t>
      </w:r>
      <w:r>
        <w:rPr>
          <w:rFonts w:ascii="Times New Roman" w:eastAsia="標楷體" w:hAnsi="Times New Roman"/>
        </w:rPr>
        <w:t>，亦即先以卡方統計量進行特徵選擇，再透過</w:t>
      </w:r>
      <w:r>
        <w:rPr>
          <w:rFonts w:ascii="Times New Roman" w:eastAsia="標楷體" w:hAnsi="Times New Roman"/>
        </w:rPr>
        <w:t xml:space="preserve"> MNIR </w:t>
      </w:r>
      <w:r>
        <w:rPr>
          <w:rFonts w:ascii="Times New Roman" w:eastAsia="標楷體" w:hAnsi="Times New Roman"/>
        </w:rPr>
        <w:t>進行監督式特徵轉換，最後以</w:t>
      </w:r>
      <w:r>
        <w:rPr>
          <w:rFonts w:ascii="Times New Roman" w:eastAsia="標楷體" w:hAnsi="Times New Roman"/>
        </w:rPr>
        <w:t xml:space="preserve"> SVM </w:t>
      </w:r>
      <w:r>
        <w:rPr>
          <w:rFonts w:ascii="Times New Roman" w:eastAsia="標楷體" w:hAnsi="Times New Roman"/>
        </w:rPr>
        <w:t>分類；其二為</w:t>
      </w:r>
      <w:r>
        <w:rPr>
          <w:rFonts w:ascii="Times New Roman" w:eastAsia="標楷體" w:hAnsi="Times New Roman"/>
        </w:rPr>
        <w:t xml:space="preserve"> Chi-square + Direct SVM</w:t>
      </w:r>
      <w:r>
        <w:rPr>
          <w:rFonts w:ascii="Times New Roman" w:eastAsia="標楷體" w:hAnsi="Times New Roman"/>
        </w:rPr>
        <w:t>，亦即不經</w:t>
      </w:r>
      <w:r>
        <w:rPr>
          <w:rFonts w:ascii="Times New Roman" w:eastAsia="標楷體" w:hAnsi="Times New Roman"/>
        </w:rPr>
        <w:t xml:space="preserve"> MNIR </w:t>
      </w:r>
      <w:r>
        <w:rPr>
          <w:rFonts w:ascii="Times New Roman" w:eastAsia="標楷體" w:hAnsi="Times New Roman"/>
        </w:rPr>
        <w:t>轉換，直接以卡方篩選後之稀疏文字特徵訓練</w:t>
      </w:r>
      <w:r>
        <w:rPr>
          <w:rFonts w:ascii="Times New Roman" w:eastAsia="標楷體" w:hAnsi="Times New Roman"/>
        </w:rPr>
        <w:t xml:space="preserve"> SVM</w:t>
      </w:r>
      <w:r>
        <w:rPr>
          <w:rFonts w:ascii="Times New Roman" w:eastAsia="標楷體" w:hAnsi="Times New Roman"/>
        </w:rPr>
        <w:t>。前者用以檢驗</w:t>
      </w:r>
      <w:r>
        <w:rPr>
          <w:rFonts w:ascii="Times New Roman" w:eastAsia="標楷體" w:hAnsi="Times New Roman"/>
        </w:rPr>
        <w:t xml:space="preserve"> MNIR </w:t>
      </w:r>
      <w:r>
        <w:rPr>
          <w:rFonts w:ascii="Times New Roman" w:eastAsia="標楷體" w:hAnsi="Times New Roman"/>
        </w:rPr>
        <w:t>監督式特徵轉換是否能改善高維法律文本分類，後者則作為直接對照流程。</w:t>
      </w:r>
    </w:p>
    <w:p w14:paraId="3ED3063A" w14:textId="77777777" w:rsidR="00641412" w:rsidRDefault="00000000">
      <w:pPr>
        <w:spacing w:after="120" w:line="276" w:lineRule="auto"/>
        <w:ind w:firstLine="480"/>
      </w:pPr>
      <w:r>
        <w:rPr>
          <w:rFonts w:ascii="Times New Roman" w:eastAsia="標楷體" w:hAnsi="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Pr>
          <w:rFonts w:ascii="Times New Roman" w:eastAsia="標楷體" w:hAnsi="Times New Roman"/>
        </w:rPr>
        <w:t xml:space="preserve"> MNIR+SVM</w:t>
      </w:r>
      <w:r>
        <w:rPr>
          <w:rFonts w:ascii="Times New Roman" w:eastAsia="標楷體" w:hAnsi="Times New Roman"/>
        </w:rPr>
        <w:t>、</w:t>
      </w:r>
      <w:r>
        <w:rPr>
          <w:rFonts w:ascii="Times New Roman" w:eastAsia="標楷體" w:hAnsi="Times New Roman"/>
        </w:rPr>
        <w:t xml:space="preserve">Direct SVM </w:t>
      </w:r>
      <w:r>
        <w:rPr>
          <w:rFonts w:ascii="Times New Roman" w:eastAsia="標楷體" w:hAnsi="Times New Roman"/>
        </w:rPr>
        <w:t>以及</w:t>
      </w:r>
      <w:r>
        <w:rPr>
          <w:rFonts w:ascii="Times New Roman" w:eastAsia="標楷體" w:hAnsi="Times New Roman"/>
        </w:rPr>
        <w:t xml:space="preserve"> BoW</w:t>
      </w:r>
      <w:r>
        <w:rPr>
          <w:rFonts w:ascii="Times New Roman" w:eastAsia="標楷體" w:hAnsi="Times New Roman"/>
        </w:rPr>
        <w:t>、</w:t>
      </w:r>
      <w:r>
        <w:rPr>
          <w:rFonts w:ascii="Times New Roman" w:eastAsia="標楷體" w:hAnsi="Times New Roman"/>
        </w:rPr>
        <w:t>TF</w:t>
      </w:r>
      <w:r>
        <w:rPr>
          <w:rFonts w:ascii="Times New Roman" w:eastAsia="標楷體" w:hAnsi="Times New Roman"/>
        </w:rPr>
        <w:t>、</w:t>
      </w:r>
      <w:r>
        <w:rPr>
          <w:rFonts w:ascii="Times New Roman" w:eastAsia="標楷體" w:hAnsi="Times New Roman"/>
        </w:rPr>
        <w:t xml:space="preserve">TF-IDF </w:t>
      </w:r>
      <w:r>
        <w:rPr>
          <w:rFonts w:ascii="Times New Roman" w:eastAsia="標楷體" w:hAnsi="Times New Roman"/>
        </w:rPr>
        <w:t>之差異。不過，此版本仍不能保證完全排除所有資料洩漏可能，因為法律文本中仍可能存在間接反映裁判結果的語境、請求類型或裁判理由線索。</w:t>
      </w:r>
    </w:p>
    <w:p w14:paraId="40A2B0AB" w14:textId="77777777" w:rsidR="00641412" w:rsidRDefault="00000000">
      <w:pPr>
        <w:spacing w:after="120" w:line="276" w:lineRule="auto"/>
        <w:ind w:firstLine="480"/>
      </w:pPr>
      <w:r>
        <w:rPr>
          <w:rFonts w:ascii="Times New Roman" w:eastAsia="標楷體" w:hAnsi="Times New Roman"/>
        </w:rPr>
        <w:t>模型訓練與評估採固定資料切分：訓練集用於模型估計與特徵選擇，驗證集用於選擇卡方特徵數</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SVM </w:t>
      </w:r>
      <w:r>
        <w:rPr>
          <w:rFonts w:ascii="Times New Roman" w:eastAsia="標楷體" w:hAnsi="Times New Roman"/>
        </w:rPr>
        <w:t>參數</w:t>
      </w:r>
      <w:r>
        <w:rPr>
          <w:rFonts w:ascii="Times New Roman" w:eastAsia="標楷體" w:hAnsi="Times New Roman"/>
        </w:rPr>
        <w:t xml:space="preserve"> C</w:t>
      </w:r>
      <w:r>
        <w:rPr>
          <w:rFonts w:ascii="Times New Roman" w:eastAsia="標楷體" w:hAnsi="Times New Roman"/>
        </w:rPr>
        <w:t>，測試集則僅用於最後模型表現評估。換言之，第四章各表所列</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w:t>
      </w:r>
      <w:r>
        <w:rPr>
          <w:rFonts w:ascii="Times New Roman" w:eastAsia="標楷體" w:hAnsi="Times New Roman"/>
        </w:rPr>
        <w:t>，均為模型在測試集上的結果；參數選擇則依驗證集</w:t>
      </w:r>
      <w:r>
        <w:rPr>
          <w:rFonts w:ascii="Times New Roman" w:eastAsia="標楷體" w:hAnsi="Times New Roman"/>
        </w:rPr>
        <w:t xml:space="preserve"> Macro F1 </w:t>
      </w:r>
      <w:r>
        <w:rPr>
          <w:rFonts w:ascii="Times New Roman" w:eastAsia="標楷體" w:hAnsi="Times New Roman"/>
        </w:rPr>
        <w:t>進行。</w:t>
      </w:r>
    </w:p>
    <w:p w14:paraId="3C60628B" w14:textId="77777777" w:rsidR="00641412" w:rsidRDefault="00000000">
      <w:pPr>
        <w:spacing w:after="120" w:line="276" w:lineRule="auto"/>
        <w:ind w:firstLine="480"/>
      </w:pPr>
      <w:r>
        <w:rPr>
          <w:rFonts w:ascii="Times New Roman" w:eastAsia="標楷體" w:hAnsi="Times New Roman"/>
        </w:rPr>
        <w:t>第三章之樣本分布已顯示，</w:t>
      </w:r>
      <w:r>
        <w:rPr>
          <w:rFonts w:ascii="Times New Roman" w:eastAsia="標楷體" w:hAnsi="Times New Roman"/>
        </w:rPr>
        <w:t>Lose</w:t>
      </w:r>
      <w:r>
        <w:rPr>
          <w:rFonts w:ascii="Times New Roman" w:eastAsia="標楷體" w:hAnsi="Times New Roman"/>
        </w:rPr>
        <w:t>、</w:t>
      </w:r>
      <w:r>
        <w:rPr>
          <w:rFonts w:ascii="Times New Roman" w:eastAsia="標楷體" w:hAnsi="Times New Roman"/>
        </w:rPr>
        <w:t xml:space="preserve">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三類裁判結果並非均衡分布，因此本章以</w:t>
      </w:r>
      <w:r>
        <w:rPr>
          <w:rFonts w:ascii="Times New Roman" w:eastAsia="標楷體" w:hAnsi="Times New Roman"/>
        </w:rPr>
        <w:t xml:space="preserve"> Macro F1 </w:t>
      </w:r>
      <w:r>
        <w:rPr>
          <w:rFonts w:ascii="Times New Roman" w:eastAsia="標楷體" w:hAnsi="Times New Roman"/>
        </w:rPr>
        <w:t>作為主要判斷依據。若僅使用</w:t>
      </w:r>
      <w:r>
        <w:rPr>
          <w:rFonts w:ascii="Times New Roman" w:eastAsia="標楷體" w:hAnsi="Times New Roman"/>
        </w:rPr>
        <w:t xml:space="preserve"> Accuracy</w:t>
      </w:r>
      <w:r>
        <w:rPr>
          <w:rFonts w:ascii="Times New Roman" w:eastAsia="標楷體" w:hAnsi="Times New Roman"/>
        </w:rPr>
        <w:t>，模型可能因偏向預測多數類別而取得較高準確率，卻無法有效辨識少數類別。因此，本章除報告</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 </w:t>
      </w:r>
      <w:r>
        <w:rPr>
          <w:rFonts w:ascii="Times New Roman" w:eastAsia="標楷體" w:hAnsi="Times New Roman"/>
        </w:rPr>
        <w:t>外，也納入類別層級</w:t>
      </w:r>
      <w:r>
        <w:rPr>
          <w:rFonts w:ascii="Times New Roman" w:eastAsia="標楷體" w:hAnsi="Times New Roman"/>
        </w:rPr>
        <w:t xml:space="preserve"> F1-score </w:t>
      </w:r>
      <w:r>
        <w:rPr>
          <w:rFonts w:ascii="Times New Roman" w:eastAsia="標楷體" w:hAnsi="Times New Roman"/>
        </w:rPr>
        <w:t>與混淆矩陣，以揭露模型在少數類別上的限制；最低基準模型則於</w:t>
      </w:r>
      <w:r>
        <w:rPr>
          <w:rFonts w:ascii="Times New Roman" w:eastAsia="標楷體" w:hAnsi="Times New Roman"/>
        </w:rPr>
        <w:t xml:space="preserve"> 4.3 Direct SVM </w:t>
      </w:r>
      <w:r>
        <w:rPr>
          <w:rFonts w:ascii="Times New Roman" w:eastAsia="標楷體" w:hAnsi="Times New Roman"/>
        </w:rPr>
        <w:t>對照流程中一併說明。</w:t>
      </w:r>
    </w:p>
    <w:p w14:paraId="58B140D7" w14:textId="77777777" w:rsidR="00641412" w:rsidRDefault="00000000">
      <w:pPr>
        <w:spacing w:after="120" w:line="276" w:lineRule="auto"/>
        <w:ind w:firstLine="480"/>
      </w:pPr>
      <w:r>
        <w:rPr>
          <w:rFonts w:ascii="Times New Roman" w:eastAsia="標楷體" w:hAnsi="Times New Roman"/>
        </w:rPr>
        <w:t>本章並非僅呈現模型分數，而是以</w:t>
      </w:r>
      <w:r>
        <w:rPr>
          <w:rFonts w:ascii="Times New Roman" w:eastAsia="標楷體" w:hAnsi="Times New Roman"/>
        </w:rPr>
        <w:t xml:space="preserve"> Macro F1 </w:t>
      </w:r>
      <w:r>
        <w:rPr>
          <w:rFonts w:ascii="Times New Roman" w:eastAsia="標楷體" w:hAnsi="Times New Roman"/>
        </w:rPr>
        <w:t>為主要依據，依序檢驗六項問題：第一，</w:t>
      </w:r>
      <w:r>
        <w:rPr>
          <w:rFonts w:ascii="Times New Roman" w:eastAsia="標楷體" w:hAnsi="Times New Roman"/>
        </w:rPr>
        <w:t xml:space="preserve">MNIR+SVM </w:t>
      </w:r>
      <w:r>
        <w:rPr>
          <w:rFonts w:ascii="Times New Roman" w:eastAsia="標楷體" w:hAnsi="Times New Roman"/>
        </w:rPr>
        <w:t>核心流程之分類表現；第二，</w:t>
      </w:r>
      <w:r>
        <w:rPr>
          <w:rFonts w:ascii="Times New Roman" w:eastAsia="標楷體" w:hAnsi="Times New Roman"/>
        </w:rPr>
        <w:t xml:space="preserve">Direct SVM </w:t>
      </w:r>
      <w:r>
        <w:rPr>
          <w:rFonts w:ascii="Times New Roman" w:eastAsia="標楷體" w:hAnsi="Times New Roman"/>
        </w:rPr>
        <w:t>對照流程是否具備競爭力；第三，</w:t>
      </w:r>
      <w:r>
        <w:rPr>
          <w:rFonts w:ascii="Times New Roman" w:eastAsia="標楷體" w:hAnsi="Times New Roman"/>
        </w:rPr>
        <w:t xml:space="preserve">MNIR </w:t>
      </w:r>
      <w:r>
        <w:rPr>
          <w:rFonts w:ascii="Times New Roman" w:eastAsia="標楷體" w:hAnsi="Times New Roman"/>
        </w:rPr>
        <w:t>特徵轉換是否帶來額外增益；第四，不同文字特徵表示是否影響分類表現；第五，在移除明顯裁判結果詞彙後，模型結果應如何界定；第六，模型錯誤是否集中於特定裁判結果類別。</w:t>
      </w:r>
    </w:p>
    <w:p w14:paraId="231169D9" w14:textId="77777777" w:rsidR="00641412" w:rsidRDefault="00000000">
      <w:pPr>
        <w:pStyle w:val="2"/>
        <w:spacing w:before="200" w:after="120" w:line="276" w:lineRule="auto"/>
      </w:pPr>
      <w:r>
        <w:rPr>
          <w:rFonts w:ascii="Times New Roman" w:eastAsia="標楷體" w:hAnsi="Times New Roman"/>
          <w:b/>
          <w:sz w:val="28"/>
        </w:rPr>
        <w:t xml:space="preserve">4.2 MNIR+SVM </w:t>
      </w:r>
      <w:r>
        <w:rPr>
          <w:rFonts w:ascii="Times New Roman" w:eastAsia="標楷體" w:hAnsi="Times New Roman"/>
          <w:b/>
          <w:sz w:val="28"/>
        </w:rPr>
        <w:t>核心流程之模型表現</w:t>
      </w:r>
    </w:p>
    <w:p w14:paraId="6E167954"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4-1 </w:t>
      </w:r>
      <w:r>
        <w:rPr>
          <w:rFonts w:ascii="Times New Roman" w:eastAsia="標楷體" w:hAnsi="Times New Roman"/>
        </w:rPr>
        <w:t>呈現</w:t>
      </w:r>
      <w:r>
        <w:rPr>
          <w:rFonts w:ascii="Times New Roman" w:eastAsia="標楷體" w:hAnsi="Times New Roman"/>
        </w:rPr>
        <w:t xml:space="preserve"> Chi-square + MNIR + SVM </w:t>
      </w:r>
      <w:r>
        <w:rPr>
          <w:rFonts w:ascii="Times New Roman" w:eastAsia="標楷體" w:hAnsi="Times New Roman"/>
        </w:rPr>
        <w:t>於四類資料集之最佳測試結果。根據表</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 xml:space="preserve">MNIR+SVM </w:t>
      </w:r>
      <w:r>
        <w:rPr>
          <w:rFonts w:ascii="Times New Roman" w:eastAsia="標楷體" w:hAnsi="Times New Roman"/>
        </w:rPr>
        <w:t>在不同案件類型下之</w:t>
      </w:r>
      <w:r>
        <w:rPr>
          <w:rFonts w:ascii="Times New Roman" w:eastAsia="標楷體" w:hAnsi="Times New Roman"/>
        </w:rPr>
        <w:t xml:space="preserve"> Macro F1 </w:t>
      </w:r>
      <w:r>
        <w:rPr>
          <w:rFonts w:ascii="Times New Roman" w:eastAsia="標楷體" w:hAnsi="Times New Roman"/>
        </w:rPr>
        <w:t>介於</w:t>
      </w:r>
      <w:r>
        <w:rPr>
          <w:rFonts w:ascii="Times New Roman" w:eastAsia="標楷體" w:hAnsi="Times New Roman"/>
        </w:rPr>
        <w:t xml:space="preserve"> 0.318 </w:t>
      </w:r>
      <w:r>
        <w:rPr>
          <w:rFonts w:ascii="Times New Roman" w:eastAsia="標楷體" w:hAnsi="Times New Roman"/>
        </w:rPr>
        <w:t>至</w:t>
      </w:r>
      <w:r>
        <w:rPr>
          <w:rFonts w:ascii="Times New Roman" w:eastAsia="標楷體" w:hAnsi="Times New Roman"/>
        </w:rPr>
        <w:t xml:space="preserve"> 0.545</w:t>
      </w:r>
      <w:r>
        <w:rPr>
          <w:rFonts w:ascii="Times New Roman" w:eastAsia="標楷體" w:hAnsi="Times New Roman"/>
        </w:rPr>
        <w:t>，其中刑事附帶民事資料集表現最高，</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0.545</w:t>
      </w:r>
      <w:r>
        <w:rPr>
          <w:rFonts w:ascii="Times New Roman" w:eastAsia="標楷體" w:hAnsi="Times New Roman"/>
        </w:rPr>
        <w:t>；行政資料集最低，</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0.318</w:t>
      </w:r>
      <w:r>
        <w:rPr>
          <w:rFonts w:ascii="Times New Roman" w:eastAsia="標楷體" w:hAnsi="Times New Roman"/>
        </w:rPr>
        <w:t>。此結果應與第三章所呈現之類別不平衡現象一併解讀，因為高</w:t>
      </w:r>
      <w:r>
        <w:rPr>
          <w:rFonts w:ascii="Times New Roman" w:eastAsia="標楷體" w:hAnsi="Times New Roman"/>
        </w:rPr>
        <w:t xml:space="preserve"> Accuracy </w:t>
      </w:r>
      <w:r>
        <w:rPr>
          <w:rFonts w:ascii="Times New Roman" w:eastAsia="標楷體" w:hAnsi="Times New Roman"/>
        </w:rPr>
        <w:t>不必然代表模型能均衡辨識三類裁判結果。</w:t>
      </w:r>
    </w:p>
    <w:p w14:paraId="6F39810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4-1 Chi-square + MNIR + SVM </w:t>
      </w:r>
      <w:r>
        <w:rPr>
          <w:rFonts w:ascii="Times New Roman" w:eastAsia="標楷體" w:hAnsi="Times New Roman"/>
          <w:b/>
          <w:sz w:val="20"/>
        </w:rPr>
        <w:t>於各資料集之最佳表現</w:t>
      </w:r>
    </w:p>
    <w:tbl>
      <w:tblPr>
        <w:tblStyle w:val="af3"/>
        <w:tblW w:w="5000" w:type="pct"/>
        <w:jc w:val="center"/>
        <w:tblLook w:val="04A0" w:firstRow="1" w:lastRow="0" w:firstColumn="1" w:lastColumn="0" w:noHBand="0" w:noVBand="1"/>
      </w:tblPr>
      <w:tblGrid>
        <w:gridCol w:w="1742"/>
        <w:gridCol w:w="1743"/>
        <w:gridCol w:w="1742"/>
        <w:gridCol w:w="1743"/>
        <w:gridCol w:w="1743"/>
        <w:gridCol w:w="1743"/>
      </w:tblGrid>
      <w:tr w:rsidR="00641412" w14:paraId="6A6B1666" w14:textId="77777777">
        <w:trPr>
          <w:tblHeader/>
          <w:jc w:val="center"/>
        </w:trPr>
        <w:tc>
          <w:tcPr>
            <w:tcW w:w="1744" w:type="dxa"/>
            <w:shd w:val="clear" w:color="auto" w:fill="D9EAF7"/>
            <w:tcMar>
              <w:top w:w="90" w:type="dxa"/>
              <w:left w:w="90" w:type="dxa"/>
              <w:bottom w:w="90" w:type="dxa"/>
              <w:right w:w="90" w:type="dxa"/>
            </w:tcMar>
            <w:vAlign w:val="center"/>
          </w:tcPr>
          <w:p w14:paraId="0C16D603" w14:textId="77777777" w:rsidR="00641412" w:rsidRDefault="00000000">
            <w:pPr>
              <w:spacing w:line="252" w:lineRule="auto"/>
            </w:pPr>
            <w:r>
              <w:rPr>
                <w:rFonts w:ascii="Times New Roman" w:eastAsia="標楷體" w:hAnsi="Times New Roman"/>
                <w:b/>
                <w:sz w:val="18"/>
              </w:rPr>
              <w:lastRenderedPageBreak/>
              <w:t>資料集</w:t>
            </w:r>
          </w:p>
        </w:tc>
        <w:tc>
          <w:tcPr>
            <w:tcW w:w="1744" w:type="dxa"/>
            <w:shd w:val="clear" w:color="auto" w:fill="D9EAF7"/>
            <w:tcMar>
              <w:top w:w="90" w:type="dxa"/>
              <w:left w:w="90" w:type="dxa"/>
              <w:bottom w:w="90" w:type="dxa"/>
              <w:right w:w="90" w:type="dxa"/>
            </w:tcMar>
            <w:vAlign w:val="center"/>
          </w:tcPr>
          <w:p w14:paraId="631CF20D" w14:textId="77777777" w:rsidR="00641412" w:rsidRDefault="00000000">
            <w:pPr>
              <w:spacing w:line="252" w:lineRule="auto"/>
              <w:jc w:val="center"/>
            </w:pPr>
            <w:r>
              <w:rPr>
                <w:rFonts w:ascii="Times New Roman" w:eastAsia="標楷體" w:hAnsi="Times New Roman"/>
                <w:b/>
                <w:sz w:val="18"/>
              </w:rPr>
              <w:t xml:space="preserve">MNIR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687EC911" w14:textId="77777777" w:rsidR="00641412" w:rsidRDefault="00000000">
            <w:pPr>
              <w:spacing w:line="252" w:lineRule="auto"/>
              <w:jc w:val="center"/>
            </w:pPr>
            <w:r>
              <w:rPr>
                <w:rFonts w:ascii="Times New Roman" w:eastAsia="標楷體" w:hAnsi="Times New Roman"/>
                <w:b/>
                <w:sz w:val="18"/>
              </w:rPr>
              <w:t>K</w:t>
            </w:r>
          </w:p>
        </w:tc>
        <w:tc>
          <w:tcPr>
            <w:tcW w:w="1744" w:type="dxa"/>
            <w:shd w:val="clear" w:color="auto" w:fill="D9EAF7"/>
            <w:tcMar>
              <w:top w:w="90" w:type="dxa"/>
              <w:left w:w="90" w:type="dxa"/>
              <w:bottom w:w="90" w:type="dxa"/>
              <w:right w:w="90" w:type="dxa"/>
            </w:tcMar>
            <w:vAlign w:val="center"/>
          </w:tcPr>
          <w:p w14:paraId="62F4840A" w14:textId="77777777" w:rsidR="00641412" w:rsidRDefault="00000000">
            <w:pPr>
              <w:spacing w:line="252" w:lineRule="auto"/>
              <w:jc w:val="center"/>
            </w:pPr>
            <w:r>
              <w:rPr>
                <w:rFonts w:ascii="Times New Roman" w:eastAsia="標楷體" w:hAnsi="Times New Roman"/>
                <w:b/>
                <w:sz w:val="18"/>
              </w:rPr>
              <w:t>C</w:t>
            </w:r>
          </w:p>
        </w:tc>
        <w:tc>
          <w:tcPr>
            <w:tcW w:w="1744" w:type="dxa"/>
            <w:shd w:val="clear" w:color="auto" w:fill="D9EAF7"/>
            <w:tcMar>
              <w:top w:w="90" w:type="dxa"/>
              <w:left w:w="90" w:type="dxa"/>
              <w:bottom w:w="90" w:type="dxa"/>
              <w:right w:w="90" w:type="dxa"/>
            </w:tcMar>
            <w:vAlign w:val="center"/>
          </w:tcPr>
          <w:p w14:paraId="597A5EEE" w14:textId="77777777" w:rsidR="00641412" w:rsidRDefault="00000000">
            <w:pPr>
              <w:spacing w:line="252" w:lineRule="auto"/>
              <w:jc w:val="center"/>
            </w:pPr>
            <w:r>
              <w:rPr>
                <w:rFonts w:ascii="Times New Roman" w:eastAsia="標楷體" w:hAnsi="Times New Roman"/>
                <w:b/>
                <w:sz w:val="18"/>
              </w:rPr>
              <w:t>Accuracy</w:t>
            </w:r>
          </w:p>
        </w:tc>
        <w:tc>
          <w:tcPr>
            <w:tcW w:w="1744" w:type="dxa"/>
            <w:shd w:val="clear" w:color="auto" w:fill="D9EAF7"/>
            <w:tcMar>
              <w:top w:w="90" w:type="dxa"/>
              <w:left w:w="90" w:type="dxa"/>
              <w:bottom w:w="90" w:type="dxa"/>
              <w:right w:w="90" w:type="dxa"/>
            </w:tcMar>
            <w:vAlign w:val="center"/>
          </w:tcPr>
          <w:p w14:paraId="4698AE7F" w14:textId="77777777" w:rsidR="00641412" w:rsidRDefault="00000000">
            <w:pPr>
              <w:spacing w:line="252" w:lineRule="auto"/>
              <w:jc w:val="center"/>
            </w:pPr>
            <w:r>
              <w:rPr>
                <w:rFonts w:ascii="Times New Roman" w:eastAsia="標楷體" w:hAnsi="Times New Roman"/>
                <w:b/>
                <w:sz w:val="18"/>
              </w:rPr>
              <w:t>MNIR+SVM Macro F1</w:t>
            </w:r>
          </w:p>
        </w:tc>
      </w:tr>
      <w:tr w:rsidR="00641412" w14:paraId="7FD8FB65" w14:textId="77777777">
        <w:trPr>
          <w:jc w:val="center"/>
        </w:trPr>
        <w:tc>
          <w:tcPr>
            <w:tcW w:w="1744" w:type="dxa"/>
            <w:tcMar>
              <w:top w:w="90" w:type="dxa"/>
              <w:left w:w="90" w:type="dxa"/>
              <w:bottom w:w="90" w:type="dxa"/>
              <w:right w:w="90" w:type="dxa"/>
            </w:tcMar>
            <w:vAlign w:val="center"/>
          </w:tcPr>
          <w:p w14:paraId="29474636" w14:textId="77777777" w:rsidR="00641412" w:rsidRDefault="00000000">
            <w:pPr>
              <w:spacing w:line="252" w:lineRule="auto"/>
            </w:pPr>
            <w:r>
              <w:rPr>
                <w:rFonts w:ascii="Times New Roman" w:eastAsia="標楷體" w:hAnsi="Times New Roman"/>
                <w:sz w:val="18"/>
              </w:rPr>
              <w:t>行政</w:t>
            </w:r>
          </w:p>
        </w:tc>
        <w:tc>
          <w:tcPr>
            <w:tcW w:w="1744" w:type="dxa"/>
            <w:tcMar>
              <w:top w:w="90" w:type="dxa"/>
              <w:left w:w="90" w:type="dxa"/>
              <w:bottom w:w="90" w:type="dxa"/>
              <w:right w:w="90" w:type="dxa"/>
            </w:tcMar>
            <w:vAlign w:val="center"/>
          </w:tcPr>
          <w:p w14:paraId="2E5D4276"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4ACB6F39" w14:textId="77777777" w:rsidR="00641412" w:rsidRDefault="00000000">
            <w:pPr>
              <w:spacing w:line="252" w:lineRule="auto"/>
              <w:jc w:val="center"/>
            </w:pPr>
            <w:r>
              <w:rPr>
                <w:rFonts w:ascii="Times New Roman" w:eastAsia="標楷體" w:hAnsi="Times New Roman"/>
                <w:sz w:val="18"/>
              </w:rPr>
              <w:t>5000</w:t>
            </w:r>
          </w:p>
        </w:tc>
        <w:tc>
          <w:tcPr>
            <w:tcW w:w="1744" w:type="dxa"/>
            <w:tcMar>
              <w:top w:w="90" w:type="dxa"/>
              <w:left w:w="90" w:type="dxa"/>
              <w:bottom w:w="90" w:type="dxa"/>
              <w:right w:w="90" w:type="dxa"/>
            </w:tcMar>
            <w:vAlign w:val="center"/>
          </w:tcPr>
          <w:p w14:paraId="7976CD0C" w14:textId="77777777" w:rsidR="00641412" w:rsidRDefault="00000000">
            <w:pPr>
              <w:spacing w:line="252" w:lineRule="auto"/>
              <w:jc w:val="center"/>
            </w:pPr>
            <w:r>
              <w:rPr>
                <w:rFonts w:ascii="Times New Roman" w:eastAsia="標楷體" w:hAnsi="Times New Roman"/>
                <w:sz w:val="18"/>
              </w:rPr>
              <w:t>0.0625</w:t>
            </w:r>
          </w:p>
        </w:tc>
        <w:tc>
          <w:tcPr>
            <w:tcW w:w="1744" w:type="dxa"/>
            <w:tcMar>
              <w:top w:w="90" w:type="dxa"/>
              <w:left w:w="90" w:type="dxa"/>
              <w:bottom w:w="90" w:type="dxa"/>
              <w:right w:w="90" w:type="dxa"/>
            </w:tcMar>
            <w:vAlign w:val="center"/>
          </w:tcPr>
          <w:p w14:paraId="5DA5426A" w14:textId="77777777" w:rsidR="00641412" w:rsidRDefault="00000000">
            <w:pPr>
              <w:spacing w:line="252" w:lineRule="auto"/>
              <w:jc w:val="center"/>
            </w:pPr>
            <w:r>
              <w:rPr>
                <w:rFonts w:ascii="Times New Roman" w:eastAsia="標楷體" w:hAnsi="Times New Roman"/>
                <w:sz w:val="18"/>
              </w:rPr>
              <w:t>0.875</w:t>
            </w:r>
          </w:p>
        </w:tc>
        <w:tc>
          <w:tcPr>
            <w:tcW w:w="1744" w:type="dxa"/>
            <w:tcMar>
              <w:top w:w="90" w:type="dxa"/>
              <w:left w:w="90" w:type="dxa"/>
              <w:bottom w:w="90" w:type="dxa"/>
              <w:right w:w="90" w:type="dxa"/>
            </w:tcMar>
            <w:vAlign w:val="center"/>
          </w:tcPr>
          <w:p w14:paraId="27F1BC7E" w14:textId="77777777" w:rsidR="00641412" w:rsidRDefault="00000000">
            <w:pPr>
              <w:spacing w:line="252" w:lineRule="auto"/>
              <w:jc w:val="center"/>
            </w:pPr>
            <w:r>
              <w:rPr>
                <w:rFonts w:ascii="Times New Roman" w:eastAsia="標楷體" w:hAnsi="Times New Roman"/>
                <w:sz w:val="18"/>
              </w:rPr>
              <w:t>0.318</w:t>
            </w:r>
          </w:p>
        </w:tc>
      </w:tr>
      <w:tr w:rsidR="00641412" w14:paraId="35E18A07" w14:textId="77777777">
        <w:trPr>
          <w:jc w:val="center"/>
        </w:trPr>
        <w:tc>
          <w:tcPr>
            <w:tcW w:w="1744" w:type="dxa"/>
            <w:tcMar>
              <w:top w:w="90" w:type="dxa"/>
              <w:left w:w="90" w:type="dxa"/>
              <w:bottom w:w="90" w:type="dxa"/>
              <w:right w:w="90" w:type="dxa"/>
            </w:tcMar>
            <w:vAlign w:val="center"/>
          </w:tcPr>
          <w:p w14:paraId="423158CA" w14:textId="77777777" w:rsidR="00641412" w:rsidRDefault="00000000">
            <w:pPr>
              <w:spacing w:line="252" w:lineRule="auto"/>
            </w:pPr>
            <w:r>
              <w:rPr>
                <w:rFonts w:ascii="Times New Roman" w:eastAsia="標楷體" w:hAnsi="Times New Roman"/>
                <w:sz w:val="18"/>
              </w:rPr>
              <w:t>民事</w:t>
            </w:r>
          </w:p>
        </w:tc>
        <w:tc>
          <w:tcPr>
            <w:tcW w:w="1744" w:type="dxa"/>
            <w:tcMar>
              <w:top w:w="90" w:type="dxa"/>
              <w:left w:w="90" w:type="dxa"/>
              <w:bottom w:w="90" w:type="dxa"/>
              <w:right w:w="90" w:type="dxa"/>
            </w:tcMar>
            <w:vAlign w:val="center"/>
          </w:tcPr>
          <w:p w14:paraId="7A280409"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6C2FD87C" w14:textId="77777777" w:rsidR="00641412" w:rsidRDefault="00000000">
            <w:pPr>
              <w:spacing w:line="252" w:lineRule="auto"/>
              <w:jc w:val="center"/>
            </w:pPr>
            <w:r>
              <w:rPr>
                <w:rFonts w:ascii="Times New Roman" w:eastAsia="標楷體" w:hAnsi="Times New Roman"/>
                <w:sz w:val="18"/>
              </w:rPr>
              <w:t>1000</w:t>
            </w:r>
          </w:p>
        </w:tc>
        <w:tc>
          <w:tcPr>
            <w:tcW w:w="1744" w:type="dxa"/>
            <w:tcMar>
              <w:top w:w="90" w:type="dxa"/>
              <w:left w:w="90" w:type="dxa"/>
              <w:bottom w:w="90" w:type="dxa"/>
              <w:right w:w="90" w:type="dxa"/>
            </w:tcMar>
            <w:vAlign w:val="center"/>
          </w:tcPr>
          <w:p w14:paraId="0290F9C6"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0ECAC3A0" w14:textId="77777777" w:rsidR="00641412" w:rsidRDefault="00000000">
            <w:pPr>
              <w:spacing w:line="252" w:lineRule="auto"/>
              <w:jc w:val="center"/>
            </w:pPr>
            <w:r>
              <w:rPr>
                <w:rFonts w:ascii="Times New Roman" w:eastAsia="標楷體" w:hAnsi="Times New Roman"/>
                <w:sz w:val="18"/>
              </w:rPr>
              <w:t>0.695</w:t>
            </w:r>
          </w:p>
        </w:tc>
        <w:tc>
          <w:tcPr>
            <w:tcW w:w="1744" w:type="dxa"/>
            <w:tcMar>
              <w:top w:w="90" w:type="dxa"/>
              <w:left w:w="90" w:type="dxa"/>
              <w:bottom w:w="90" w:type="dxa"/>
              <w:right w:w="90" w:type="dxa"/>
            </w:tcMar>
            <w:vAlign w:val="center"/>
          </w:tcPr>
          <w:p w14:paraId="13BF886D" w14:textId="77777777" w:rsidR="00641412" w:rsidRDefault="00000000">
            <w:pPr>
              <w:spacing w:line="252" w:lineRule="auto"/>
              <w:jc w:val="center"/>
            </w:pPr>
            <w:r>
              <w:rPr>
                <w:rFonts w:ascii="Times New Roman" w:eastAsia="標楷體" w:hAnsi="Times New Roman"/>
                <w:sz w:val="18"/>
              </w:rPr>
              <w:t>0.353</w:t>
            </w:r>
          </w:p>
        </w:tc>
      </w:tr>
      <w:tr w:rsidR="00641412" w14:paraId="0F37405C" w14:textId="77777777">
        <w:trPr>
          <w:jc w:val="center"/>
        </w:trPr>
        <w:tc>
          <w:tcPr>
            <w:tcW w:w="1744" w:type="dxa"/>
            <w:tcMar>
              <w:top w:w="90" w:type="dxa"/>
              <w:left w:w="90" w:type="dxa"/>
              <w:bottom w:w="90" w:type="dxa"/>
              <w:right w:w="90" w:type="dxa"/>
            </w:tcMar>
            <w:vAlign w:val="center"/>
          </w:tcPr>
          <w:p w14:paraId="2878EC83" w14:textId="77777777" w:rsidR="00641412" w:rsidRDefault="00000000">
            <w:pPr>
              <w:spacing w:line="252" w:lineRule="auto"/>
            </w:pPr>
            <w:r>
              <w:rPr>
                <w:rFonts w:ascii="Times New Roman" w:eastAsia="標楷體" w:hAnsi="Times New Roman"/>
                <w:sz w:val="18"/>
              </w:rPr>
              <w:t>刑事</w:t>
            </w:r>
          </w:p>
        </w:tc>
        <w:tc>
          <w:tcPr>
            <w:tcW w:w="1744" w:type="dxa"/>
            <w:tcMar>
              <w:top w:w="90" w:type="dxa"/>
              <w:left w:w="90" w:type="dxa"/>
              <w:bottom w:w="90" w:type="dxa"/>
              <w:right w:w="90" w:type="dxa"/>
            </w:tcMar>
            <w:vAlign w:val="center"/>
          </w:tcPr>
          <w:p w14:paraId="42161962"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64D89C7E" w14:textId="77777777" w:rsidR="00641412" w:rsidRDefault="00000000">
            <w:pPr>
              <w:spacing w:line="252" w:lineRule="auto"/>
              <w:jc w:val="center"/>
            </w:pPr>
            <w:r>
              <w:rPr>
                <w:rFonts w:ascii="Times New Roman" w:eastAsia="標楷體" w:hAnsi="Times New Roman"/>
                <w:sz w:val="18"/>
              </w:rPr>
              <w:t>5000</w:t>
            </w:r>
          </w:p>
        </w:tc>
        <w:tc>
          <w:tcPr>
            <w:tcW w:w="1744" w:type="dxa"/>
            <w:tcMar>
              <w:top w:w="90" w:type="dxa"/>
              <w:left w:w="90" w:type="dxa"/>
              <w:bottom w:w="90" w:type="dxa"/>
              <w:right w:w="90" w:type="dxa"/>
            </w:tcMar>
            <w:vAlign w:val="center"/>
          </w:tcPr>
          <w:p w14:paraId="64F86A15"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290A9F71" w14:textId="77777777" w:rsidR="00641412" w:rsidRDefault="00000000">
            <w:pPr>
              <w:spacing w:line="252" w:lineRule="auto"/>
              <w:jc w:val="center"/>
            </w:pPr>
            <w:r>
              <w:rPr>
                <w:rFonts w:ascii="Times New Roman" w:eastAsia="標楷體" w:hAnsi="Times New Roman"/>
                <w:sz w:val="18"/>
              </w:rPr>
              <w:t>0.928</w:t>
            </w:r>
          </w:p>
        </w:tc>
        <w:tc>
          <w:tcPr>
            <w:tcW w:w="1744" w:type="dxa"/>
            <w:tcMar>
              <w:top w:w="90" w:type="dxa"/>
              <w:left w:w="90" w:type="dxa"/>
              <w:bottom w:w="90" w:type="dxa"/>
              <w:right w:w="90" w:type="dxa"/>
            </w:tcMar>
            <w:vAlign w:val="center"/>
          </w:tcPr>
          <w:p w14:paraId="1793768A" w14:textId="77777777" w:rsidR="00641412" w:rsidRDefault="00000000">
            <w:pPr>
              <w:spacing w:line="252" w:lineRule="auto"/>
              <w:jc w:val="center"/>
            </w:pPr>
            <w:r>
              <w:rPr>
                <w:rFonts w:ascii="Times New Roman" w:eastAsia="標楷體" w:hAnsi="Times New Roman"/>
                <w:sz w:val="18"/>
              </w:rPr>
              <w:t>0.390</w:t>
            </w:r>
          </w:p>
        </w:tc>
      </w:tr>
      <w:tr w:rsidR="00641412" w14:paraId="5EB64A6F" w14:textId="77777777">
        <w:trPr>
          <w:jc w:val="center"/>
        </w:trPr>
        <w:tc>
          <w:tcPr>
            <w:tcW w:w="1744" w:type="dxa"/>
            <w:tcMar>
              <w:top w:w="90" w:type="dxa"/>
              <w:left w:w="90" w:type="dxa"/>
              <w:bottom w:w="90" w:type="dxa"/>
              <w:right w:w="90" w:type="dxa"/>
            </w:tcMar>
            <w:vAlign w:val="center"/>
          </w:tcPr>
          <w:p w14:paraId="55ACD40D" w14:textId="77777777" w:rsidR="00641412" w:rsidRDefault="00000000">
            <w:pPr>
              <w:spacing w:line="252" w:lineRule="auto"/>
            </w:pPr>
            <w:r>
              <w:rPr>
                <w:rFonts w:ascii="Times New Roman" w:eastAsia="標楷體" w:hAnsi="Times New Roman"/>
                <w:sz w:val="18"/>
              </w:rPr>
              <w:t>刑事附帶民事</w:t>
            </w:r>
          </w:p>
        </w:tc>
        <w:tc>
          <w:tcPr>
            <w:tcW w:w="1744" w:type="dxa"/>
            <w:tcMar>
              <w:top w:w="90" w:type="dxa"/>
              <w:left w:w="90" w:type="dxa"/>
              <w:bottom w:w="90" w:type="dxa"/>
              <w:right w:w="90" w:type="dxa"/>
            </w:tcMar>
            <w:vAlign w:val="center"/>
          </w:tcPr>
          <w:p w14:paraId="624FCD43"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2A827BAD" w14:textId="77777777" w:rsidR="00641412" w:rsidRDefault="00000000">
            <w:pPr>
              <w:spacing w:line="252" w:lineRule="auto"/>
              <w:jc w:val="center"/>
            </w:pPr>
            <w:r>
              <w:rPr>
                <w:rFonts w:ascii="Times New Roman" w:eastAsia="標楷體" w:hAnsi="Times New Roman"/>
                <w:sz w:val="18"/>
              </w:rPr>
              <w:t>1000</w:t>
            </w:r>
          </w:p>
        </w:tc>
        <w:tc>
          <w:tcPr>
            <w:tcW w:w="1744" w:type="dxa"/>
            <w:tcMar>
              <w:top w:w="90" w:type="dxa"/>
              <w:left w:w="90" w:type="dxa"/>
              <w:bottom w:w="90" w:type="dxa"/>
              <w:right w:w="90" w:type="dxa"/>
            </w:tcMar>
            <w:vAlign w:val="center"/>
          </w:tcPr>
          <w:p w14:paraId="6ACF6ABF" w14:textId="77777777" w:rsidR="00641412" w:rsidRDefault="00000000">
            <w:pPr>
              <w:spacing w:line="252" w:lineRule="auto"/>
              <w:jc w:val="center"/>
            </w:pPr>
            <w:r>
              <w:rPr>
                <w:rFonts w:ascii="Times New Roman" w:eastAsia="標楷體" w:hAnsi="Times New Roman"/>
                <w:sz w:val="18"/>
              </w:rPr>
              <w:t>0.125</w:t>
            </w:r>
          </w:p>
        </w:tc>
        <w:tc>
          <w:tcPr>
            <w:tcW w:w="1744" w:type="dxa"/>
            <w:tcMar>
              <w:top w:w="90" w:type="dxa"/>
              <w:left w:w="90" w:type="dxa"/>
              <w:bottom w:w="90" w:type="dxa"/>
              <w:right w:w="90" w:type="dxa"/>
            </w:tcMar>
            <w:vAlign w:val="center"/>
          </w:tcPr>
          <w:p w14:paraId="323F057E" w14:textId="77777777" w:rsidR="00641412" w:rsidRDefault="00000000">
            <w:pPr>
              <w:spacing w:line="252" w:lineRule="auto"/>
              <w:jc w:val="center"/>
            </w:pPr>
            <w:r>
              <w:rPr>
                <w:rFonts w:ascii="Times New Roman" w:eastAsia="標楷體" w:hAnsi="Times New Roman"/>
                <w:sz w:val="18"/>
              </w:rPr>
              <w:t>0.823</w:t>
            </w:r>
          </w:p>
        </w:tc>
        <w:tc>
          <w:tcPr>
            <w:tcW w:w="1744" w:type="dxa"/>
            <w:tcMar>
              <w:top w:w="90" w:type="dxa"/>
              <w:left w:w="90" w:type="dxa"/>
              <w:bottom w:w="90" w:type="dxa"/>
              <w:right w:w="90" w:type="dxa"/>
            </w:tcMar>
            <w:vAlign w:val="center"/>
          </w:tcPr>
          <w:p w14:paraId="36C28007" w14:textId="77777777" w:rsidR="00641412" w:rsidRDefault="00000000">
            <w:pPr>
              <w:spacing w:line="252" w:lineRule="auto"/>
              <w:jc w:val="center"/>
            </w:pPr>
            <w:r>
              <w:rPr>
                <w:rFonts w:ascii="Times New Roman" w:eastAsia="標楷體" w:hAnsi="Times New Roman"/>
                <w:sz w:val="18"/>
              </w:rPr>
              <w:t>0.545</w:t>
            </w:r>
          </w:p>
        </w:tc>
      </w:tr>
    </w:tbl>
    <w:p w14:paraId="12525F84" w14:textId="77777777" w:rsidR="00641412" w:rsidRDefault="00000000">
      <w:pPr>
        <w:spacing w:after="120" w:line="276" w:lineRule="auto"/>
        <w:ind w:firstLine="480"/>
      </w:pPr>
      <w:r>
        <w:rPr>
          <w:rFonts w:ascii="Times New Roman" w:eastAsia="標楷體" w:hAnsi="Times New Roman"/>
        </w:rPr>
        <w:t>從表</w:t>
      </w:r>
      <w:r>
        <w:rPr>
          <w:rFonts w:ascii="Times New Roman" w:eastAsia="標楷體" w:hAnsi="Times New Roman"/>
        </w:rPr>
        <w:t xml:space="preserve"> 4-1 </w:t>
      </w:r>
      <w:r>
        <w:rPr>
          <w:rFonts w:ascii="Times New Roman" w:eastAsia="標楷體" w:hAnsi="Times New Roman"/>
        </w:rPr>
        <w:t>的</w:t>
      </w:r>
      <w:r>
        <w:rPr>
          <w:rFonts w:ascii="Times New Roman" w:eastAsia="標楷體" w:hAnsi="Times New Roman"/>
        </w:rPr>
        <w:t xml:space="preserve"> Accuracy </w:t>
      </w:r>
      <w:r>
        <w:rPr>
          <w:rFonts w:ascii="Times New Roman" w:eastAsia="標楷體" w:hAnsi="Times New Roman"/>
        </w:rPr>
        <w:t>與</w:t>
      </w:r>
      <w:r>
        <w:rPr>
          <w:rFonts w:ascii="Times New Roman" w:eastAsia="標楷體" w:hAnsi="Times New Roman"/>
        </w:rPr>
        <w:t xml:space="preserve"> Macro F1 </w:t>
      </w:r>
      <w:r>
        <w:rPr>
          <w:rFonts w:ascii="Times New Roman" w:eastAsia="標楷體" w:hAnsi="Times New Roman"/>
        </w:rPr>
        <w:t>落差可看出，</w:t>
      </w:r>
      <w:r>
        <w:rPr>
          <w:rFonts w:ascii="Times New Roman" w:eastAsia="標楷體" w:hAnsi="Times New Roman"/>
        </w:rPr>
        <w:t xml:space="preserve">MNIR+SVM </w:t>
      </w:r>
      <w:r>
        <w:rPr>
          <w:rFonts w:ascii="Times New Roman" w:eastAsia="標楷體" w:hAnsi="Times New Roman"/>
        </w:rPr>
        <w:t>在部分資料集雖取得較高</w:t>
      </w:r>
      <w:r>
        <w:rPr>
          <w:rFonts w:ascii="Times New Roman" w:eastAsia="標楷體" w:hAnsi="Times New Roman"/>
        </w:rPr>
        <w:t xml:space="preserve"> Accuracy</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並未同步提升。例如行政與刑事資料集之</w:t>
      </w:r>
      <w:r>
        <w:rPr>
          <w:rFonts w:ascii="Times New Roman" w:eastAsia="標楷體" w:hAnsi="Times New Roman"/>
        </w:rPr>
        <w:t xml:space="preserve"> Accuracy </w:t>
      </w:r>
      <w:r>
        <w:rPr>
          <w:rFonts w:ascii="Times New Roman" w:eastAsia="標楷體" w:hAnsi="Times New Roman"/>
        </w:rPr>
        <w:t>分別為</w:t>
      </w:r>
      <w:r>
        <w:rPr>
          <w:rFonts w:ascii="Times New Roman" w:eastAsia="標楷體" w:hAnsi="Times New Roman"/>
        </w:rPr>
        <w:t xml:space="preserve"> 0.875 </w:t>
      </w:r>
      <w:r>
        <w:rPr>
          <w:rFonts w:ascii="Times New Roman" w:eastAsia="標楷體" w:hAnsi="Times New Roman"/>
        </w:rPr>
        <w:t>與</w:t>
      </w:r>
      <w:r>
        <w:rPr>
          <w:rFonts w:ascii="Times New Roman" w:eastAsia="標楷體" w:hAnsi="Times New Roman"/>
        </w:rPr>
        <w:t xml:space="preserve"> 0.928</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僅為</w:t>
      </w:r>
      <w:r>
        <w:rPr>
          <w:rFonts w:ascii="Times New Roman" w:eastAsia="標楷體" w:hAnsi="Times New Roman"/>
        </w:rPr>
        <w:t xml:space="preserve"> 0.318 </w:t>
      </w:r>
      <w:r>
        <w:rPr>
          <w:rFonts w:ascii="Times New Roman" w:eastAsia="標楷體" w:hAnsi="Times New Roman"/>
        </w:rPr>
        <w:t>與</w:t>
      </w:r>
      <w:r>
        <w:rPr>
          <w:rFonts w:ascii="Times New Roman" w:eastAsia="標楷體" w:hAnsi="Times New Roman"/>
        </w:rPr>
        <w:t xml:space="preserve"> 0.390</w:t>
      </w:r>
      <w:r>
        <w:rPr>
          <w:rFonts w:ascii="Times New Roman" w:eastAsia="標楷體" w:hAnsi="Times New Roman"/>
        </w:rPr>
        <w:t>。結合第三章之標籤分布可知，這類落差主要反映類別不平衡下</w:t>
      </w:r>
      <w:r>
        <w:rPr>
          <w:rFonts w:ascii="Times New Roman" w:eastAsia="標楷體" w:hAnsi="Times New Roman"/>
        </w:rPr>
        <w:t xml:space="preserve"> Accuracy </w:t>
      </w:r>
      <w:r>
        <w:rPr>
          <w:rFonts w:ascii="Times New Roman" w:eastAsia="標楷體" w:hAnsi="Times New Roman"/>
        </w:rPr>
        <w:t>容易受多數類別影響，因此上述結果不宜解讀為模型已能均衡辨識敗訴、部分勝訴與勝訴三類裁判結果。</w:t>
      </w:r>
    </w:p>
    <w:p w14:paraId="7D270099" w14:textId="77777777" w:rsidR="00641412" w:rsidRDefault="00000000">
      <w:pPr>
        <w:spacing w:after="120" w:line="276" w:lineRule="auto"/>
        <w:ind w:firstLine="480"/>
      </w:pPr>
      <w:r>
        <w:rPr>
          <w:rFonts w:ascii="Times New Roman" w:eastAsia="標楷體" w:hAnsi="Times New Roman"/>
        </w:rPr>
        <w:t>相較之下，刑事附帶民事資料集之</w:t>
      </w:r>
      <w:r>
        <w:rPr>
          <w:rFonts w:ascii="Times New Roman" w:eastAsia="標楷體" w:hAnsi="Times New Roman"/>
        </w:rPr>
        <w:t xml:space="preserve"> Macro F1 </w:t>
      </w:r>
      <w:r>
        <w:rPr>
          <w:rFonts w:ascii="Times New Roman" w:eastAsia="標楷體" w:hAnsi="Times New Roman"/>
        </w:rPr>
        <w:t>達</w:t>
      </w:r>
      <w:r>
        <w:rPr>
          <w:rFonts w:ascii="Times New Roman" w:eastAsia="標楷體" w:hAnsi="Times New Roman"/>
        </w:rPr>
        <w:t xml:space="preserve"> 0.545</w:t>
      </w:r>
      <w:r>
        <w:rPr>
          <w:rFonts w:ascii="Times New Roman" w:eastAsia="標楷體" w:hAnsi="Times New Roman"/>
        </w:rPr>
        <w:t>，表示</w:t>
      </w:r>
      <w:r>
        <w:rPr>
          <w:rFonts w:ascii="Times New Roman" w:eastAsia="標楷體" w:hAnsi="Times New Roman"/>
        </w:rPr>
        <w:t xml:space="preserve"> MNIR+SVM </w:t>
      </w:r>
      <w:r>
        <w:rPr>
          <w:rFonts w:ascii="Times New Roman" w:eastAsia="標楷體" w:hAnsi="Times New Roman"/>
        </w:rPr>
        <w:t>在該資料集上的三類平均表現相對較高。不過，此處僅為整體</w:t>
      </w:r>
      <w:r>
        <w:rPr>
          <w:rFonts w:ascii="Times New Roman" w:eastAsia="標楷體" w:hAnsi="Times New Roman"/>
        </w:rPr>
        <w:t xml:space="preserve"> Macro F1 </w:t>
      </w:r>
      <w:r>
        <w:rPr>
          <w:rFonts w:ascii="Times New Roman" w:eastAsia="標楷體" w:hAnsi="Times New Roman"/>
        </w:rPr>
        <w:t>比較，尚不能代表三個裁判結果類別皆被穩定辨識，仍需於後續錯誤分析中進一步檢視各類別表現。</w:t>
      </w:r>
    </w:p>
    <w:p w14:paraId="5C4EEFE2" w14:textId="77777777" w:rsidR="00641412" w:rsidRDefault="00000000">
      <w:pPr>
        <w:spacing w:after="120" w:line="276" w:lineRule="auto"/>
        <w:ind w:firstLine="480"/>
      </w:pPr>
      <w:r>
        <w:rPr>
          <w:rFonts w:ascii="Times New Roman" w:eastAsia="標楷體" w:hAnsi="Times New Roman"/>
        </w:rPr>
        <w:t>整體而言，</w:t>
      </w:r>
      <w:r>
        <w:rPr>
          <w:rFonts w:ascii="Times New Roman" w:eastAsia="標楷體" w:hAnsi="Times New Roman"/>
        </w:rPr>
        <w:t xml:space="preserve">MNIR+SVM </w:t>
      </w:r>
      <w:r>
        <w:rPr>
          <w:rFonts w:ascii="Times New Roman" w:eastAsia="標楷體" w:hAnsi="Times New Roman"/>
        </w:rPr>
        <w:t>可形成可執行的分類流程，但其</w:t>
      </w:r>
      <w:r>
        <w:rPr>
          <w:rFonts w:ascii="Times New Roman" w:eastAsia="標楷體" w:hAnsi="Times New Roman"/>
        </w:rPr>
        <w:t xml:space="preserve"> Macro F1 </w:t>
      </w:r>
      <w:r>
        <w:rPr>
          <w:rFonts w:ascii="Times New Roman" w:eastAsia="標楷體" w:hAnsi="Times New Roman"/>
        </w:rPr>
        <w:t>表現仍受到資料類別不平衡與案件類型差異影響。因此，</w:t>
      </w:r>
      <w:r>
        <w:rPr>
          <w:rFonts w:ascii="Times New Roman" w:eastAsia="標楷體" w:hAnsi="Times New Roman"/>
        </w:rPr>
        <w:t xml:space="preserve">MNIR+SVM </w:t>
      </w:r>
      <w:r>
        <w:rPr>
          <w:rFonts w:ascii="Times New Roman" w:eastAsia="標楷體" w:hAnsi="Times New Roman"/>
        </w:rPr>
        <w:t>的結果尚未能單獨支持</w:t>
      </w:r>
      <w:r>
        <w:rPr>
          <w:rFonts w:ascii="Times New Roman" w:eastAsia="標楷體" w:hAnsi="Times New Roman"/>
        </w:rPr>
        <w:t xml:space="preserve"> MNIR </w:t>
      </w:r>
      <w:r>
        <w:rPr>
          <w:rFonts w:ascii="Times New Roman" w:eastAsia="標楷體" w:hAnsi="Times New Roman"/>
        </w:rPr>
        <w:t>特徵轉換具有穩定增益；若要判斷</w:t>
      </w:r>
      <w:r>
        <w:rPr>
          <w:rFonts w:ascii="Times New Roman" w:eastAsia="標楷體" w:hAnsi="Times New Roman"/>
        </w:rPr>
        <w:t xml:space="preserve"> MNIR </w:t>
      </w:r>
      <w:r>
        <w:rPr>
          <w:rFonts w:ascii="Times New Roman" w:eastAsia="標楷體" w:hAnsi="Times New Roman"/>
        </w:rPr>
        <w:t>是否改善分類效果，仍需與不經</w:t>
      </w:r>
      <w:r>
        <w:rPr>
          <w:rFonts w:ascii="Times New Roman" w:eastAsia="標楷體" w:hAnsi="Times New Roman"/>
        </w:rPr>
        <w:t xml:space="preserve"> MNIR </w:t>
      </w:r>
      <w:r>
        <w:rPr>
          <w:rFonts w:ascii="Times New Roman" w:eastAsia="標楷體" w:hAnsi="Times New Roman"/>
        </w:rPr>
        <w:t>轉換之</w:t>
      </w:r>
      <w:r>
        <w:rPr>
          <w:rFonts w:ascii="Times New Roman" w:eastAsia="標楷體" w:hAnsi="Times New Roman"/>
        </w:rPr>
        <w:t xml:space="preserve"> Direct SVM </w:t>
      </w:r>
      <w:r>
        <w:rPr>
          <w:rFonts w:ascii="Times New Roman" w:eastAsia="標楷體" w:hAnsi="Times New Roman"/>
        </w:rPr>
        <w:t>對照流程進行比較。</w:t>
      </w:r>
    </w:p>
    <w:p w14:paraId="5B558625" w14:textId="77777777" w:rsidR="00641412" w:rsidRDefault="00000000">
      <w:pPr>
        <w:pStyle w:val="2"/>
        <w:spacing w:before="200" w:after="120" w:line="276" w:lineRule="auto"/>
      </w:pPr>
      <w:r>
        <w:rPr>
          <w:rFonts w:ascii="Times New Roman" w:eastAsia="標楷體" w:hAnsi="Times New Roman"/>
          <w:b/>
          <w:sz w:val="28"/>
        </w:rPr>
        <w:t xml:space="preserve">4.3 Direct SVM </w:t>
      </w:r>
      <w:r>
        <w:rPr>
          <w:rFonts w:ascii="Times New Roman" w:eastAsia="標楷體" w:hAnsi="Times New Roman"/>
          <w:b/>
          <w:sz w:val="28"/>
        </w:rPr>
        <w:t>對照流程之模型表現</w:t>
      </w:r>
    </w:p>
    <w:p w14:paraId="7B08197F" w14:textId="77777777" w:rsidR="00641412" w:rsidRDefault="00000000">
      <w:pPr>
        <w:spacing w:after="120" w:line="276" w:lineRule="auto"/>
        <w:ind w:firstLine="480"/>
      </w:pPr>
      <w:r>
        <w:rPr>
          <w:rFonts w:ascii="Times New Roman" w:eastAsia="標楷體" w:hAnsi="Times New Roman"/>
        </w:rPr>
        <w:t>本節進一步呈現</w:t>
      </w:r>
      <w:r>
        <w:rPr>
          <w:rFonts w:ascii="Times New Roman" w:eastAsia="標楷體" w:hAnsi="Times New Roman"/>
        </w:rPr>
        <w:t xml:space="preserve"> Chi-square + Direct SVM </w:t>
      </w:r>
      <w:r>
        <w:rPr>
          <w:rFonts w:ascii="Times New Roman" w:eastAsia="標楷體" w:hAnsi="Times New Roman"/>
        </w:rPr>
        <w:t>對照流程之表現。</w:t>
      </w:r>
      <w:r>
        <w:rPr>
          <w:rFonts w:ascii="Times New Roman" w:eastAsia="標楷體" w:hAnsi="Times New Roman"/>
        </w:rPr>
        <w:t xml:space="preserve">Direct SVM </w:t>
      </w:r>
      <w:r>
        <w:rPr>
          <w:rFonts w:ascii="Times New Roman" w:eastAsia="標楷體" w:hAnsi="Times New Roman"/>
        </w:rPr>
        <w:t>不經</w:t>
      </w:r>
      <w:r>
        <w:rPr>
          <w:rFonts w:ascii="Times New Roman" w:eastAsia="標楷體" w:hAnsi="Times New Roman"/>
        </w:rPr>
        <w:t xml:space="preserve"> MNIR </w:t>
      </w:r>
      <w:r>
        <w:rPr>
          <w:rFonts w:ascii="Times New Roman" w:eastAsia="標楷體" w:hAnsi="Times New Roman"/>
        </w:rPr>
        <w:t>特徵轉換，而是直接使用卡方篩選後的稀疏文字特徵訓練</w:t>
      </w:r>
      <w:r>
        <w:rPr>
          <w:rFonts w:ascii="Times New Roman" w:eastAsia="標楷體" w:hAnsi="Times New Roman"/>
        </w:rPr>
        <w:t xml:space="preserve"> SVM</w:t>
      </w:r>
      <w:r>
        <w:rPr>
          <w:rFonts w:ascii="Times New Roman" w:eastAsia="標楷體" w:hAnsi="Times New Roman"/>
        </w:rPr>
        <w:t>，因此可作為檢驗</w:t>
      </w:r>
      <w:r>
        <w:rPr>
          <w:rFonts w:ascii="Times New Roman" w:eastAsia="標楷體" w:hAnsi="Times New Roman"/>
        </w:rPr>
        <w:t xml:space="preserve"> MNIR </w:t>
      </w:r>
      <w:r>
        <w:rPr>
          <w:rFonts w:ascii="Times New Roman" w:eastAsia="標楷體" w:hAnsi="Times New Roman"/>
        </w:rPr>
        <w:t>轉換是否帶來額外增益的對照基準。</w:t>
      </w:r>
    </w:p>
    <w:p w14:paraId="00C71819" w14:textId="77777777" w:rsidR="00641412" w:rsidRDefault="00000000">
      <w:pPr>
        <w:spacing w:after="120" w:line="276" w:lineRule="auto"/>
        <w:ind w:firstLine="480"/>
      </w:pPr>
      <w:r>
        <w:rPr>
          <w:rFonts w:ascii="Times New Roman" w:eastAsia="標楷體" w:hAnsi="Times New Roman"/>
        </w:rPr>
        <w:t>本研究另設置</w:t>
      </w:r>
      <w:r>
        <w:rPr>
          <w:rFonts w:ascii="Times New Roman" w:eastAsia="標楷體" w:hAnsi="Times New Roman"/>
        </w:rPr>
        <w:t xml:space="preserve"> Majority Class baseline </w:t>
      </w:r>
      <w:r>
        <w:rPr>
          <w:rFonts w:ascii="Times New Roman" w:eastAsia="標楷體" w:hAnsi="Times New Roman"/>
        </w:rPr>
        <w:t>作為最低基準模型。</w:t>
      </w:r>
      <w:r>
        <w:rPr>
          <w:rFonts w:ascii="Times New Roman" w:eastAsia="標楷體" w:hAnsi="Times New Roman"/>
        </w:rPr>
        <w:t xml:space="preserve">Majority Class baseline </w:t>
      </w:r>
      <w:r>
        <w:rPr>
          <w:rFonts w:ascii="Times New Roman" w:eastAsia="標楷體" w:hAnsi="Times New Roman"/>
        </w:rPr>
        <w:t>是指模型不根據文本內容進行判斷，而是一律預測訓練資料中樣本數最多的裁判結果類別。若</w:t>
      </w:r>
      <w:r>
        <w:rPr>
          <w:rFonts w:ascii="Times New Roman" w:eastAsia="標楷體" w:hAnsi="Times New Roman"/>
        </w:rPr>
        <w:t xml:space="preserve"> Direct SVM </w:t>
      </w:r>
      <w:r>
        <w:rPr>
          <w:rFonts w:ascii="Times New Roman" w:eastAsia="標楷體" w:hAnsi="Times New Roman"/>
        </w:rPr>
        <w:t>僅略高於或接近此基準，代表模型可能只是受到多數類別分布影響；若明顯高於此基準，則表示模型至少學習到部分文本分類訊息。</w:t>
      </w:r>
    </w:p>
    <w:p w14:paraId="70F42D67"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4-2 </w:t>
      </w:r>
      <w:r>
        <w:rPr>
          <w:rFonts w:ascii="Times New Roman" w:eastAsia="標楷體" w:hAnsi="Times New Roman"/>
        </w:rPr>
        <w:t>呈現</w:t>
      </w:r>
      <w:r>
        <w:rPr>
          <w:rFonts w:ascii="Times New Roman" w:eastAsia="標楷體" w:hAnsi="Times New Roman"/>
        </w:rPr>
        <w:t xml:space="preserve"> Chi-square + Direct SVM </w:t>
      </w:r>
      <w:r>
        <w:rPr>
          <w:rFonts w:ascii="Times New Roman" w:eastAsia="標楷體" w:hAnsi="Times New Roman"/>
        </w:rPr>
        <w:t>於各資料集之最佳表現。</w:t>
      </w:r>
      <w:r>
        <w:rPr>
          <w:rFonts w:ascii="Times New Roman" w:eastAsia="標楷體" w:hAnsi="Times New Roman"/>
        </w:rPr>
        <w:t xml:space="preserve">Direct SVM </w:t>
      </w:r>
      <w:r>
        <w:rPr>
          <w:rFonts w:ascii="Times New Roman" w:eastAsia="標楷體" w:hAnsi="Times New Roman"/>
        </w:rPr>
        <w:t>在四類資料集中的</w:t>
      </w:r>
      <w:r>
        <w:rPr>
          <w:rFonts w:ascii="Times New Roman" w:eastAsia="標楷體" w:hAnsi="Times New Roman"/>
        </w:rPr>
        <w:t xml:space="preserve"> Macro F1 </w:t>
      </w:r>
      <w:r>
        <w:rPr>
          <w:rFonts w:ascii="Times New Roman" w:eastAsia="標楷體" w:hAnsi="Times New Roman"/>
        </w:rPr>
        <w:t>介於</w:t>
      </w:r>
      <w:r>
        <w:rPr>
          <w:rFonts w:ascii="Times New Roman" w:eastAsia="標楷體" w:hAnsi="Times New Roman"/>
        </w:rPr>
        <w:t xml:space="preserve"> 0.380 </w:t>
      </w:r>
      <w:r>
        <w:rPr>
          <w:rFonts w:ascii="Times New Roman" w:eastAsia="標楷體" w:hAnsi="Times New Roman"/>
        </w:rPr>
        <w:t>至</w:t>
      </w:r>
      <w:r>
        <w:rPr>
          <w:rFonts w:ascii="Times New Roman" w:eastAsia="標楷體" w:hAnsi="Times New Roman"/>
        </w:rPr>
        <w:t xml:space="preserve"> 0.654</w:t>
      </w:r>
      <w:r>
        <w:rPr>
          <w:rFonts w:ascii="Times New Roman" w:eastAsia="標楷體" w:hAnsi="Times New Roman"/>
        </w:rPr>
        <w:t>，且皆高於</w:t>
      </w:r>
      <w:r>
        <w:rPr>
          <w:rFonts w:ascii="Times New Roman" w:eastAsia="標楷體" w:hAnsi="Times New Roman"/>
        </w:rPr>
        <w:t xml:space="preserve"> Majority Class baseline</w:t>
      </w:r>
      <w:r>
        <w:rPr>
          <w:rFonts w:ascii="Times New Roman" w:eastAsia="標楷體" w:hAnsi="Times New Roman"/>
        </w:rPr>
        <w:t>。其中，刑事附帶民事資料集之</w:t>
      </w:r>
      <w:r>
        <w:rPr>
          <w:rFonts w:ascii="Times New Roman" w:eastAsia="標楷體" w:hAnsi="Times New Roman"/>
        </w:rPr>
        <w:t xml:space="preserve"> Macro F1 </w:t>
      </w:r>
      <w:r>
        <w:rPr>
          <w:rFonts w:ascii="Times New Roman" w:eastAsia="標楷體" w:hAnsi="Times New Roman"/>
        </w:rPr>
        <w:t>最高，為</w:t>
      </w:r>
      <w:r>
        <w:rPr>
          <w:rFonts w:ascii="Times New Roman" w:eastAsia="標楷體" w:hAnsi="Times New Roman"/>
        </w:rPr>
        <w:t xml:space="preserve"> 0.654</w:t>
      </w:r>
      <w:r>
        <w:rPr>
          <w:rFonts w:ascii="Times New Roman" w:eastAsia="標楷體" w:hAnsi="Times New Roman"/>
        </w:rPr>
        <w:t>；刑事資料集次之，為</w:t>
      </w:r>
      <w:r>
        <w:rPr>
          <w:rFonts w:ascii="Times New Roman" w:eastAsia="標楷體" w:hAnsi="Times New Roman"/>
        </w:rPr>
        <w:t xml:space="preserve"> 0.577</w:t>
      </w:r>
      <w:r>
        <w:rPr>
          <w:rFonts w:ascii="Times New Roman" w:eastAsia="標楷體" w:hAnsi="Times New Roman"/>
        </w:rPr>
        <w:t>；民事與行政資料集分別為</w:t>
      </w:r>
      <w:r>
        <w:rPr>
          <w:rFonts w:ascii="Times New Roman" w:eastAsia="標楷體" w:hAnsi="Times New Roman"/>
        </w:rPr>
        <w:t xml:space="preserve"> 0.428 </w:t>
      </w:r>
      <w:r>
        <w:rPr>
          <w:rFonts w:ascii="Times New Roman" w:eastAsia="標楷體" w:hAnsi="Times New Roman"/>
        </w:rPr>
        <w:t>與</w:t>
      </w:r>
      <w:r>
        <w:rPr>
          <w:rFonts w:ascii="Times New Roman" w:eastAsia="標楷體" w:hAnsi="Times New Roman"/>
        </w:rPr>
        <w:t xml:space="preserve"> 0.380</w:t>
      </w:r>
      <w:r>
        <w:rPr>
          <w:rFonts w:ascii="Times New Roman" w:eastAsia="標楷體" w:hAnsi="Times New Roman"/>
        </w:rPr>
        <w:t>。</w:t>
      </w:r>
    </w:p>
    <w:p w14:paraId="627EBCB5"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4-2 Chi-square + Direct SVM </w:t>
      </w:r>
      <w:r>
        <w:rPr>
          <w:rFonts w:ascii="Times New Roman" w:eastAsia="標楷體" w:hAnsi="Times New Roman"/>
          <w:b/>
          <w:sz w:val="20"/>
        </w:rPr>
        <w:t>於各資料集之最佳表現</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5771B6CE" w14:textId="77777777">
        <w:trPr>
          <w:tblHeader/>
          <w:jc w:val="center"/>
        </w:trPr>
        <w:tc>
          <w:tcPr>
            <w:tcW w:w="2093" w:type="dxa"/>
            <w:shd w:val="clear" w:color="auto" w:fill="D9EAF7"/>
            <w:tcMar>
              <w:top w:w="90" w:type="dxa"/>
              <w:left w:w="90" w:type="dxa"/>
              <w:bottom w:w="90" w:type="dxa"/>
              <w:right w:w="90" w:type="dxa"/>
            </w:tcMar>
            <w:vAlign w:val="center"/>
          </w:tcPr>
          <w:p w14:paraId="331A4D89" w14:textId="77777777" w:rsidR="00641412" w:rsidRDefault="00000000">
            <w:pPr>
              <w:spacing w:line="252" w:lineRule="auto"/>
            </w:pPr>
            <w:r>
              <w:rPr>
                <w:rFonts w:ascii="Times New Roman" w:eastAsia="標楷體" w:hAnsi="Times New Roman"/>
                <w:b/>
                <w:sz w:val="18"/>
              </w:rPr>
              <w:lastRenderedPageBreak/>
              <w:t>資料集</w:t>
            </w:r>
          </w:p>
        </w:tc>
        <w:tc>
          <w:tcPr>
            <w:tcW w:w="2093" w:type="dxa"/>
            <w:shd w:val="clear" w:color="auto" w:fill="D9EAF7"/>
            <w:tcMar>
              <w:top w:w="90" w:type="dxa"/>
              <w:left w:w="90" w:type="dxa"/>
              <w:bottom w:w="90" w:type="dxa"/>
              <w:right w:w="90" w:type="dxa"/>
            </w:tcMar>
            <w:vAlign w:val="center"/>
          </w:tcPr>
          <w:p w14:paraId="131D5C2F" w14:textId="77777777" w:rsidR="00641412" w:rsidRDefault="00000000">
            <w:pPr>
              <w:spacing w:line="252" w:lineRule="auto"/>
              <w:jc w:val="center"/>
            </w:pPr>
            <w:r>
              <w:rPr>
                <w:rFonts w:ascii="Times New Roman" w:eastAsia="標楷體" w:hAnsi="Times New Roman"/>
                <w:b/>
                <w:sz w:val="18"/>
              </w:rPr>
              <w:t xml:space="preserve">Direct </w:t>
            </w:r>
            <w:r>
              <w:rPr>
                <w:rFonts w:ascii="Times New Roman" w:eastAsia="標楷體" w:hAnsi="Times New Roman"/>
                <w:b/>
                <w:sz w:val="18"/>
              </w:rPr>
              <w:t>最佳特徵</w:t>
            </w:r>
          </w:p>
        </w:tc>
        <w:tc>
          <w:tcPr>
            <w:tcW w:w="2093" w:type="dxa"/>
            <w:shd w:val="clear" w:color="auto" w:fill="D9EAF7"/>
            <w:tcMar>
              <w:top w:w="90" w:type="dxa"/>
              <w:left w:w="90" w:type="dxa"/>
              <w:bottom w:w="90" w:type="dxa"/>
              <w:right w:w="90" w:type="dxa"/>
            </w:tcMar>
            <w:vAlign w:val="center"/>
          </w:tcPr>
          <w:p w14:paraId="686641A0" w14:textId="77777777" w:rsidR="00641412" w:rsidRDefault="00000000">
            <w:pPr>
              <w:spacing w:line="252" w:lineRule="auto"/>
              <w:jc w:val="center"/>
            </w:pPr>
            <w:r>
              <w:rPr>
                <w:rFonts w:ascii="Times New Roman" w:eastAsia="標楷體" w:hAnsi="Times New Roman"/>
                <w:b/>
                <w:sz w:val="18"/>
              </w:rPr>
              <w:t>Accuracy</w:t>
            </w:r>
          </w:p>
        </w:tc>
        <w:tc>
          <w:tcPr>
            <w:tcW w:w="2093" w:type="dxa"/>
            <w:shd w:val="clear" w:color="auto" w:fill="D9EAF7"/>
            <w:tcMar>
              <w:top w:w="90" w:type="dxa"/>
              <w:left w:w="90" w:type="dxa"/>
              <w:bottom w:w="90" w:type="dxa"/>
              <w:right w:w="90" w:type="dxa"/>
            </w:tcMar>
            <w:vAlign w:val="center"/>
          </w:tcPr>
          <w:p w14:paraId="35F08D10" w14:textId="77777777" w:rsidR="00641412" w:rsidRDefault="00000000">
            <w:pPr>
              <w:spacing w:line="252" w:lineRule="auto"/>
              <w:jc w:val="center"/>
            </w:pPr>
            <w:r>
              <w:rPr>
                <w:rFonts w:ascii="Times New Roman" w:eastAsia="標楷體" w:hAnsi="Times New Roman"/>
                <w:b/>
                <w:sz w:val="18"/>
              </w:rPr>
              <w:t>Macro F1</w:t>
            </w:r>
          </w:p>
        </w:tc>
        <w:tc>
          <w:tcPr>
            <w:tcW w:w="2093" w:type="dxa"/>
            <w:shd w:val="clear" w:color="auto" w:fill="D9EAF7"/>
            <w:tcMar>
              <w:top w:w="90" w:type="dxa"/>
              <w:left w:w="90" w:type="dxa"/>
              <w:bottom w:w="90" w:type="dxa"/>
              <w:right w:w="90" w:type="dxa"/>
            </w:tcMar>
            <w:vAlign w:val="center"/>
          </w:tcPr>
          <w:p w14:paraId="686074E7" w14:textId="77777777" w:rsidR="00641412" w:rsidRDefault="00000000">
            <w:pPr>
              <w:spacing w:line="252" w:lineRule="auto"/>
              <w:jc w:val="center"/>
            </w:pPr>
            <w:r>
              <w:rPr>
                <w:rFonts w:ascii="Times New Roman" w:eastAsia="標楷體" w:hAnsi="Times New Roman"/>
                <w:b/>
                <w:sz w:val="18"/>
              </w:rPr>
              <w:t>Majority Macro F1</w:t>
            </w:r>
          </w:p>
        </w:tc>
      </w:tr>
      <w:tr w:rsidR="00641412" w14:paraId="1885D5F4" w14:textId="77777777">
        <w:trPr>
          <w:jc w:val="center"/>
        </w:trPr>
        <w:tc>
          <w:tcPr>
            <w:tcW w:w="2093" w:type="dxa"/>
            <w:tcMar>
              <w:top w:w="90" w:type="dxa"/>
              <w:left w:w="90" w:type="dxa"/>
              <w:bottom w:w="90" w:type="dxa"/>
              <w:right w:w="90" w:type="dxa"/>
            </w:tcMar>
            <w:vAlign w:val="center"/>
          </w:tcPr>
          <w:p w14:paraId="407EE476" w14:textId="77777777" w:rsidR="00641412" w:rsidRDefault="00000000">
            <w:pPr>
              <w:spacing w:line="252" w:lineRule="auto"/>
            </w:pPr>
            <w:r>
              <w:rPr>
                <w:rFonts w:ascii="Times New Roman" w:eastAsia="標楷體" w:hAnsi="Times New Roman"/>
                <w:sz w:val="18"/>
              </w:rPr>
              <w:t>行政</w:t>
            </w:r>
          </w:p>
        </w:tc>
        <w:tc>
          <w:tcPr>
            <w:tcW w:w="2093" w:type="dxa"/>
            <w:tcMar>
              <w:top w:w="90" w:type="dxa"/>
              <w:left w:w="90" w:type="dxa"/>
              <w:bottom w:w="90" w:type="dxa"/>
              <w:right w:w="90" w:type="dxa"/>
            </w:tcMar>
            <w:vAlign w:val="center"/>
          </w:tcPr>
          <w:p w14:paraId="5F0F64B9" w14:textId="77777777" w:rsidR="00641412" w:rsidRDefault="00000000">
            <w:pPr>
              <w:spacing w:line="252" w:lineRule="auto"/>
              <w:jc w:val="center"/>
            </w:pPr>
            <w:r>
              <w:rPr>
                <w:rFonts w:ascii="Times New Roman" w:eastAsia="標楷體" w:hAnsi="Times New Roman"/>
                <w:sz w:val="18"/>
              </w:rPr>
              <w:t>BoW</w:t>
            </w:r>
          </w:p>
        </w:tc>
        <w:tc>
          <w:tcPr>
            <w:tcW w:w="2093" w:type="dxa"/>
            <w:tcMar>
              <w:top w:w="90" w:type="dxa"/>
              <w:left w:w="90" w:type="dxa"/>
              <w:bottom w:w="90" w:type="dxa"/>
              <w:right w:w="90" w:type="dxa"/>
            </w:tcMar>
            <w:vAlign w:val="center"/>
          </w:tcPr>
          <w:p w14:paraId="6C97EF96" w14:textId="77777777" w:rsidR="00641412" w:rsidRDefault="00000000">
            <w:pPr>
              <w:spacing w:line="252" w:lineRule="auto"/>
              <w:jc w:val="center"/>
            </w:pPr>
            <w:r>
              <w:rPr>
                <w:rFonts w:ascii="Times New Roman" w:eastAsia="標楷體" w:hAnsi="Times New Roman"/>
                <w:sz w:val="18"/>
              </w:rPr>
              <w:t>0.831</w:t>
            </w:r>
          </w:p>
        </w:tc>
        <w:tc>
          <w:tcPr>
            <w:tcW w:w="2093" w:type="dxa"/>
            <w:tcMar>
              <w:top w:w="90" w:type="dxa"/>
              <w:left w:w="90" w:type="dxa"/>
              <w:bottom w:w="90" w:type="dxa"/>
              <w:right w:w="90" w:type="dxa"/>
            </w:tcMar>
            <w:vAlign w:val="center"/>
          </w:tcPr>
          <w:p w14:paraId="1BCF3A4A" w14:textId="77777777" w:rsidR="00641412" w:rsidRDefault="00000000">
            <w:pPr>
              <w:spacing w:line="252" w:lineRule="auto"/>
              <w:jc w:val="center"/>
            </w:pPr>
            <w:r>
              <w:rPr>
                <w:rFonts w:ascii="Times New Roman" w:eastAsia="標楷體" w:hAnsi="Times New Roman"/>
                <w:sz w:val="18"/>
              </w:rPr>
              <w:t>0.380</w:t>
            </w:r>
          </w:p>
        </w:tc>
        <w:tc>
          <w:tcPr>
            <w:tcW w:w="2093" w:type="dxa"/>
            <w:tcMar>
              <w:top w:w="90" w:type="dxa"/>
              <w:left w:w="90" w:type="dxa"/>
              <w:bottom w:w="90" w:type="dxa"/>
              <w:right w:w="90" w:type="dxa"/>
            </w:tcMar>
            <w:vAlign w:val="center"/>
          </w:tcPr>
          <w:p w14:paraId="77FBF8D4" w14:textId="77777777" w:rsidR="00641412" w:rsidRDefault="00000000">
            <w:pPr>
              <w:spacing w:line="252" w:lineRule="auto"/>
              <w:jc w:val="center"/>
            </w:pPr>
            <w:r>
              <w:rPr>
                <w:rFonts w:ascii="Times New Roman" w:eastAsia="標楷體" w:hAnsi="Times New Roman"/>
                <w:sz w:val="18"/>
              </w:rPr>
              <w:t>0.311</w:t>
            </w:r>
          </w:p>
        </w:tc>
      </w:tr>
      <w:tr w:rsidR="00641412" w14:paraId="50AAD98B" w14:textId="77777777">
        <w:trPr>
          <w:jc w:val="center"/>
        </w:trPr>
        <w:tc>
          <w:tcPr>
            <w:tcW w:w="2093" w:type="dxa"/>
            <w:tcMar>
              <w:top w:w="90" w:type="dxa"/>
              <w:left w:w="90" w:type="dxa"/>
              <w:bottom w:w="90" w:type="dxa"/>
              <w:right w:w="90" w:type="dxa"/>
            </w:tcMar>
            <w:vAlign w:val="center"/>
          </w:tcPr>
          <w:p w14:paraId="616DABB5" w14:textId="77777777" w:rsidR="00641412" w:rsidRDefault="00000000">
            <w:pPr>
              <w:spacing w:line="252" w:lineRule="auto"/>
            </w:pPr>
            <w:r>
              <w:rPr>
                <w:rFonts w:ascii="Times New Roman" w:eastAsia="標楷體" w:hAnsi="Times New Roman"/>
                <w:sz w:val="18"/>
              </w:rPr>
              <w:t>民事</w:t>
            </w:r>
          </w:p>
        </w:tc>
        <w:tc>
          <w:tcPr>
            <w:tcW w:w="2093" w:type="dxa"/>
            <w:tcMar>
              <w:top w:w="90" w:type="dxa"/>
              <w:left w:w="90" w:type="dxa"/>
              <w:bottom w:w="90" w:type="dxa"/>
              <w:right w:w="90" w:type="dxa"/>
            </w:tcMar>
            <w:vAlign w:val="center"/>
          </w:tcPr>
          <w:p w14:paraId="47613631" w14:textId="77777777" w:rsidR="00641412" w:rsidRDefault="00000000">
            <w:pPr>
              <w:spacing w:line="252" w:lineRule="auto"/>
              <w:jc w:val="center"/>
            </w:pPr>
            <w:r>
              <w:rPr>
                <w:rFonts w:ascii="Times New Roman" w:eastAsia="標楷體" w:hAnsi="Times New Roman"/>
                <w:sz w:val="18"/>
              </w:rPr>
              <w:t>TF-IDF</w:t>
            </w:r>
          </w:p>
        </w:tc>
        <w:tc>
          <w:tcPr>
            <w:tcW w:w="2093" w:type="dxa"/>
            <w:tcMar>
              <w:top w:w="90" w:type="dxa"/>
              <w:left w:w="90" w:type="dxa"/>
              <w:bottom w:w="90" w:type="dxa"/>
              <w:right w:w="90" w:type="dxa"/>
            </w:tcMar>
            <w:vAlign w:val="center"/>
          </w:tcPr>
          <w:p w14:paraId="7768BDCE" w14:textId="77777777" w:rsidR="00641412" w:rsidRDefault="00000000">
            <w:pPr>
              <w:spacing w:line="252" w:lineRule="auto"/>
              <w:jc w:val="center"/>
            </w:pPr>
            <w:r>
              <w:rPr>
                <w:rFonts w:ascii="Times New Roman" w:eastAsia="標楷體" w:hAnsi="Times New Roman"/>
                <w:sz w:val="18"/>
              </w:rPr>
              <w:t>0.680</w:t>
            </w:r>
          </w:p>
        </w:tc>
        <w:tc>
          <w:tcPr>
            <w:tcW w:w="2093" w:type="dxa"/>
            <w:tcMar>
              <w:top w:w="90" w:type="dxa"/>
              <w:left w:w="90" w:type="dxa"/>
              <w:bottom w:w="90" w:type="dxa"/>
              <w:right w:w="90" w:type="dxa"/>
            </w:tcMar>
            <w:vAlign w:val="center"/>
          </w:tcPr>
          <w:p w14:paraId="08467709" w14:textId="77777777" w:rsidR="00641412" w:rsidRDefault="00000000">
            <w:pPr>
              <w:spacing w:line="252" w:lineRule="auto"/>
              <w:jc w:val="center"/>
            </w:pPr>
            <w:r>
              <w:rPr>
                <w:rFonts w:ascii="Times New Roman" w:eastAsia="標楷體" w:hAnsi="Times New Roman"/>
                <w:sz w:val="18"/>
              </w:rPr>
              <w:t>0.428</w:t>
            </w:r>
          </w:p>
        </w:tc>
        <w:tc>
          <w:tcPr>
            <w:tcW w:w="2093" w:type="dxa"/>
            <w:tcMar>
              <w:top w:w="90" w:type="dxa"/>
              <w:left w:w="90" w:type="dxa"/>
              <w:bottom w:w="90" w:type="dxa"/>
              <w:right w:w="90" w:type="dxa"/>
            </w:tcMar>
            <w:vAlign w:val="center"/>
          </w:tcPr>
          <w:p w14:paraId="125136AA" w14:textId="77777777" w:rsidR="00641412" w:rsidRDefault="00000000">
            <w:pPr>
              <w:spacing w:line="252" w:lineRule="auto"/>
              <w:jc w:val="center"/>
            </w:pPr>
            <w:r>
              <w:rPr>
                <w:rFonts w:ascii="Times New Roman" w:eastAsia="標楷體" w:hAnsi="Times New Roman"/>
                <w:sz w:val="18"/>
              </w:rPr>
              <w:t>0.269</w:t>
            </w:r>
          </w:p>
        </w:tc>
      </w:tr>
      <w:tr w:rsidR="00641412" w14:paraId="0C48FE9C" w14:textId="77777777">
        <w:trPr>
          <w:jc w:val="center"/>
        </w:trPr>
        <w:tc>
          <w:tcPr>
            <w:tcW w:w="2093" w:type="dxa"/>
            <w:tcMar>
              <w:top w:w="90" w:type="dxa"/>
              <w:left w:w="90" w:type="dxa"/>
              <w:bottom w:w="90" w:type="dxa"/>
              <w:right w:w="90" w:type="dxa"/>
            </w:tcMar>
            <w:vAlign w:val="center"/>
          </w:tcPr>
          <w:p w14:paraId="456895C4" w14:textId="77777777" w:rsidR="00641412" w:rsidRDefault="00000000">
            <w:pPr>
              <w:spacing w:line="252" w:lineRule="auto"/>
            </w:pPr>
            <w:r>
              <w:rPr>
                <w:rFonts w:ascii="Times New Roman" w:eastAsia="標楷體" w:hAnsi="Times New Roman"/>
                <w:sz w:val="18"/>
              </w:rPr>
              <w:t>刑事</w:t>
            </w:r>
          </w:p>
        </w:tc>
        <w:tc>
          <w:tcPr>
            <w:tcW w:w="2093" w:type="dxa"/>
            <w:tcMar>
              <w:top w:w="90" w:type="dxa"/>
              <w:left w:w="90" w:type="dxa"/>
              <w:bottom w:w="90" w:type="dxa"/>
              <w:right w:w="90" w:type="dxa"/>
            </w:tcMar>
            <w:vAlign w:val="center"/>
          </w:tcPr>
          <w:p w14:paraId="58466C19" w14:textId="77777777" w:rsidR="00641412" w:rsidRDefault="00000000">
            <w:pPr>
              <w:spacing w:line="252" w:lineRule="auto"/>
              <w:jc w:val="center"/>
            </w:pPr>
            <w:r>
              <w:rPr>
                <w:rFonts w:ascii="Times New Roman" w:eastAsia="標楷體" w:hAnsi="Times New Roman"/>
                <w:sz w:val="18"/>
              </w:rPr>
              <w:t>TF</w:t>
            </w:r>
          </w:p>
        </w:tc>
        <w:tc>
          <w:tcPr>
            <w:tcW w:w="2093" w:type="dxa"/>
            <w:tcMar>
              <w:top w:w="90" w:type="dxa"/>
              <w:left w:w="90" w:type="dxa"/>
              <w:bottom w:w="90" w:type="dxa"/>
              <w:right w:w="90" w:type="dxa"/>
            </w:tcMar>
            <w:vAlign w:val="center"/>
          </w:tcPr>
          <w:p w14:paraId="20ADEA81" w14:textId="77777777" w:rsidR="00641412" w:rsidRDefault="00000000">
            <w:pPr>
              <w:spacing w:line="252" w:lineRule="auto"/>
              <w:jc w:val="center"/>
            </w:pPr>
            <w:r>
              <w:rPr>
                <w:rFonts w:ascii="Times New Roman" w:eastAsia="標楷體" w:hAnsi="Times New Roman"/>
                <w:sz w:val="18"/>
              </w:rPr>
              <w:t>0.951</w:t>
            </w:r>
          </w:p>
        </w:tc>
        <w:tc>
          <w:tcPr>
            <w:tcW w:w="2093" w:type="dxa"/>
            <w:tcMar>
              <w:top w:w="90" w:type="dxa"/>
              <w:left w:w="90" w:type="dxa"/>
              <w:bottom w:w="90" w:type="dxa"/>
              <w:right w:w="90" w:type="dxa"/>
            </w:tcMar>
            <w:vAlign w:val="center"/>
          </w:tcPr>
          <w:p w14:paraId="4B0A0E29" w14:textId="77777777" w:rsidR="00641412" w:rsidRDefault="00000000">
            <w:pPr>
              <w:spacing w:line="252" w:lineRule="auto"/>
              <w:jc w:val="center"/>
            </w:pPr>
            <w:r>
              <w:rPr>
                <w:rFonts w:ascii="Times New Roman" w:eastAsia="標楷體" w:hAnsi="Times New Roman"/>
                <w:sz w:val="18"/>
              </w:rPr>
              <w:t>0.577</w:t>
            </w:r>
          </w:p>
        </w:tc>
        <w:tc>
          <w:tcPr>
            <w:tcW w:w="2093" w:type="dxa"/>
            <w:tcMar>
              <w:top w:w="90" w:type="dxa"/>
              <w:left w:w="90" w:type="dxa"/>
              <w:bottom w:w="90" w:type="dxa"/>
              <w:right w:w="90" w:type="dxa"/>
            </w:tcMar>
            <w:vAlign w:val="center"/>
          </w:tcPr>
          <w:p w14:paraId="5BCE16AE" w14:textId="77777777" w:rsidR="00641412" w:rsidRDefault="00000000">
            <w:pPr>
              <w:spacing w:line="252" w:lineRule="auto"/>
              <w:jc w:val="center"/>
            </w:pPr>
            <w:r>
              <w:rPr>
                <w:rFonts w:ascii="Times New Roman" w:eastAsia="標楷體" w:hAnsi="Times New Roman"/>
                <w:sz w:val="18"/>
              </w:rPr>
              <w:t>0.322</w:t>
            </w:r>
          </w:p>
        </w:tc>
      </w:tr>
      <w:tr w:rsidR="00641412" w14:paraId="13D574D5" w14:textId="77777777">
        <w:trPr>
          <w:jc w:val="center"/>
        </w:trPr>
        <w:tc>
          <w:tcPr>
            <w:tcW w:w="2093" w:type="dxa"/>
            <w:tcMar>
              <w:top w:w="90" w:type="dxa"/>
              <w:left w:w="90" w:type="dxa"/>
              <w:bottom w:w="90" w:type="dxa"/>
              <w:right w:w="90" w:type="dxa"/>
            </w:tcMar>
            <w:vAlign w:val="center"/>
          </w:tcPr>
          <w:p w14:paraId="675C61A3" w14:textId="77777777" w:rsidR="00641412" w:rsidRDefault="00000000">
            <w:pPr>
              <w:spacing w:line="252" w:lineRule="auto"/>
            </w:pPr>
            <w:r>
              <w:rPr>
                <w:rFonts w:ascii="Times New Roman" w:eastAsia="標楷體" w:hAnsi="Times New Roman"/>
                <w:sz w:val="18"/>
              </w:rPr>
              <w:t>刑事附帶民事</w:t>
            </w:r>
          </w:p>
        </w:tc>
        <w:tc>
          <w:tcPr>
            <w:tcW w:w="2093" w:type="dxa"/>
            <w:tcMar>
              <w:top w:w="90" w:type="dxa"/>
              <w:left w:w="90" w:type="dxa"/>
              <w:bottom w:w="90" w:type="dxa"/>
              <w:right w:w="90" w:type="dxa"/>
            </w:tcMar>
            <w:vAlign w:val="center"/>
          </w:tcPr>
          <w:p w14:paraId="5E1AA88B" w14:textId="77777777" w:rsidR="00641412" w:rsidRDefault="00000000">
            <w:pPr>
              <w:spacing w:line="252" w:lineRule="auto"/>
              <w:jc w:val="center"/>
            </w:pPr>
            <w:r>
              <w:rPr>
                <w:rFonts w:ascii="Times New Roman" w:eastAsia="標楷體" w:hAnsi="Times New Roman"/>
                <w:sz w:val="18"/>
              </w:rPr>
              <w:t>BoW</w:t>
            </w:r>
          </w:p>
        </w:tc>
        <w:tc>
          <w:tcPr>
            <w:tcW w:w="2093" w:type="dxa"/>
            <w:tcMar>
              <w:top w:w="90" w:type="dxa"/>
              <w:left w:w="90" w:type="dxa"/>
              <w:bottom w:w="90" w:type="dxa"/>
              <w:right w:w="90" w:type="dxa"/>
            </w:tcMar>
            <w:vAlign w:val="center"/>
          </w:tcPr>
          <w:p w14:paraId="3FC0BFC7" w14:textId="77777777" w:rsidR="00641412" w:rsidRDefault="00000000">
            <w:pPr>
              <w:spacing w:line="252" w:lineRule="auto"/>
              <w:jc w:val="center"/>
            </w:pPr>
            <w:r>
              <w:rPr>
                <w:rFonts w:ascii="Times New Roman" w:eastAsia="標楷體" w:hAnsi="Times New Roman"/>
                <w:sz w:val="18"/>
              </w:rPr>
              <w:t>0.854</w:t>
            </w:r>
          </w:p>
        </w:tc>
        <w:tc>
          <w:tcPr>
            <w:tcW w:w="2093" w:type="dxa"/>
            <w:tcMar>
              <w:top w:w="90" w:type="dxa"/>
              <w:left w:w="90" w:type="dxa"/>
              <w:bottom w:w="90" w:type="dxa"/>
              <w:right w:w="90" w:type="dxa"/>
            </w:tcMar>
            <w:vAlign w:val="center"/>
          </w:tcPr>
          <w:p w14:paraId="608A029E" w14:textId="77777777" w:rsidR="00641412" w:rsidRDefault="00000000">
            <w:pPr>
              <w:spacing w:line="252" w:lineRule="auto"/>
              <w:jc w:val="center"/>
            </w:pPr>
            <w:r>
              <w:rPr>
                <w:rFonts w:ascii="Times New Roman" w:eastAsia="標楷體" w:hAnsi="Times New Roman"/>
                <w:sz w:val="18"/>
              </w:rPr>
              <w:t>0.654</w:t>
            </w:r>
          </w:p>
        </w:tc>
        <w:tc>
          <w:tcPr>
            <w:tcW w:w="2093" w:type="dxa"/>
            <w:tcMar>
              <w:top w:w="90" w:type="dxa"/>
              <w:left w:w="90" w:type="dxa"/>
              <w:bottom w:w="90" w:type="dxa"/>
              <w:right w:w="90" w:type="dxa"/>
            </w:tcMar>
            <w:vAlign w:val="center"/>
          </w:tcPr>
          <w:p w14:paraId="2993529F" w14:textId="77777777" w:rsidR="00641412" w:rsidRDefault="00000000">
            <w:pPr>
              <w:spacing w:line="252" w:lineRule="auto"/>
              <w:jc w:val="center"/>
            </w:pPr>
            <w:r>
              <w:rPr>
                <w:rFonts w:ascii="Times New Roman" w:eastAsia="標楷體" w:hAnsi="Times New Roman"/>
                <w:sz w:val="18"/>
              </w:rPr>
              <w:t>0.245</w:t>
            </w:r>
          </w:p>
        </w:tc>
      </w:tr>
    </w:tbl>
    <w:p w14:paraId="7EEFC566" w14:textId="77777777" w:rsidR="00641412" w:rsidRDefault="00000000">
      <w:pPr>
        <w:spacing w:after="120" w:line="276" w:lineRule="auto"/>
        <w:ind w:firstLine="480"/>
      </w:pPr>
      <w:r>
        <w:rPr>
          <w:rFonts w:ascii="Times New Roman" w:eastAsia="標楷體" w:hAnsi="Times New Roman"/>
        </w:rPr>
        <w:t>與</w:t>
      </w:r>
      <w:r>
        <w:rPr>
          <w:rFonts w:ascii="Times New Roman" w:eastAsia="標楷體" w:hAnsi="Times New Roman"/>
        </w:rPr>
        <w:t xml:space="preserve"> Majority Class baseline </w:t>
      </w:r>
      <w:r>
        <w:rPr>
          <w:rFonts w:ascii="Times New Roman" w:eastAsia="標楷體" w:hAnsi="Times New Roman"/>
        </w:rPr>
        <w:t>相比，四類資料集的</w:t>
      </w:r>
      <w:r>
        <w:rPr>
          <w:rFonts w:ascii="Times New Roman" w:eastAsia="標楷體" w:hAnsi="Times New Roman"/>
        </w:rPr>
        <w:t xml:space="preserve"> Direct SVM </w:t>
      </w:r>
      <w:r>
        <w:rPr>
          <w:rFonts w:ascii="Times New Roman" w:eastAsia="標楷體" w:hAnsi="Times New Roman"/>
        </w:rPr>
        <w:t>皆有明顯提升。其中刑事附帶民事資料集由</w:t>
      </w:r>
      <w:r>
        <w:rPr>
          <w:rFonts w:ascii="Times New Roman" w:eastAsia="標楷體" w:hAnsi="Times New Roman"/>
        </w:rPr>
        <w:t xml:space="preserve"> 0.245 </w:t>
      </w:r>
      <w:r>
        <w:rPr>
          <w:rFonts w:ascii="Times New Roman" w:eastAsia="標楷體" w:hAnsi="Times New Roman"/>
        </w:rPr>
        <w:t>提升至</w:t>
      </w:r>
      <w:r>
        <w:rPr>
          <w:rFonts w:ascii="Times New Roman" w:eastAsia="標楷體" w:hAnsi="Times New Roman"/>
        </w:rPr>
        <w:t xml:space="preserve"> 0.654</w:t>
      </w:r>
      <w:r>
        <w:rPr>
          <w:rFonts w:ascii="Times New Roman" w:eastAsia="標楷體" w:hAnsi="Times New Roman"/>
        </w:rPr>
        <w:t>，刑事資料集由</w:t>
      </w:r>
      <w:r>
        <w:rPr>
          <w:rFonts w:ascii="Times New Roman" w:eastAsia="標楷體" w:hAnsi="Times New Roman"/>
        </w:rPr>
        <w:t xml:space="preserve"> 0.322 </w:t>
      </w:r>
      <w:r>
        <w:rPr>
          <w:rFonts w:ascii="Times New Roman" w:eastAsia="標楷體" w:hAnsi="Times New Roman"/>
        </w:rPr>
        <w:t>提升至</w:t>
      </w:r>
      <w:r>
        <w:rPr>
          <w:rFonts w:ascii="Times New Roman" w:eastAsia="標楷體" w:hAnsi="Times New Roman"/>
        </w:rPr>
        <w:t xml:space="preserve"> 0.577</w:t>
      </w:r>
      <w:r>
        <w:rPr>
          <w:rFonts w:ascii="Times New Roman" w:eastAsia="標楷體" w:hAnsi="Times New Roman"/>
        </w:rPr>
        <w:t>，顯示</w:t>
      </w:r>
      <w:r>
        <w:rPr>
          <w:rFonts w:ascii="Times New Roman" w:eastAsia="標楷體" w:hAnsi="Times New Roman"/>
        </w:rPr>
        <w:t xml:space="preserve"> Direct SVM </w:t>
      </w:r>
      <w:r>
        <w:rPr>
          <w:rFonts w:ascii="Times New Roman" w:eastAsia="標楷體" w:hAnsi="Times New Roman"/>
        </w:rPr>
        <w:t>並非僅透過預測多數類別取得表面上的表現，而是能從文本詞彙中學習到與裁判結果相關的分類訊息。不過，此處仍僅代表</w:t>
      </w:r>
      <w:r>
        <w:rPr>
          <w:rFonts w:ascii="Times New Roman" w:eastAsia="標楷體" w:hAnsi="Times New Roman"/>
        </w:rPr>
        <w:t xml:space="preserve"> Direct SVM </w:t>
      </w:r>
      <w:r>
        <w:rPr>
          <w:rFonts w:ascii="Times New Roman" w:eastAsia="標楷體" w:hAnsi="Times New Roman"/>
        </w:rPr>
        <w:t>作為對照流程之表現，是否優於</w:t>
      </w:r>
      <w:r>
        <w:rPr>
          <w:rFonts w:ascii="Times New Roman" w:eastAsia="標楷體" w:hAnsi="Times New Roman"/>
        </w:rPr>
        <w:t xml:space="preserve"> MNIR+SVM </w:t>
      </w:r>
      <w:r>
        <w:rPr>
          <w:rFonts w:ascii="Times New Roman" w:eastAsia="標楷體" w:hAnsi="Times New Roman"/>
        </w:rPr>
        <w:t>仍需於下一節進行直接比較。</w:t>
      </w:r>
    </w:p>
    <w:p w14:paraId="4F74D8D5" w14:textId="77777777" w:rsidR="00641412" w:rsidRDefault="00000000">
      <w:pPr>
        <w:pStyle w:val="2"/>
        <w:spacing w:before="200" w:after="120" w:line="276" w:lineRule="auto"/>
      </w:pPr>
      <w:r>
        <w:rPr>
          <w:rFonts w:ascii="Times New Roman" w:eastAsia="標楷體" w:hAnsi="Times New Roman"/>
          <w:b/>
          <w:sz w:val="28"/>
        </w:rPr>
        <w:t xml:space="preserve">4.4 MNIR+SVM </w:t>
      </w:r>
      <w:r>
        <w:rPr>
          <w:rFonts w:ascii="Times New Roman" w:eastAsia="標楷體" w:hAnsi="Times New Roman"/>
          <w:b/>
          <w:sz w:val="28"/>
        </w:rPr>
        <w:t>與</w:t>
      </w:r>
      <w:r>
        <w:rPr>
          <w:rFonts w:ascii="Times New Roman" w:eastAsia="標楷體" w:hAnsi="Times New Roman"/>
          <w:b/>
          <w:sz w:val="28"/>
        </w:rPr>
        <w:t xml:space="preserve"> Direct SVM </w:t>
      </w:r>
      <w:r>
        <w:rPr>
          <w:rFonts w:ascii="Times New Roman" w:eastAsia="標楷體" w:hAnsi="Times New Roman"/>
          <w:b/>
          <w:sz w:val="28"/>
        </w:rPr>
        <w:t>之整體流程比較</w:t>
      </w:r>
    </w:p>
    <w:p w14:paraId="50AF4A1B"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4-3 </w:t>
      </w:r>
      <w:r>
        <w:rPr>
          <w:rFonts w:ascii="Times New Roman" w:eastAsia="標楷體" w:hAnsi="Times New Roman"/>
        </w:rPr>
        <w:t>比較</w:t>
      </w:r>
      <w:r>
        <w:rPr>
          <w:rFonts w:ascii="Times New Roman" w:eastAsia="標楷體" w:hAnsi="Times New Roman"/>
        </w:rPr>
        <w:t xml:space="preserve"> Direct SVM </w:t>
      </w:r>
      <w:r>
        <w:rPr>
          <w:rFonts w:ascii="Times New Roman" w:eastAsia="標楷體" w:hAnsi="Times New Roman"/>
        </w:rPr>
        <w:t>與</w:t>
      </w:r>
      <w:r>
        <w:rPr>
          <w:rFonts w:ascii="Times New Roman" w:eastAsia="標楷體" w:hAnsi="Times New Roman"/>
        </w:rPr>
        <w:t xml:space="preserve"> MNIR+SVM </w:t>
      </w:r>
      <w:r>
        <w:rPr>
          <w:rFonts w:ascii="Times New Roman" w:eastAsia="標楷體" w:hAnsi="Times New Roman"/>
        </w:rPr>
        <w:t>在各資料集最佳設定下的</w:t>
      </w:r>
      <w:r>
        <w:rPr>
          <w:rFonts w:ascii="Times New Roman" w:eastAsia="標楷體" w:hAnsi="Times New Roman"/>
        </w:rPr>
        <w:t xml:space="preserve"> Macro F1</w:t>
      </w:r>
      <w:r>
        <w:rPr>
          <w:rFonts w:ascii="Times New Roman" w:eastAsia="標楷體" w:hAnsi="Times New Roman"/>
        </w:rPr>
        <w:t>。此比較的目的，是檢視在本研究目前的實驗設定下，加入</w:t>
      </w:r>
      <w:r>
        <w:rPr>
          <w:rFonts w:ascii="Times New Roman" w:eastAsia="標楷體" w:hAnsi="Times New Roman"/>
        </w:rPr>
        <w:t xml:space="preserve"> MNIR </w:t>
      </w:r>
      <w:r>
        <w:rPr>
          <w:rFonts w:ascii="Times New Roman" w:eastAsia="標楷體" w:hAnsi="Times New Roman"/>
        </w:rPr>
        <w:t>監督式特徵轉換後的完整流程，是否能相較於直接使用卡方篩選後稀疏特徵之</w:t>
      </w:r>
      <w:r>
        <w:rPr>
          <w:rFonts w:ascii="Times New Roman" w:eastAsia="標楷體" w:hAnsi="Times New Roman"/>
        </w:rPr>
        <w:t xml:space="preserve"> SVM </w:t>
      </w:r>
      <w:r>
        <w:rPr>
          <w:rFonts w:ascii="Times New Roman" w:eastAsia="標楷體" w:hAnsi="Times New Roman"/>
        </w:rPr>
        <w:t>流程取得較佳表現。需注意的是，表</w:t>
      </w:r>
      <w:r>
        <w:rPr>
          <w:rFonts w:ascii="Times New Roman" w:eastAsia="標楷體" w:hAnsi="Times New Roman"/>
        </w:rPr>
        <w:t xml:space="preserve"> 4-3 </w:t>
      </w:r>
      <w:r>
        <w:rPr>
          <w:rFonts w:ascii="Times New Roman" w:eastAsia="標楷體" w:hAnsi="Times New Roman"/>
        </w:rPr>
        <w:t>比較的是兩個流程各自最佳設定下的整體表現，而非完全控制相同特徵表示與參數後的單一</w:t>
      </w:r>
      <w:r>
        <w:rPr>
          <w:rFonts w:ascii="Times New Roman" w:eastAsia="標楷體" w:hAnsi="Times New Roman"/>
        </w:rPr>
        <w:t xml:space="preserve"> MNIR </w:t>
      </w:r>
      <w:r>
        <w:rPr>
          <w:rFonts w:ascii="Times New Roman" w:eastAsia="標楷體" w:hAnsi="Times New Roman"/>
        </w:rPr>
        <w:t>效果檢定。</w:t>
      </w:r>
    </w:p>
    <w:p w14:paraId="6FBAC8C5"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4-3 Direct SVM </w:t>
      </w:r>
      <w:r>
        <w:rPr>
          <w:rFonts w:ascii="Times New Roman" w:eastAsia="標楷體" w:hAnsi="Times New Roman"/>
          <w:b/>
          <w:sz w:val="20"/>
        </w:rPr>
        <w:t>與</w:t>
      </w:r>
      <w:r>
        <w:rPr>
          <w:rFonts w:ascii="Times New Roman" w:eastAsia="標楷體" w:hAnsi="Times New Roman"/>
          <w:b/>
          <w:sz w:val="20"/>
        </w:rPr>
        <w:t xml:space="preserve"> MNIR+SVM </w:t>
      </w:r>
      <w:r>
        <w:rPr>
          <w:rFonts w:ascii="Times New Roman" w:eastAsia="標楷體" w:hAnsi="Times New Roman"/>
          <w:b/>
          <w:sz w:val="20"/>
        </w:rPr>
        <w:t>之</w:t>
      </w:r>
      <w:r>
        <w:rPr>
          <w:rFonts w:ascii="Times New Roman" w:eastAsia="標楷體" w:hAnsi="Times New Roman"/>
          <w:b/>
          <w:sz w:val="20"/>
        </w:rPr>
        <w:t xml:space="preserve"> Macro F1 </w:t>
      </w:r>
      <w:r>
        <w:rPr>
          <w:rFonts w:ascii="Times New Roman" w:eastAsia="標楷體" w:hAnsi="Times New Roman"/>
          <w:b/>
          <w:sz w:val="20"/>
        </w:rPr>
        <w:t>比較</w:t>
      </w:r>
    </w:p>
    <w:tbl>
      <w:tblPr>
        <w:tblStyle w:val="af3"/>
        <w:tblW w:w="5000" w:type="pct"/>
        <w:jc w:val="center"/>
        <w:tblLook w:val="04A0" w:firstRow="1" w:lastRow="0" w:firstColumn="1" w:lastColumn="0" w:noHBand="0" w:noVBand="1"/>
      </w:tblPr>
      <w:tblGrid>
        <w:gridCol w:w="1741"/>
        <w:gridCol w:w="1743"/>
        <w:gridCol w:w="1743"/>
        <w:gridCol w:w="1743"/>
        <w:gridCol w:w="1743"/>
        <w:gridCol w:w="1743"/>
      </w:tblGrid>
      <w:tr w:rsidR="00641412" w14:paraId="45D10425" w14:textId="77777777">
        <w:trPr>
          <w:tblHeader/>
          <w:jc w:val="center"/>
        </w:trPr>
        <w:tc>
          <w:tcPr>
            <w:tcW w:w="1744" w:type="dxa"/>
            <w:shd w:val="clear" w:color="auto" w:fill="D9EAF7"/>
            <w:tcMar>
              <w:top w:w="90" w:type="dxa"/>
              <w:left w:w="90" w:type="dxa"/>
              <w:bottom w:w="90" w:type="dxa"/>
              <w:right w:w="90" w:type="dxa"/>
            </w:tcMar>
            <w:vAlign w:val="center"/>
          </w:tcPr>
          <w:p w14:paraId="6BB51B09" w14:textId="77777777" w:rsidR="00641412" w:rsidRDefault="00000000">
            <w:pPr>
              <w:spacing w:line="252" w:lineRule="auto"/>
            </w:pPr>
            <w:r>
              <w:rPr>
                <w:rFonts w:ascii="Times New Roman" w:eastAsia="標楷體" w:hAnsi="Times New Roman"/>
                <w:b/>
                <w:sz w:val="18"/>
              </w:rPr>
              <w:t>資料集</w:t>
            </w:r>
          </w:p>
        </w:tc>
        <w:tc>
          <w:tcPr>
            <w:tcW w:w="1744" w:type="dxa"/>
            <w:shd w:val="clear" w:color="auto" w:fill="D9EAF7"/>
            <w:tcMar>
              <w:top w:w="90" w:type="dxa"/>
              <w:left w:w="90" w:type="dxa"/>
              <w:bottom w:w="90" w:type="dxa"/>
              <w:right w:w="90" w:type="dxa"/>
            </w:tcMar>
            <w:vAlign w:val="center"/>
          </w:tcPr>
          <w:p w14:paraId="1DDB10A6" w14:textId="77777777" w:rsidR="00641412" w:rsidRDefault="00000000">
            <w:pPr>
              <w:spacing w:line="252" w:lineRule="auto"/>
              <w:jc w:val="center"/>
            </w:pPr>
            <w:r>
              <w:rPr>
                <w:rFonts w:ascii="Times New Roman" w:eastAsia="標楷體" w:hAnsi="Times New Roman"/>
                <w:b/>
                <w:sz w:val="18"/>
              </w:rPr>
              <w:t xml:space="preserve">Direct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781A64D4" w14:textId="77777777" w:rsidR="00641412" w:rsidRDefault="00000000">
            <w:pPr>
              <w:spacing w:line="252" w:lineRule="auto"/>
              <w:jc w:val="center"/>
            </w:pPr>
            <w:r>
              <w:rPr>
                <w:rFonts w:ascii="Times New Roman" w:eastAsia="標楷體" w:hAnsi="Times New Roman"/>
                <w:b/>
                <w:sz w:val="18"/>
              </w:rPr>
              <w:t>Direct SVM Macro F1</w:t>
            </w:r>
          </w:p>
        </w:tc>
        <w:tc>
          <w:tcPr>
            <w:tcW w:w="1744" w:type="dxa"/>
            <w:shd w:val="clear" w:color="auto" w:fill="D9EAF7"/>
            <w:tcMar>
              <w:top w:w="90" w:type="dxa"/>
              <w:left w:w="90" w:type="dxa"/>
              <w:bottom w:w="90" w:type="dxa"/>
              <w:right w:w="90" w:type="dxa"/>
            </w:tcMar>
            <w:vAlign w:val="center"/>
          </w:tcPr>
          <w:p w14:paraId="279AFF85" w14:textId="77777777" w:rsidR="00641412" w:rsidRDefault="00000000">
            <w:pPr>
              <w:spacing w:line="252" w:lineRule="auto"/>
              <w:jc w:val="center"/>
            </w:pPr>
            <w:r>
              <w:rPr>
                <w:rFonts w:ascii="Times New Roman" w:eastAsia="標楷體" w:hAnsi="Times New Roman"/>
                <w:b/>
                <w:sz w:val="18"/>
              </w:rPr>
              <w:t xml:space="preserve">MNIR </w:t>
            </w:r>
            <w:r>
              <w:rPr>
                <w:rFonts w:ascii="Times New Roman" w:eastAsia="標楷體" w:hAnsi="Times New Roman"/>
                <w:b/>
                <w:sz w:val="18"/>
              </w:rPr>
              <w:t>最佳特徵</w:t>
            </w:r>
          </w:p>
        </w:tc>
        <w:tc>
          <w:tcPr>
            <w:tcW w:w="1744" w:type="dxa"/>
            <w:shd w:val="clear" w:color="auto" w:fill="D9EAF7"/>
            <w:tcMar>
              <w:top w:w="90" w:type="dxa"/>
              <w:left w:w="90" w:type="dxa"/>
              <w:bottom w:w="90" w:type="dxa"/>
              <w:right w:w="90" w:type="dxa"/>
            </w:tcMar>
            <w:vAlign w:val="center"/>
          </w:tcPr>
          <w:p w14:paraId="00495761" w14:textId="77777777" w:rsidR="00641412" w:rsidRDefault="00000000">
            <w:pPr>
              <w:spacing w:line="252" w:lineRule="auto"/>
              <w:jc w:val="center"/>
            </w:pPr>
            <w:r>
              <w:rPr>
                <w:rFonts w:ascii="Times New Roman" w:eastAsia="標楷體" w:hAnsi="Times New Roman"/>
                <w:b/>
                <w:sz w:val="18"/>
              </w:rPr>
              <w:t>MNIR+SVM Macro F1</w:t>
            </w:r>
          </w:p>
        </w:tc>
        <w:tc>
          <w:tcPr>
            <w:tcW w:w="1744" w:type="dxa"/>
            <w:shd w:val="clear" w:color="auto" w:fill="D9EAF7"/>
            <w:tcMar>
              <w:top w:w="90" w:type="dxa"/>
              <w:left w:w="90" w:type="dxa"/>
              <w:bottom w:w="90" w:type="dxa"/>
              <w:right w:w="90" w:type="dxa"/>
            </w:tcMar>
            <w:vAlign w:val="center"/>
          </w:tcPr>
          <w:p w14:paraId="18A9D159" w14:textId="77777777" w:rsidR="00641412" w:rsidRDefault="00000000">
            <w:pPr>
              <w:spacing w:line="252" w:lineRule="auto"/>
              <w:jc w:val="center"/>
            </w:pPr>
            <w:r>
              <w:rPr>
                <w:rFonts w:ascii="Times New Roman" w:eastAsia="標楷體" w:hAnsi="Times New Roman"/>
                <w:b/>
                <w:sz w:val="18"/>
              </w:rPr>
              <w:t>Direct - MNIR</w:t>
            </w:r>
          </w:p>
        </w:tc>
      </w:tr>
      <w:tr w:rsidR="00641412" w14:paraId="2F18BBC5" w14:textId="77777777">
        <w:trPr>
          <w:jc w:val="center"/>
        </w:trPr>
        <w:tc>
          <w:tcPr>
            <w:tcW w:w="1744" w:type="dxa"/>
            <w:tcMar>
              <w:top w:w="90" w:type="dxa"/>
              <w:left w:w="90" w:type="dxa"/>
              <w:bottom w:w="90" w:type="dxa"/>
              <w:right w:w="90" w:type="dxa"/>
            </w:tcMar>
            <w:vAlign w:val="center"/>
          </w:tcPr>
          <w:p w14:paraId="7E98EC37" w14:textId="77777777" w:rsidR="00641412" w:rsidRDefault="00000000">
            <w:pPr>
              <w:spacing w:line="252" w:lineRule="auto"/>
            </w:pPr>
            <w:r>
              <w:rPr>
                <w:rFonts w:ascii="Times New Roman" w:eastAsia="標楷體" w:hAnsi="Times New Roman"/>
                <w:sz w:val="18"/>
              </w:rPr>
              <w:t>行政</w:t>
            </w:r>
          </w:p>
        </w:tc>
        <w:tc>
          <w:tcPr>
            <w:tcW w:w="1744" w:type="dxa"/>
            <w:tcMar>
              <w:top w:w="90" w:type="dxa"/>
              <w:left w:w="90" w:type="dxa"/>
              <w:bottom w:w="90" w:type="dxa"/>
              <w:right w:w="90" w:type="dxa"/>
            </w:tcMar>
            <w:vAlign w:val="center"/>
          </w:tcPr>
          <w:p w14:paraId="4BAAF829"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78FF123C" w14:textId="77777777" w:rsidR="00641412" w:rsidRDefault="00000000">
            <w:pPr>
              <w:spacing w:line="252" w:lineRule="auto"/>
              <w:jc w:val="center"/>
            </w:pPr>
            <w:r>
              <w:rPr>
                <w:rFonts w:ascii="Times New Roman" w:eastAsia="標楷體" w:hAnsi="Times New Roman"/>
                <w:sz w:val="18"/>
              </w:rPr>
              <w:t>0.380</w:t>
            </w:r>
          </w:p>
        </w:tc>
        <w:tc>
          <w:tcPr>
            <w:tcW w:w="1744" w:type="dxa"/>
            <w:tcMar>
              <w:top w:w="90" w:type="dxa"/>
              <w:left w:w="90" w:type="dxa"/>
              <w:bottom w:w="90" w:type="dxa"/>
              <w:right w:w="90" w:type="dxa"/>
            </w:tcMar>
            <w:vAlign w:val="center"/>
          </w:tcPr>
          <w:p w14:paraId="6C6B83BA"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73A96131" w14:textId="77777777" w:rsidR="00641412" w:rsidRDefault="00000000">
            <w:pPr>
              <w:spacing w:line="252" w:lineRule="auto"/>
              <w:jc w:val="center"/>
            </w:pPr>
            <w:r>
              <w:rPr>
                <w:rFonts w:ascii="Times New Roman" w:eastAsia="標楷體" w:hAnsi="Times New Roman"/>
                <w:sz w:val="18"/>
              </w:rPr>
              <w:t>0.318</w:t>
            </w:r>
          </w:p>
        </w:tc>
        <w:tc>
          <w:tcPr>
            <w:tcW w:w="1744" w:type="dxa"/>
            <w:tcMar>
              <w:top w:w="90" w:type="dxa"/>
              <w:left w:w="90" w:type="dxa"/>
              <w:bottom w:w="90" w:type="dxa"/>
              <w:right w:w="90" w:type="dxa"/>
            </w:tcMar>
            <w:vAlign w:val="center"/>
          </w:tcPr>
          <w:p w14:paraId="440280EC" w14:textId="77777777" w:rsidR="00641412" w:rsidRDefault="00000000">
            <w:pPr>
              <w:spacing w:line="252" w:lineRule="auto"/>
              <w:jc w:val="center"/>
            </w:pPr>
            <w:r>
              <w:rPr>
                <w:rFonts w:ascii="Times New Roman" w:eastAsia="標楷體" w:hAnsi="Times New Roman"/>
                <w:sz w:val="18"/>
              </w:rPr>
              <w:t>0.062</w:t>
            </w:r>
          </w:p>
        </w:tc>
      </w:tr>
      <w:tr w:rsidR="00641412" w14:paraId="05D4B6EC" w14:textId="77777777">
        <w:trPr>
          <w:jc w:val="center"/>
        </w:trPr>
        <w:tc>
          <w:tcPr>
            <w:tcW w:w="1744" w:type="dxa"/>
            <w:tcMar>
              <w:top w:w="90" w:type="dxa"/>
              <w:left w:w="90" w:type="dxa"/>
              <w:bottom w:w="90" w:type="dxa"/>
              <w:right w:w="90" w:type="dxa"/>
            </w:tcMar>
            <w:vAlign w:val="center"/>
          </w:tcPr>
          <w:p w14:paraId="62E84CD5" w14:textId="77777777" w:rsidR="00641412" w:rsidRDefault="00000000">
            <w:pPr>
              <w:spacing w:line="252" w:lineRule="auto"/>
            </w:pPr>
            <w:r>
              <w:rPr>
                <w:rFonts w:ascii="Times New Roman" w:eastAsia="標楷體" w:hAnsi="Times New Roman"/>
                <w:sz w:val="18"/>
              </w:rPr>
              <w:t>民事</w:t>
            </w:r>
          </w:p>
        </w:tc>
        <w:tc>
          <w:tcPr>
            <w:tcW w:w="1744" w:type="dxa"/>
            <w:tcMar>
              <w:top w:w="90" w:type="dxa"/>
              <w:left w:w="90" w:type="dxa"/>
              <w:bottom w:w="90" w:type="dxa"/>
              <w:right w:w="90" w:type="dxa"/>
            </w:tcMar>
            <w:vAlign w:val="center"/>
          </w:tcPr>
          <w:p w14:paraId="04D8602C"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7BEE34D3" w14:textId="77777777" w:rsidR="00641412" w:rsidRDefault="00000000">
            <w:pPr>
              <w:spacing w:line="252" w:lineRule="auto"/>
              <w:jc w:val="center"/>
            </w:pPr>
            <w:r>
              <w:rPr>
                <w:rFonts w:ascii="Times New Roman" w:eastAsia="標楷體" w:hAnsi="Times New Roman"/>
                <w:sz w:val="18"/>
              </w:rPr>
              <w:t>0.428</w:t>
            </w:r>
          </w:p>
        </w:tc>
        <w:tc>
          <w:tcPr>
            <w:tcW w:w="1744" w:type="dxa"/>
            <w:tcMar>
              <w:top w:w="90" w:type="dxa"/>
              <w:left w:w="90" w:type="dxa"/>
              <w:bottom w:w="90" w:type="dxa"/>
              <w:right w:w="90" w:type="dxa"/>
            </w:tcMar>
            <w:vAlign w:val="center"/>
          </w:tcPr>
          <w:p w14:paraId="7C6D6F5F"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0D567EEF" w14:textId="77777777" w:rsidR="00641412" w:rsidRDefault="00000000">
            <w:pPr>
              <w:spacing w:line="252" w:lineRule="auto"/>
              <w:jc w:val="center"/>
            </w:pPr>
            <w:r>
              <w:rPr>
                <w:rFonts w:ascii="Times New Roman" w:eastAsia="標楷體" w:hAnsi="Times New Roman"/>
                <w:sz w:val="18"/>
              </w:rPr>
              <w:t>0.353</w:t>
            </w:r>
          </w:p>
        </w:tc>
        <w:tc>
          <w:tcPr>
            <w:tcW w:w="1744" w:type="dxa"/>
            <w:tcMar>
              <w:top w:w="90" w:type="dxa"/>
              <w:left w:w="90" w:type="dxa"/>
              <w:bottom w:w="90" w:type="dxa"/>
              <w:right w:w="90" w:type="dxa"/>
            </w:tcMar>
            <w:vAlign w:val="center"/>
          </w:tcPr>
          <w:p w14:paraId="4A504E32" w14:textId="77777777" w:rsidR="00641412" w:rsidRDefault="00000000">
            <w:pPr>
              <w:spacing w:line="252" w:lineRule="auto"/>
              <w:jc w:val="center"/>
            </w:pPr>
            <w:r>
              <w:rPr>
                <w:rFonts w:ascii="Times New Roman" w:eastAsia="標楷體" w:hAnsi="Times New Roman"/>
                <w:sz w:val="18"/>
              </w:rPr>
              <w:t>0.075</w:t>
            </w:r>
          </w:p>
        </w:tc>
      </w:tr>
      <w:tr w:rsidR="00641412" w14:paraId="03DE2457" w14:textId="77777777">
        <w:trPr>
          <w:jc w:val="center"/>
        </w:trPr>
        <w:tc>
          <w:tcPr>
            <w:tcW w:w="1744" w:type="dxa"/>
            <w:tcMar>
              <w:top w:w="90" w:type="dxa"/>
              <w:left w:w="90" w:type="dxa"/>
              <w:bottom w:w="90" w:type="dxa"/>
              <w:right w:w="90" w:type="dxa"/>
            </w:tcMar>
            <w:vAlign w:val="center"/>
          </w:tcPr>
          <w:p w14:paraId="4C7A3EA5" w14:textId="77777777" w:rsidR="00641412" w:rsidRDefault="00000000">
            <w:pPr>
              <w:spacing w:line="252" w:lineRule="auto"/>
            </w:pPr>
            <w:r>
              <w:rPr>
                <w:rFonts w:ascii="Times New Roman" w:eastAsia="標楷體" w:hAnsi="Times New Roman"/>
                <w:sz w:val="18"/>
              </w:rPr>
              <w:t>刑事</w:t>
            </w:r>
          </w:p>
        </w:tc>
        <w:tc>
          <w:tcPr>
            <w:tcW w:w="1744" w:type="dxa"/>
            <w:tcMar>
              <w:top w:w="90" w:type="dxa"/>
              <w:left w:w="90" w:type="dxa"/>
              <w:bottom w:w="90" w:type="dxa"/>
              <w:right w:w="90" w:type="dxa"/>
            </w:tcMar>
            <w:vAlign w:val="center"/>
          </w:tcPr>
          <w:p w14:paraId="08C221A7"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1A91B1C0" w14:textId="77777777" w:rsidR="00641412" w:rsidRDefault="00000000">
            <w:pPr>
              <w:spacing w:line="252" w:lineRule="auto"/>
              <w:jc w:val="center"/>
            </w:pPr>
            <w:r>
              <w:rPr>
                <w:rFonts w:ascii="Times New Roman" w:eastAsia="標楷體" w:hAnsi="Times New Roman"/>
                <w:sz w:val="18"/>
              </w:rPr>
              <w:t>0.577</w:t>
            </w:r>
          </w:p>
        </w:tc>
        <w:tc>
          <w:tcPr>
            <w:tcW w:w="1744" w:type="dxa"/>
            <w:tcMar>
              <w:top w:w="90" w:type="dxa"/>
              <w:left w:w="90" w:type="dxa"/>
              <w:bottom w:w="90" w:type="dxa"/>
              <w:right w:w="90" w:type="dxa"/>
            </w:tcMar>
            <w:vAlign w:val="center"/>
          </w:tcPr>
          <w:p w14:paraId="625CE16C" w14:textId="77777777" w:rsidR="00641412" w:rsidRDefault="00000000">
            <w:pPr>
              <w:spacing w:line="252" w:lineRule="auto"/>
              <w:jc w:val="center"/>
            </w:pPr>
            <w:r>
              <w:rPr>
                <w:rFonts w:ascii="Times New Roman" w:eastAsia="標楷體" w:hAnsi="Times New Roman"/>
                <w:sz w:val="18"/>
              </w:rPr>
              <w:t>TF-IDF</w:t>
            </w:r>
          </w:p>
        </w:tc>
        <w:tc>
          <w:tcPr>
            <w:tcW w:w="1744" w:type="dxa"/>
            <w:tcMar>
              <w:top w:w="90" w:type="dxa"/>
              <w:left w:w="90" w:type="dxa"/>
              <w:bottom w:w="90" w:type="dxa"/>
              <w:right w:w="90" w:type="dxa"/>
            </w:tcMar>
            <w:vAlign w:val="center"/>
          </w:tcPr>
          <w:p w14:paraId="2040E1CD" w14:textId="77777777" w:rsidR="00641412" w:rsidRDefault="00000000">
            <w:pPr>
              <w:spacing w:line="252" w:lineRule="auto"/>
              <w:jc w:val="center"/>
            </w:pPr>
            <w:r>
              <w:rPr>
                <w:rFonts w:ascii="Times New Roman" w:eastAsia="標楷體" w:hAnsi="Times New Roman"/>
                <w:sz w:val="18"/>
              </w:rPr>
              <w:t>0.390</w:t>
            </w:r>
          </w:p>
        </w:tc>
        <w:tc>
          <w:tcPr>
            <w:tcW w:w="1744" w:type="dxa"/>
            <w:tcMar>
              <w:top w:w="90" w:type="dxa"/>
              <w:left w:w="90" w:type="dxa"/>
              <w:bottom w:w="90" w:type="dxa"/>
              <w:right w:w="90" w:type="dxa"/>
            </w:tcMar>
            <w:vAlign w:val="center"/>
          </w:tcPr>
          <w:p w14:paraId="742328B9" w14:textId="77777777" w:rsidR="00641412" w:rsidRDefault="00000000">
            <w:pPr>
              <w:spacing w:line="252" w:lineRule="auto"/>
              <w:jc w:val="center"/>
            </w:pPr>
            <w:r>
              <w:rPr>
                <w:rFonts w:ascii="Times New Roman" w:eastAsia="標楷體" w:hAnsi="Times New Roman"/>
                <w:sz w:val="18"/>
              </w:rPr>
              <w:t>0.187</w:t>
            </w:r>
          </w:p>
        </w:tc>
      </w:tr>
      <w:tr w:rsidR="00641412" w14:paraId="0B6F4AC0" w14:textId="77777777">
        <w:trPr>
          <w:jc w:val="center"/>
        </w:trPr>
        <w:tc>
          <w:tcPr>
            <w:tcW w:w="1744" w:type="dxa"/>
            <w:tcMar>
              <w:top w:w="90" w:type="dxa"/>
              <w:left w:w="90" w:type="dxa"/>
              <w:bottom w:w="90" w:type="dxa"/>
              <w:right w:w="90" w:type="dxa"/>
            </w:tcMar>
            <w:vAlign w:val="center"/>
          </w:tcPr>
          <w:p w14:paraId="7C24DD11" w14:textId="77777777" w:rsidR="00641412" w:rsidRDefault="00000000">
            <w:pPr>
              <w:spacing w:line="252" w:lineRule="auto"/>
            </w:pPr>
            <w:r>
              <w:rPr>
                <w:rFonts w:ascii="Times New Roman" w:eastAsia="標楷體" w:hAnsi="Times New Roman"/>
                <w:sz w:val="18"/>
              </w:rPr>
              <w:t>刑事附帶民事</w:t>
            </w:r>
          </w:p>
        </w:tc>
        <w:tc>
          <w:tcPr>
            <w:tcW w:w="1744" w:type="dxa"/>
            <w:tcMar>
              <w:top w:w="90" w:type="dxa"/>
              <w:left w:w="90" w:type="dxa"/>
              <w:bottom w:w="90" w:type="dxa"/>
              <w:right w:w="90" w:type="dxa"/>
            </w:tcMar>
            <w:vAlign w:val="center"/>
          </w:tcPr>
          <w:p w14:paraId="2D41CF9C" w14:textId="77777777" w:rsidR="00641412" w:rsidRDefault="00000000">
            <w:pPr>
              <w:spacing w:line="252" w:lineRule="auto"/>
              <w:jc w:val="center"/>
            </w:pPr>
            <w:r>
              <w:rPr>
                <w:rFonts w:ascii="Times New Roman" w:eastAsia="標楷體" w:hAnsi="Times New Roman"/>
                <w:sz w:val="18"/>
              </w:rPr>
              <w:t>BoW</w:t>
            </w:r>
          </w:p>
        </w:tc>
        <w:tc>
          <w:tcPr>
            <w:tcW w:w="1744" w:type="dxa"/>
            <w:tcMar>
              <w:top w:w="90" w:type="dxa"/>
              <w:left w:w="90" w:type="dxa"/>
              <w:bottom w:w="90" w:type="dxa"/>
              <w:right w:w="90" w:type="dxa"/>
            </w:tcMar>
            <w:vAlign w:val="center"/>
          </w:tcPr>
          <w:p w14:paraId="50C66604" w14:textId="77777777" w:rsidR="00641412" w:rsidRDefault="00000000">
            <w:pPr>
              <w:spacing w:line="252" w:lineRule="auto"/>
              <w:jc w:val="center"/>
            </w:pPr>
            <w:r>
              <w:rPr>
                <w:rFonts w:ascii="Times New Roman" w:eastAsia="標楷體" w:hAnsi="Times New Roman"/>
                <w:sz w:val="18"/>
              </w:rPr>
              <w:t>0.654</w:t>
            </w:r>
          </w:p>
        </w:tc>
        <w:tc>
          <w:tcPr>
            <w:tcW w:w="1744" w:type="dxa"/>
            <w:tcMar>
              <w:top w:w="90" w:type="dxa"/>
              <w:left w:w="90" w:type="dxa"/>
              <w:bottom w:w="90" w:type="dxa"/>
              <w:right w:w="90" w:type="dxa"/>
            </w:tcMar>
            <w:vAlign w:val="center"/>
          </w:tcPr>
          <w:p w14:paraId="66449931" w14:textId="77777777" w:rsidR="00641412" w:rsidRDefault="00000000">
            <w:pPr>
              <w:spacing w:line="252" w:lineRule="auto"/>
              <w:jc w:val="center"/>
            </w:pPr>
            <w:r>
              <w:rPr>
                <w:rFonts w:ascii="Times New Roman" w:eastAsia="標楷體" w:hAnsi="Times New Roman"/>
                <w:sz w:val="18"/>
              </w:rPr>
              <w:t>TF</w:t>
            </w:r>
          </w:p>
        </w:tc>
        <w:tc>
          <w:tcPr>
            <w:tcW w:w="1744" w:type="dxa"/>
            <w:tcMar>
              <w:top w:w="90" w:type="dxa"/>
              <w:left w:w="90" w:type="dxa"/>
              <w:bottom w:w="90" w:type="dxa"/>
              <w:right w:w="90" w:type="dxa"/>
            </w:tcMar>
            <w:vAlign w:val="center"/>
          </w:tcPr>
          <w:p w14:paraId="70B5E2A9" w14:textId="77777777" w:rsidR="00641412" w:rsidRDefault="00000000">
            <w:pPr>
              <w:spacing w:line="252" w:lineRule="auto"/>
              <w:jc w:val="center"/>
            </w:pPr>
            <w:r>
              <w:rPr>
                <w:rFonts w:ascii="Times New Roman" w:eastAsia="標楷體" w:hAnsi="Times New Roman"/>
                <w:sz w:val="18"/>
              </w:rPr>
              <w:t>0.545</w:t>
            </w:r>
          </w:p>
        </w:tc>
        <w:tc>
          <w:tcPr>
            <w:tcW w:w="1744" w:type="dxa"/>
            <w:tcMar>
              <w:top w:w="90" w:type="dxa"/>
              <w:left w:w="90" w:type="dxa"/>
              <w:bottom w:w="90" w:type="dxa"/>
              <w:right w:w="90" w:type="dxa"/>
            </w:tcMar>
            <w:vAlign w:val="center"/>
          </w:tcPr>
          <w:p w14:paraId="0CC562E3" w14:textId="77777777" w:rsidR="00641412" w:rsidRDefault="00000000">
            <w:pPr>
              <w:spacing w:line="252" w:lineRule="auto"/>
              <w:jc w:val="center"/>
            </w:pPr>
            <w:r>
              <w:rPr>
                <w:rFonts w:ascii="Times New Roman" w:eastAsia="標楷體" w:hAnsi="Times New Roman"/>
                <w:sz w:val="18"/>
              </w:rPr>
              <w:t>0.109</w:t>
            </w:r>
          </w:p>
        </w:tc>
      </w:tr>
    </w:tbl>
    <w:p w14:paraId="479368A3" w14:textId="77777777" w:rsidR="00641412" w:rsidRDefault="00000000">
      <w:pPr>
        <w:spacing w:before="120" w:after="40"/>
        <w:jc w:val="center"/>
      </w:pPr>
      <w:r>
        <w:rPr>
          <w:noProof/>
        </w:rPr>
        <w:lastRenderedPageBreak/>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7D221A97" w14:textId="77777777" w:rsidR="00641412" w:rsidRDefault="00000000">
      <w:pPr>
        <w:spacing w:before="80" w:after="120" w:line="276" w:lineRule="auto"/>
        <w:ind w:firstLine="480"/>
      </w:pPr>
      <w:r>
        <w:rPr>
          <w:rFonts w:ascii="Times New Roman" w:eastAsia="標楷體" w:hAnsi="Times New Roman"/>
          <w:b/>
          <w:sz w:val="20"/>
        </w:rPr>
        <w:t>圖</w:t>
      </w:r>
      <w:r>
        <w:rPr>
          <w:rFonts w:ascii="Times New Roman" w:eastAsia="標楷體" w:hAnsi="Times New Roman"/>
          <w:b/>
          <w:sz w:val="20"/>
        </w:rPr>
        <w:t xml:space="preserve"> 4-1 Direct SVM </w:t>
      </w:r>
      <w:r>
        <w:rPr>
          <w:rFonts w:ascii="Times New Roman" w:eastAsia="標楷體" w:hAnsi="Times New Roman"/>
          <w:b/>
          <w:sz w:val="20"/>
        </w:rPr>
        <w:t>與</w:t>
      </w:r>
      <w:r>
        <w:rPr>
          <w:rFonts w:ascii="Times New Roman" w:eastAsia="標楷體" w:hAnsi="Times New Roman"/>
          <w:b/>
          <w:sz w:val="20"/>
        </w:rPr>
        <w:t xml:space="preserve"> MNIR+SVM </w:t>
      </w:r>
      <w:r>
        <w:rPr>
          <w:rFonts w:ascii="Times New Roman" w:eastAsia="標楷體" w:hAnsi="Times New Roman"/>
          <w:b/>
          <w:sz w:val="20"/>
        </w:rPr>
        <w:t>之</w:t>
      </w:r>
      <w:r>
        <w:rPr>
          <w:rFonts w:ascii="Times New Roman" w:eastAsia="標楷體" w:hAnsi="Times New Roman"/>
          <w:b/>
          <w:sz w:val="20"/>
        </w:rPr>
        <w:t xml:space="preserve"> Macro F1 </w:t>
      </w:r>
      <w:r>
        <w:rPr>
          <w:rFonts w:ascii="Times New Roman" w:eastAsia="標楷體" w:hAnsi="Times New Roman"/>
          <w:b/>
          <w:sz w:val="20"/>
        </w:rPr>
        <w:t>比較</w:t>
      </w:r>
    </w:p>
    <w:p w14:paraId="206309D8"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 xml:space="preserve">Direct SVM </w:t>
      </w:r>
      <w:r>
        <w:rPr>
          <w:rFonts w:ascii="Times New Roman" w:eastAsia="標楷體" w:hAnsi="Times New Roman"/>
        </w:rPr>
        <w:t>在四類資料集的</w:t>
      </w:r>
      <w:r>
        <w:rPr>
          <w:rFonts w:ascii="Times New Roman" w:eastAsia="標楷體" w:hAnsi="Times New Roman"/>
        </w:rPr>
        <w:t xml:space="preserve"> Macro F1 </w:t>
      </w:r>
      <w:r>
        <w:rPr>
          <w:rFonts w:ascii="Times New Roman" w:eastAsia="標楷體" w:hAnsi="Times New Roman"/>
        </w:rPr>
        <w:t>均高於</w:t>
      </w:r>
      <w:r>
        <w:rPr>
          <w:rFonts w:ascii="Times New Roman" w:eastAsia="標楷體" w:hAnsi="Times New Roman"/>
        </w:rPr>
        <w:t xml:space="preserve"> MNIR+SVM</w:t>
      </w:r>
      <w:r>
        <w:rPr>
          <w:rFonts w:ascii="Times New Roman" w:eastAsia="標楷體" w:hAnsi="Times New Roman"/>
        </w:rPr>
        <w:t>。行政資料集差距為</w:t>
      </w:r>
      <w:r>
        <w:rPr>
          <w:rFonts w:ascii="Times New Roman" w:eastAsia="標楷體" w:hAnsi="Times New Roman"/>
        </w:rPr>
        <w:t xml:space="preserve"> 0.062</w:t>
      </w:r>
      <w:r>
        <w:rPr>
          <w:rFonts w:ascii="Times New Roman" w:eastAsia="標楷體" w:hAnsi="Times New Roman"/>
        </w:rPr>
        <w:t>，民事資料集差距為</w:t>
      </w:r>
      <w:r>
        <w:rPr>
          <w:rFonts w:ascii="Times New Roman" w:eastAsia="標楷體" w:hAnsi="Times New Roman"/>
        </w:rPr>
        <w:t xml:space="preserve"> 0.075</w:t>
      </w:r>
      <w:r>
        <w:rPr>
          <w:rFonts w:ascii="Times New Roman" w:eastAsia="標楷體" w:hAnsi="Times New Roman"/>
        </w:rPr>
        <w:t>，刑事資料集差距為</w:t>
      </w:r>
      <w:r>
        <w:rPr>
          <w:rFonts w:ascii="Times New Roman" w:eastAsia="標楷體" w:hAnsi="Times New Roman"/>
        </w:rPr>
        <w:t xml:space="preserve"> 0.187</w:t>
      </w:r>
      <w:r>
        <w:rPr>
          <w:rFonts w:ascii="Times New Roman" w:eastAsia="標楷體" w:hAnsi="Times New Roman"/>
        </w:rPr>
        <w:t>，刑事附帶民事資料集差距為</w:t>
      </w:r>
      <w:r>
        <w:rPr>
          <w:rFonts w:ascii="Times New Roman" w:eastAsia="標楷體" w:hAnsi="Times New Roman"/>
        </w:rPr>
        <w:t xml:space="preserve"> 0.109</w:t>
      </w:r>
      <w:r>
        <w:rPr>
          <w:rFonts w:ascii="Times New Roman" w:eastAsia="標楷體" w:hAnsi="Times New Roman"/>
        </w:rPr>
        <w:t>。整體而言，四類資料集結果方向一致，顯示在本研究資料與超參數設定下，</w:t>
      </w:r>
      <w:r>
        <w:rPr>
          <w:rFonts w:ascii="Times New Roman" w:eastAsia="標楷體" w:hAnsi="Times New Roman"/>
        </w:rPr>
        <w:t xml:space="preserve">Direct SVM </w:t>
      </w:r>
      <w:r>
        <w:rPr>
          <w:rFonts w:ascii="Times New Roman" w:eastAsia="標楷體" w:hAnsi="Times New Roman"/>
        </w:rPr>
        <w:t>對照流程較</w:t>
      </w:r>
      <w:r>
        <w:rPr>
          <w:rFonts w:ascii="Times New Roman" w:eastAsia="標楷體" w:hAnsi="Times New Roman"/>
        </w:rPr>
        <w:t xml:space="preserve"> MNIR+SVM </w:t>
      </w:r>
      <w:r>
        <w:rPr>
          <w:rFonts w:ascii="Times New Roman" w:eastAsia="標楷體" w:hAnsi="Times New Roman"/>
        </w:rPr>
        <w:t>核心流程取得較佳分類表現。</w:t>
      </w:r>
    </w:p>
    <w:p w14:paraId="127D6808" w14:textId="77777777" w:rsidR="00641412" w:rsidRDefault="00000000">
      <w:pPr>
        <w:spacing w:after="120" w:line="276" w:lineRule="auto"/>
        <w:ind w:firstLine="480"/>
      </w:pPr>
      <w:r>
        <w:rPr>
          <w:rFonts w:ascii="Times New Roman" w:eastAsia="標楷體" w:hAnsi="Times New Roman"/>
        </w:rPr>
        <w:t>此結果表示，在本研究目前的資料、標籤設定與超參數範圍下，</w:t>
      </w:r>
      <w:r>
        <w:rPr>
          <w:rFonts w:ascii="Times New Roman" w:eastAsia="標楷體" w:hAnsi="Times New Roman"/>
        </w:rPr>
        <w:t xml:space="preserve">MNIR </w:t>
      </w:r>
      <w:r>
        <w:rPr>
          <w:rFonts w:ascii="Times New Roman" w:eastAsia="標楷體" w:hAnsi="Times New Roman"/>
        </w:rPr>
        <w:t>特徵轉換未呈現相較</w:t>
      </w:r>
      <w:r>
        <w:rPr>
          <w:rFonts w:ascii="Times New Roman" w:eastAsia="標楷體" w:hAnsi="Times New Roman"/>
        </w:rPr>
        <w:t xml:space="preserve"> Direct SVM </w:t>
      </w:r>
      <w:r>
        <w:rPr>
          <w:rFonts w:ascii="Times New Roman" w:eastAsia="標楷體" w:hAnsi="Times New Roman"/>
        </w:rPr>
        <w:t>的額外增益。可能原因在於，卡方特徵選擇後之原始稀疏詞彙特徵已保留足夠與裁判結果相關的訊息；進一步經</w:t>
      </w:r>
      <w:r>
        <w:rPr>
          <w:rFonts w:ascii="Times New Roman" w:eastAsia="標楷體" w:hAnsi="Times New Roman"/>
        </w:rPr>
        <w:t xml:space="preserve"> MNIR </w:t>
      </w:r>
      <w:r>
        <w:rPr>
          <w:rFonts w:ascii="Times New Roman" w:eastAsia="標楷體" w:hAnsi="Times New Roman"/>
        </w:rPr>
        <w:t>轉換後，部分少數類別訊號可能因低維轉換而被壓縮或平滑，使</w:t>
      </w:r>
      <w:r>
        <w:rPr>
          <w:rFonts w:ascii="Times New Roman" w:eastAsia="標楷體" w:hAnsi="Times New Roman"/>
        </w:rPr>
        <w:t xml:space="preserve"> Macro F1 </w:t>
      </w:r>
      <w:r>
        <w:rPr>
          <w:rFonts w:ascii="Times New Roman" w:eastAsia="標楷體" w:hAnsi="Times New Roman"/>
        </w:rPr>
        <w:t>反而下降。不過，此一解釋仍屬可能推論，仍需透過特徵權重、錯誤案例或重複抽樣實驗進一步驗證。</w:t>
      </w:r>
    </w:p>
    <w:p w14:paraId="700CB619" w14:textId="77777777" w:rsidR="00641412" w:rsidRDefault="00000000">
      <w:pPr>
        <w:spacing w:after="120" w:line="276" w:lineRule="auto"/>
        <w:ind w:firstLine="480"/>
      </w:pPr>
      <w:r>
        <w:rPr>
          <w:rFonts w:ascii="Times New Roman" w:eastAsia="標楷體" w:hAnsi="Times New Roman"/>
        </w:rPr>
        <w:t>因此，本文不將此結果表述為</w:t>
      </w:r>
      <w:r>
        <w:rPr>
          <w:rFonts w:ascii="Times New Roman" w:eastAsia="標楷體" w:hAnsi="Times New Roman"/>
        </w:rPr>
        <w:t xml:space="preserve"> MNIR </w:t>
      </w:r>
      <w:r>
        <w:rPr>
          <w:rFonts w:ascii="Times New Roman" w:eastAsia="標楷體" w:hAnsi="Times New Roman"/>
        </w:rPr>
        <w:t>無效，而是限縮為：在本研究資料與設定下，</w:t>
      </w:r>
      <w:r>
        <w:rPr>
          <w:rFonts w:ascii="Times New Roman" w:eastAsia="標楷體" w:hAnsi="Times New Roman"/>
        </w:rPr>
        <w:t xml:space="preserve">MNIR+SVM </w:t>
      </w:r>
      <w:r>
        <w:rPr>
          <w:rFonts w:ascii="Times New Roman" w:eastAsia="標楷體" w:hAnsi="Times New Roman"/>
        </w:rPr>
        <w:t>未優於</w:t>
      </w:r>
      <w:r>
        <w:rPr>
          <w:rFonts w:ascii="Times New Roman" w:eastAsia="標楷體" w:hAnsi="Times New Roman"/>
        </w:rPr>
        <w:t xml:space="preserve"> Direct SVM</w:t>
      </w:r>
      <w:r>
        <w:rPr>
          <w:rFonts w:ascii="Times New Roman" w:eastAsia="標楷體" w:hAnsi="Times New Roman"/>
        </w:rPr>
        <w:t>。此結果仍具有研究意義，因為它顯示在法律判決文本分類任務中，經特徵選擇與調參後的傳統稀疏文字模型，可作為相當強的對照基準。</w:t>
      </w:r>
    </w:p>
    <w:p w14:paraId="32B2C9F4" w14:textId="77777777" w:rsidR="00641412" w:rsidRDefault="00000000">
      <w:pPr>
        <w:pStyle w:val="2"/>
        <w:spacing w:before="200" w:after="120" w:line="276" w:lineRule="auto"/>
      </w:pPr>
      <w:r>
        <w:rPr>
          <w:rFonts w:ascii="Times New Roman" w:eastAsia="標楷體" w:hAnsi="Times New Roman"/>
          <w:b/>
          <w:sz w:val="28"/>
        </w:rPr>
        <w:t xml:space="preserve">4.5 </w:t>
      </w:r>
      <w:r>
        <w:rPr>
          <w:rFonts w:ascii="Times New Roman" w:eastAsia="標楷體" w:hAnsi="Times New Roman"/>
          <w:b/>
          <w:sz w:val="28"/>
        </w:rPr>
        <w:t>不同文字特徵表示之影響</w:t>
      </w:r>
    </w:p>
    <w:p w14:paraId="0FFA6CA3"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4-4 </w:t>
      </w:r>
      <w:r>
        <w:rPr>
          <w:rFonts w:ascii="Times New Roman" w:eastAsia="標楷體" w:hAnsi="Times New Roman"/>
        </w:rPr>
        <w:t>比較</w:t>
      </w:r>
      <w:r>
        <w:rPr>
          <w:rFonts w:ascii="Times New Roman" w:eastAsia="標楷體" w:hAnsi="Times New Roman"/>
        </w:rPr>
        <w:t xml:space="preserve"> Direct SVM </w:t>
      </w:r>
      <w:r>
        <w:rPr>
          <w:rFonts w:ascii="Times New Roman" w:eastAsia="標楷體" w:hAnsi="Times New Roman"/>
        </w:rPr>
        <w:t>使用</w:t>
      </w:r>
      <w:r>
        <w:rPr>
          <w:rFonts w:ascii="Times New Roman" w:eastAsia="標楷體" w:hAnsi="Times New Roman"/>
        </w:rPr>
        <w:t xml:space="preserve"> BoW</w:t>
      </w:r>
      <w:r>
        <w:rPr>
          <w:rFonts w:ascii="Times New Roman" w:eastAsia="標楷體" w:hAnsi="Times New Roman"/>
        </w:rPr>
        <w:t>、</w:t>
      </w:r>
      <w:r>
        <w:rPr>
          <w:rFonts w:ascii="Times New Roman" w:eastAsia="標楷體" w:hAnsi="Times New Roman"/>
        </w:rPr>
        <w:t xml:space="preserve">TF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三種文字特徵表示之</w:t>
      </w:r>
      <w:r>
        <w:rPr>
          <w:rFonts w:ascii="Times New Roman" w:eastAsia="標楷體" w:hAnsi="Times New Roman"/>
        </w:rPr>
        <w:t xml:space="preserve"> Macro F1</w:t>
      </w:r>
      <w:r>
        <w:rPr>
          <w:rFonts w:ascii="Times New Roman" w:eastAsia="標楷體" w:hAnsi="Times New Roman"/>
        </w:rPr>
        <w:t>。本文以同一文本版本與同一模型流程進行比較，目的在於降低文本版本與模型流程差異造成的干擾，並觀察文字特徵表示本身是否會影響分類表現。</w:t>
      </w:r>
    </w:p>
    <w:p w14:paraId="15265846"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4-4 Direct SVM </w:t>
      </w:r>
      <w:r>
        <w:rPr>
          <w:rFonts w:ascii="Times New Roman" w:eastAsia="標楷體" w:hAnsi="Times New Roman"/>
          <w:b/>
          <w:sz w:val="20"/>
        </w:rPr>
        <w:t>下</w:t>
      </w:r>
      <w:r>
        <w:rPr>
          <w:rFonts w:ascii="Times New Roman" w:eastAsia="標楷體" w:hAnsi="Times New Roman"/>
          <w:b/>
          <w:sz w:val="20"/>
        </w:rPr>
        <w:t xml:space="preserve"> BoW</w:t>
      </w:r>
      <w:r>
        <w:rPr>
          <w:rFonts w:ascii="Times New Roman" w:eastAsia="標楷體" w:hAnsi="Times New Roman"/>
          <w:b/>
          <w:sz w:val="20"/>
        </w:rPr>
        <w:t>、</w:t>
      </w:r>
      <w:r>
        <w:rPr>
          <w:rFonts w:ascii="Times New Roman" w:eastAsia="標楷體" w:hAnsi="Times New Roman"/>
          <w:b/>
          <w:sz w:val="20"/>
        </w:rPr>
        <w:t>TF</w:t>
      </w:r>
      <w:r>
        <w:rPr>
          <w:rFonts w:ascii="Times New Roman" w:eastAsia="標楷體" w:hAnsi="Times New Roman"/>
          <w:b/>
          <w:sz w:val="20"/>
        </w:rPr>
        <w:t>、</w:t>
      </w:r>
      <w:r>
        <w:rPr>
          <w:rFonts w:ascii="Times New Roman" w:eastAsia="標楷體" w:hAnsi="Times New Roman"/>
          <w:b/>
          <w:sz w:val="20"/>
        </w:rPr>
        <w:t xml:space="preserve">TF-IDF </w:t>
      </w:r>
      <w:r>
        <w:rPr>
          <w:rFonts w:ascii="Times New Roman" w:eastAsia="標楷體" w:hAnsi="Times New Roman"/>
          <w:b/>
          <w:sz w:val="20"/>
        </w:rPr>
        <w:t>之</w:t>
      </w:r>
      <w:r>
        <w:rPr>
          <w:rFonts w:ascii="Times New Roman" w:eastAsia="標楷體" w:hAnsi="Times New Roman"/>
          <w:b/>
          <w:sz w:val="20"/>
        </w:rPr>
        <w:t xml:space="preserve"> Macro F1</w:t>
      </w:r>
    </w:p>
    <w:tbl>
      <w:tblPr>
        <w:tblStyle w:val="af3"/>
        <w:tblW w:w="5000" w:type="pct"/>
        <w:jc w:val="center"/>
        <w:tblLook w:val="04A0" w:firstRow="1" w:lastRow="0" w:firstColumn="1" w:lastColumn="0" w:noHBand="0" w:noVBand="1"/>
      </w:tblPr>
      <w:tblGrid>
        <w:gridCol w:w="2614"/>
        <w:gridCol w:w="2614"/>
        <w:gridCol w:w="2614"/>
        <w:gridCol w:w="2614"/>
      </w:tblGrid>
      <w:tr w:rsidR="00641412" w14:paraId="3C3E090A" w14:textId="77777777">
        <w:trPr>
          <w:tblHeader/>
          <w:jc w:val="center"/>
        </w:trPr>
        <w:tc>
          <w:tcPr>
            <w:tcW w:w="2616" w:type="dxa"/>
            <w:shd w:val="clear" w:color="auto" w:fill="D9EAF7"/>
            <w:tcMar>
              <w:top w:w="90" w:type="dxa"/>
              <w:left w:w="90" w:type="dxa"/>
              <w:bottom w:w="90" w:type="dxa"/>
              <w:right w:w="90" w:type="dxa"/>
            </w:tcMar>
            <w:vAlign w:val="center"/>
          </w:tcPr>
          <w:p w14:paraId="7B152B99" w14:textId="77777777" w:rsidR="00641412" w:rsidRDefault="00000000">
            <w:pPr>
              <w:spacing w:line="252" w:lineRule="auto"/>
            </w:pPr>
            <w:r>
              <w:rPr>
                <w:rFonts w:ascii="Times New Roman" w:eastAsia="標楷體" w:hAnsi="Times New Roman"/>
                <w:b/>
                <w:sz w:val="18"/>
              </w:rPr>
              <w:t>資料集</w:t>
            </w:r>
          </w:p>
        </w:tc>
        <w:tc>
          <w:tcPr>
            <w:tcW w:w="2616" w:type="dxa"/>
            <w:shd w:val="clear" w:color="auto" w:fill="D9EAF7"/>
            <w:tcMar>
              <w:top w:w="90" w:type="dxa"/>
              <w:left w:w="90" w:type="dxa"/>
              <w:bottom w:w="90" w:type="dxa"/>
              <w:right w:w="90" w:type="dxa"/>
            </w:tcMar>
            <w:vAlign w:val="center"/>
          </w:tcPr>
          <w:p w14:paraId="7636994B" w14:textId="77777777" w:rsidR="00641412" w:rsidRDefault="00000000">
            <w:pPr>
              <w:spacing w:line="252" w:lineRule="auto"/>
              <w:jc w:val="center"/>
            </w:pPr>
            <w:r>
              <w:rPr>
                <w:rFonts w:ascii="Times New Roman" w:eastAsia="標楷體" w:hAnsi="Times New Roman"/>
                <w:b/>
                <w:sz w:val="18"/>
              </w:rPr>
              <w:t>BoW</w:t>
            </w:r>
          </w:p>
        </w:tc>
        <w:tc>
          <w:tcPr>
            <w:tcW w:w="2616" w:type="dxa"/>
            <w:shd w:val="clear" w:color="auto" w:fill="D9EAF7"/>
            <w:tcMar>
              <w:top w:w="90" w:type="dxa"/>
              <w:left w:w="90" w:type="dxa"/>
              <w:bottom w:w="90" w:type="dxa"/>
              <w:right w:w="90" w:type="dxa"/>
            </w:tcMar>
            <w:vAlign w:val="center"/>
          </w:tcPr>
          <w:p w14:paraId="27A3D73F" w14:textId="77777777" w:rsidR="00641412" w:rsidRDefault="00000000">
            <w:pPr>
              <w:spacing w:line="252" w:lineRule="auto"/>
              <w:jc w:val="center"/>
            </w:pPr>
            <w:r>
              <w:rPr>
                <w:rFonts w:ascii="Times New Roman" w:eastAsia="標楷體" w:hAnsi="Times New Roman"/>
                <w:b/>
                <w:sz w:val="18"/>
              </w:rPr>
              <w:t>TF</w:t>
            </w:r>
          </w:p>
        </w:tc>
        <w:tc>
          <w:tcPr>
            <w:tcW w:w="2616" w:type="dxa"/>
            <w:shd w:val="clear" w:color="auto" w:fill="D9EAF7"/>
            <w:tcMar>
              <w:top w:w="90" w:type="dxa"/>
              <w:left w:w="90" w:type="dxa"/>
              <w:bottom w:w="90" w:type="dxa"/>
              <w:right w:w="90" w:type="dxa"/>
            </w:tcMar>
            <w:vAlign w:val="center"/>
          </w:tcPr>
          <w:p w14:paraId="53854F3F" w14:textId="77777777" w:rsidR="00641412" w:rsidRDefault="00000000">
            <w:pPr>
              <w:spacing w:line="252" w:lineRule="auto"/>
              <w:jc w:val="center"/>
            </w:pPr>
            <w:r>
              <w:rPr>
                <w:rFonts w:ascii="Times New Roman" w:eastAsia="標楷體" w:hAnsi="Times New Roman"/>
                <w:b/>
                <w:sz w:val="18"/>
              </w:rPr>
              <w:t>TF-IDF</w:t>
            </w:r>
          </w:p>
        </w:tc>
      </w:tr>
      <w:tr w:rsidR="00641412" w14:paraId="0BD1E913" w14:textId="77777777">
        <w:trPr>
          <w:jc w:val="center"/>
        </w:trPr>
        <w:tc>
          <w:tcPr>
            <w:tcW w:w="2616" w:type="dxa"/>
            <w:tcMar>
              <w:top w:w="90" w:type="dxa"/>
              <w:left w:w="90" w:type="dxa"/>
              <w:bottom w:w="90" w:type="dxa"/>
              <w:right w:w="90" w:type="dxa"/>
            </w:tcMar>
            <w:vAlign w:val="center"/>
          </w:tcPr>
          <w:p w14:paraId="32EDA6B7" w14:textId="77777777" w:rsidR="00641412" w:rsidRDefault="00000000">
            <w:pPr>
              <w:spacing w:line="252" w:lineRule="auto"/>
            </w:pPr>
            <w:r>
              <w:rPr>
                <w:rFonts w:ascii="Times New Roman" w:eastAsia="標楷體" w:hAnsi="Times New Roman"/>
                <w:sz w:val="18"/>
              </w:rPr>
              <w:t>行政</w:t>
            </w:r>
          </w:p>
        </w:tc>
        <w:tc>
          <w:tcPr>
            <w:tcW w:w="2616" w:type="dxa"/>
            <w:tcMar>
              <w:top w:w="90" w:type="dxa"/>
              <w:left w:w="90" w:type="dxa"/>
              <w:bottom w:w="90" w:type="dxa"/>
              <w:right w:w="90" w:type="dxa"/>
            </w:tcMar>
            <w:vAlign w:val="center"/>
          </w:tcPr>
          <w:p w14:paraId="62218B67" w14:textId="77777777" w:rsidR="00641412" w:rsidRDefault="00000000">
            <w:pPr>
              <w:spacing w:line="252" w:lineRule="auto"/>
              <w:jc w:val="center"/>
            </w:pPr>
            <w:r>
              <w:rPr>
                <w:rFonts w:ascii="Times New Roman" w:eastAsia="標楷體" w:hAnsi="Times New Roman"/>
                <w:sz w:val="18"/>
              </w:rPr>
              <w:t>0.380</w:t>
            </w:r>
          </w:p>
        </w:tc>
        <w:tc>
          <w:tcPr>
            <w:tcW w:w="2616" w:type="dxa"/>
            <w:tcMar>
              <w:top w:w="90" w:type="dxa"/>
              <w:left w:w="90" w:type="dxa"/>
              <w:bottom w:w="90" w:type="dxa"/>
              <w:right w:w="90" w:type="dxa"/>
            </w:tcMar>
            <w:vAlign w:val="center"/>
          </w:tcPr>
          <w:p w14:paraId="3BEDCEDA" w14:textId="77777777" w:rsidR="00641412" w:rsidRDefault="00000000">
            <w:pPr>
              <w:spacing w:line="252" w:lineRule="auto"/>
              <w:jc w:val="center"/>
            </w:pPr>
            <w:r>
              <w:rPr>
                <w:rFonts w:ascii="Times New Roman" w:eastAsia="標楷體" w:hAnsi="Times New Roman"/>
                <w:sz w:val="18"/>
              </w:rPr>
              <w:t>0.341</w:t>
            </w:r>
          </w:p>
        </w:tc>
        <w:tc>
          <w:tcPr>
            <w:tcW w:w="2616" w:type="dxa"/>
            <w:tcMar>
              <w:top w:w="90" w:type="dxa"/>
              <w:left w:w="90" w:type="dxa"/>
              <w:bottom w:w="90" w:type="dxa"/>
              <w:right w:w="90" w:type="dxa"/>
            </w:tcMar>
            <w:vAlign w:val="center"/>
          </w:tcPr>
          <w:p w14:paraId="2D255245" w14:textId="77777777" w:rsidR="00641412" w:rsidRDefault="00000000">
            <w:pPr>
              <w:spacing w:line="252" w:lineRule="auto"/>
              <w:jc w:val="center"/>
            </w:pPr>
            <w:r>
              <w:rPr>
                <w:rFonts w:ascii="Times New Roman" w:eastAsia="標楷體" w:hAnsi="Times New Roman"/>
                <w:sz w:val="18"/>
              </w:rPr>
              <w:t>0.375</w:t>
            </w:r>
          </w:p>
        </w:tc>
      </w:tr>
      <w:tr w:rsidR="00641412" w14:paraId="25A16A0E" w14:textId="77777777">
        <w:trPr>
          <w:jc w:val="center"/>
        </w:trPr>
        <w:tc>
          <w:tcPr>
            <w:tcW w:w="2616" w:type="dxa"/>
            <w:tcMar>
              <w:top w:w="90" w:type="dxa"/>
              <w:left w:w="90" w:type="dxa"/>
              <w:bottom w:w="90" w:type="dxa"/>
              <w:right w:w="90" w:type="dxa"/>
            </w:tcMar>
            <w:vAlign w:val="center"/>
          </w:tcPr>
          <w:p w14:paraId="0EE746BC" w14:textId="77777777" w:rsidR="00641412" w:rsidRDefault="00000000">
            <w:pPr>
              <w:spacing w:line="252" w:lineRule="auto"/>
            </w:pPr>
            <w:r>
              <w:rPr>
                <w:rFonts w:ascii="Times New Roman" w:eastAsia="標楷體" w:hAnsi="Times New Roman"/>
                <w:sz w:val="18"/>
              </w:rPr>
              <w:lastRenderedPageBreak/>
              <w:t>民事</w:t>
            </w:r>
          </w:p>
        </w:tc>
        <w:tc>
          <w:tcPr>
            <w:tcW w:w="2616" w:type="dxa"/>
            <w:tcMar>
              <w:top w:w="90" w:type="dxa"/>
              <w:left w:w="90" w:type="dxa"/>
              <w:bottom w:w="90" w:type="dxa"/>
              <w:right w:w="90" w:type="dxa"/>
            </w:tcMar>
            <w:vAlign w:val="center"/>
          </w:tcPr>
          <w:p w14:paraId="5991630D" w14:textId="77777777" w:rsidR="00641412" w:rsidRDefault="00000000">
            <w:pPr>
              <w:spacing w:line="252" w:lineRule="auto"/>
              <w:jc w:val="center"/>
            </w:pPr>
            <w:r>
              <w:rPr>
                <w:rFonts w:ascii="Times New Roman" w:eastAsia="標楷體" w:hAnsi="Times New Roman"/>
                <w:sz w:val="18"/>
              </w:rPr>
              <w:t>0.403</w:t>
            </w:r>
          </w:p>
        </w:tc>
        <w:tc>
          <w:tcPr>
            <w:tcW w:w="2616" w:type="dxa"/>
            <w:tcMar>
              <w:top w:w="90" w:type="dxa"/>
              <w:left w:w="90" w:type="dxa"/>
              <w:bottom w:w="90" w:type="dxa"/>
              <w:right w:w="90" w:type="dxa"/>
            </w:tcMar>
            <w:vAlign w:val="center"/>
          </w:tcPr>
          <w:p w14:paraId="3991D1E0" w14:textId="77777777" w:rsidR="00641412" w:rsidRDefault="00000000">
            <w:pPr>
              <w:spacing w:line="252" w:lineRule="auto"/>
              <w:jc w:val="center"/>
            </w:pPr>
            <w:r>
              <w:rPr>
                <w:rFonts w:ascii="Times New Roman" w:eastAsia="標楷體" w:hAnsi="Times New Roman"/>
                <w:sz w:val="18"/>
              </w:rPr>
              <w:t>0.417</w:t>
            </w:r>
          </w:p>
        </w:tc>
        <w:tc>
          <w:tcPr>
            <w:tcW w:w="2616" w:type="dxa"/>
            <w:tcMar>
              <w:top w:w="90" w:type="dxa"/>
              <w:left w:w="90" w:type="dxa"/>
              <w:bottom w:w="90" w:type="dxa"/>
              <w:right w:w="90" w:type="dxa"/>
            </w:tcMar>
            <w:vAlign w:val="center"/>
          </w:tcPr>
          <w:p w14:paraId="2A2D4449" w14:textId="77777777" w:rsidR="00641412" w:rsidRDefault="00000000">
            <w:pPr>
              <w:spacing w:line="252" w:lineRule="auto"/>
              <w:jc w:val="center"/>
            </w:pPr>
            <w:r>
              <w:rPr>
                <w:rFonts w:ascii="Times New Roman" w:eastAsia="標楷體" w:hAnsi="Times New Roman"/>
                <w:sz w:val="18"/>
              </w:rPr>
              <w:t>0.428</w:t>
            </w:r>
          </w:p>
        </w:tc>
      </w:tr>
      <w:tr w:rsidR="00641412" w14:paraId="66F38C66" w14:textId="77777777">
        <w:trPr>
          <w:jc w:val="center"/>
        </w:trPr>
        <w:tc>
          <w:tcPr>
            <w:tcW w:w="2616" w:type="dxa"/>
            <w:tcMar>
              <w:top w:w="90" w:type="dxa"/>
              <w:left w:w="90" w:type="dxa"/>
              <w:bottom w:w="90" w:type="dxa"/>
              <w:right w:w="90" w:type="dxa"/>
            </w:tcMar>
            <w:vAlign w:val="center"/>
          </w:tcPr>
          <w:p w14:paraId="3C6E6424" w14:textId="77777777" w:rsidR="00641412" w:rsidRDefault="00000000">
            <w:pPr>
              <w:spacing w:line="252" w:lineRule="auto"/>
            </w:pPr>
            <w:r>
              <w:rPr>
                <w:rFonts w:ascii="Times New Roman" w:eastAsia="標楷體" w:hAnsi="Times New Roman"/>
                <w:sz w:val="18"/>
              </w:rPr>
              <w:t>刑事</w:t>
            </w:r>
          </w:p>
        </w:tc>
        <w:tc>
          <w:tcPr>
            <w:tcW w:w="2616" w:type="dxa"/>
            <w:tcMar>
              <w:top w:w="90" w:type="dxa"/>
              <w:left w:w="90" w:type="dxa"/>
              <w:bottom w:w="90" w:type="dxa"/>
              <w:right w:w="90" w:type="dxa"/>
            </w:tcMar>
            <w:vAlign w:val="center"/>
          </w:tcPr>
          <w:p w14:paraId="720496BC" w14:textId="77777777" w:rsidR="00641412" w:rsidRDefault="00000000">
            <w:pPr>
              <w:spacing w:line="252" w:lineRule="auto"/>
              <w:jc w:val="center"/>
            </w:pPr>
            <w:r>
              <w:rPr>
                <w:rFonts w:ascii="Times New Roman" w:eastAsia="標楷體" w:hAnsi="Times New Roman"/>
                <w:sz w:val="18"/>
              </w:rPr>
              <w:t>0.564</w:t>
            </w:r>
          </w:p>
        </w:tc>
        <w:tc>
          <w:tcPr>
            <w:tcW w:w="2616" w:type="dxa"/>
            <w:tcMar>
              <w:top w:w="90" w:type="dxa"/>
              <w:left w:w="90" w:type="dxa"/>
              <w:bottom w:w="90" w:type="dxa"/>
              <w:right w:w="90" w:type="dxa"/>
            </w:tcMar>
            <w:vAlign w:val="center"/>
          </w:tcPr>
          <w:p w14:paraId="3517AC73" w14:textId="77777777" w:rsidR="00641412" w:rsidRDefault="00000000">
            <w:pPr>
              <w:spacing w:line="252" w:lineRule="auto"/>
              <w:jc w:val="center"/>
            </w:pPr>
            <w:r>
              <w:rPr>
                <w:rFonts w:ascii="Times New Roman" w:eastAsia="標楷體" w:hAnsi="Times New Roman"/>
                <w:sz w:val="18"/>
              </w:rPr>
              <w:t>0.577</w:t>
            </w:r>
          </w:p>
        </w:tc>
        <w:tc>
          <w:tcPr>
            <w:tcW w:w="2616" w:type="dxa"/>
            <w:tcMar>
              <w:top w:w="90" w:type="dxa"/>
              <w:left w:w="90" w:type="dxa"/>
              <w:bottom w:w="90" w:type="dxa"/>
              <w:right w:w="90" w:type="dxa"/>
            </w:tcMar>
            <w:vAlign w:val="center"/>
          </w:tcPr>
          <w:p w14:paraId="683F7EE2" w14:textId="77777777" w:rsidR="00641412" w:rsidRDefault="00000000">
            <w:pPr>
              <w:spacing w:line="252" w:lineRule="auto"/>
              <w:jc w:val="center"/>
            </w:pPr>
            <w:r>
              <w:rPr>
                <w:rFonts w:ascii="Times New Roman" w:eastAsia="標楷體" w:hAnsi="Times New Roman"/>
                <w:sz w:val="18"/>
              </w:rPr>
              <w:t>0.562</w:t>
            </w:r>
          </w:p>
        </w:tc>
      </w:tr>
      <w:tr w:rsidR="00641412" w14:paraId="5D2AFA0F" w14:textId="77777777">
        <w:trPr>
          <w:jc w:val="center"/>
        </w:trPr>
        <w:tc>
          <w:tcPr>
            <w:tcW w:w="2616" w:type="dxa"/>
            <w:tcMar>
              <w:top w:w="90" w:type="dxa"/>
              <w:left w:w="90" w:type="dxa"/>
              <w:bottom w:w="90" w:type="dxa"/>
              <w:right w:w="90" w:type="dxa"/>
            </w:tcMar>
            <w:vAlign w:val="center"/>
          </w:tcPr>
          <w:p w14:paraId="285E1F44" w14:textId="77777777" w:rsidR="00641412" w:rsidRDefault="00000000">
            <w:pPr>
              <w:spacing w:line="252" w:lineRule="auto"/>
            </w:pPr>
            <w:r>
              <w:rPr>
                <w:rFonts w:ascii="Times New Roman" w:eastAsia="標楷體" w:hAnsi="Times New Roman"/>
                <w:sz w:val="18"/>
              </w:rPr>
              <w:t>刑事附帶民事</w:t>
            </w:r>
          </w:p>
        </w:tc>
        <w:tc>
          <w:tcPr>
            <w:tcW w:w="2616" w:type="dxa"/>
            <w:tcMar>
              <w:top w:w="90" w:type="dxa"/>
              <w:left w:w="90" w:type="dxa"/>
              <w:bottom w:w="90" w:type="dxa"/>
              <w:right w:w="90" w:type="dxa"/>
            </w:tcMar>
            <w:vAlign w:val="center"/>
          </w:tcPr>
          <w:p w14:paraId="3DE230FF" w14:textId="77777777" w:rsidR="00641412" w:rsidRDefault="00000000">
            <w:pPr>
              <w:spacing w:line="252" w:lineRule="auto"/>
              <w:jc w:val="center"/>
            </w:pPr>
            <w:r>
              <w:rPr>
                <w:rFonts w:ascii="Times New Roman" w:eastAsia="標楷體" w:hAnsi="Times New Roman"/>
                <w:sz w:val="18"/>
              </w:rPr>
              <w:t>0.654</w:t>
            </w:r>
          </w:p>
        </w:tc>
        <w:tc>
          <w:tcPr>
            <w:tcW w:w="2616" w:type="dxa"/>
            <w:tcMar>
              <w:top w:w="90" w:type="dxa"/>
              <w:left w:w="90" w:type="dxa"/>
              <w:bottom w:w="90" w:type="dxa"/>
              <w:right w:w="90" w:type="dxa"/>
            </w:tcMar>
            <w:vAlign w:val="center"/>
          </w:tcPr>
          <w:p w14:paraId="297E7071" w14:textId="77777777" w:rsidR="00641412" w:rsidRDefault="00000000">
            <w:pPr>
              <w:spacing w:line="252" w:lineRule="auto"/>
              <w:jc w:val="center"/>
            </w:pPr>
            <w:r>
              <w:rPr>
                <w:rFonts w:ascii="Times New Roman" w:eastAsia="標楷體" w:hAnsi="Times New Roman"/>
                <w:sz w:val="18"/>
              </w:rPr>
              <w:t>0.580</w:t>
            </w:r>
          </w:p>
        </w:tc>
        <w:tc>
          <w:tcPr>
            <w:tcW w:w="2616" w:type="dxa"/>
            <w:tcMar>
              <w:top w:w="90" w:type="dxa"/>
              <w:left w:w="90" w:type="dxa"/>
              <w:bottom w:w="90" w:type="dxa"/>
              <w:right w:w="90" w:type="dxa"/>
            </w:tcMar>
            <w:vAlign w:val="center"/>
          </w:tcPr>
          <w:p w14:paraId="72AC75AA" w14:textId="77777777" w:rsidR="00641412" w:rsidRDefault="00000000">
            <w:pPr>
              <w:spacing w:line="252" w:lineRule="auto"/>
              <w:jc w:val="center"/>
            </w:pPr>
            <w:r>
              <w:rPr>
                <w:rFonts w:ascii="Times New Roman" w:eastAsia="標楷體" w:hAnsi="Times New Roman"/>
                <w:sz w:val="18"/>
              </w:rPr>
              <w:t>0.572</w:t>
            </w:r>
          </w:p>
        </w:tc>
      </w:tr>
    </w:tbl>
    <w:p w14:paraId="54C802AA" w14:textId="77777777" w:rsidR="00641412" w:rsidRDefault="00000000">
      <w:pPr>
        <w:spacing w:before="120" w:after="40"/>
        <w:jc w:val="center"/>
      </w:pPr>
      <w:r>
        <w:rPr>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181B1F35" w14:textId="77777777" w:rsidR="00641412" w:rsidRDefault="00000000">
      <w:pPr>
        <w:spacing w:before="80" w:after="120" w:line="276" w:lineRule="auto"/>
        <w:ind w:firstLine="480"/>
      </w:pPr>
      <w:r>
        <w:rPr>
          <w:rFonts w:ascii="Times New Roman" w:eastAsia="標楷體" w:hAnsi="Times New Roman"/>
          <w:b/>
          <w:sz w:val="20"/>
        </w:rPr>
        <w:t>圖</w:t>
      </w:r>
      <w:r>
        <w:rPr>
          <w:rFonts w:ascii="Times New Roman" w:eastAsia="標楷體" w:hAnsi="Times New Roman"/>
          <w:b/>
          <w:sz w:val="20"/>
        </w:rPr>
        <w:t xml:space="preserve"> 4-2 </w:t>
      </w:r>
      <w:r>
        <w:rPr>
          <w:rFonts w:ascii="Times New Roman" w:eastAsia="標楷體" w:hAnsi="Times New Roman"/>
          <w:b/>
          <w:sz w:val="20"/>
        </w:rPr>
        <w:t>不同文字特徵表示之</w:t>
      </w:r>
      <w:r>
        <w:rPr>
          <w:rFonts w:ascii="Times New Roman" w:eastAsia="標楷體" w:hAnsi="Times New Roman"/>
          <w:b/>
          <w:sz w:val="20"/>
        </w:rPr>
        <w:t xml:space="preserve"> Macro F1 </w:t>
      </w:r>
      <w:r>
        <w:rPr>
          <w:rFonts w:ascii="Times New Roman" w:eastAsia="標楷體" w:hAnsi="Times New Roman"/>
          <w:b/>
          <w:sz w:val="20"/>
        </w:rPr>
        <w:t>比較</w:t>
      </w:r>
    </w:p>
    <w:p w14:paraId="6388F9DC"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4-4</w:t>
      </w:r>
      <w:r>
        <w:rPr>
          <w:rFonts w:ascii="Times New Roman" w:eastAsia="標楷體" w:hAnsi="Times New Roman"/>
        </w:rPr>
        <w:t>，三種文字特徵表示並不存在單一方法在所有資料集皆最佳。行政資料集以</w:t>
      </w:r>
      <w:r>
        <w:rPr>
          <w:rFonts w:ascii="Times New Roman" w:eastAsia="標楷體" w:hAnsi="Times New Roman"/>
        </w:rPr>
        <w:t xml:space="preserve"> BoW </w:t>
      </w:r>
      <w:r>
        <w:rPr>
          <w:rFonts w:ascii="Times New Roman" w:eastAsia="標楷體" w:hAnsi="Times New Roman"/>
        </w:rPr>
        <w:t>之</w:t>
      </w:r>
      <w:r>
        <w:rPr>
          <w:rFonts w:ascii="Times New Roman" w:eastAsia="標楷體" w:hAnsi="Times New Roman"/>
        </w:rPr>
        <w:t xml:space="preserve"> Macro F1 </w:t>
      </w:r>
      <w:r>
        <w:rPr>
          <w:rFonts w:ascii="Times New Roman" w:eastAsia="標楷體" w:hAnsi="Times New Roman"/>
        </w:rPr>
        <w:t>最高，為</w:t>
      </w:r>
      <w:r>
        <w:rPr>
          <w:rFonts w:ascii="Times New Roman" w:eastAsia="標楷體" w:hAnsi="Times New Roman"/>
        </w:rPr>
        <w:t xml:space="preserve"> 0.380</w:t>
      </w:r>
      <w:r>
        <w:rPr>
          <w:rFonts w:ascii="Times New Roman" w:eastAsia="標楷體" w:hAnsi="Times New Roman"/>
        </w:rPr>
        <w:t>，但與</w:t>
      </w:r>
      <w:r>
        <w:rPr>
          <w:rFonts w:ascii="Times New Roman" w:eastAsia="標楷體" w:hAnsi="Times New Roman"/>
        </w:rPr>
        <w:t xml:space="preserve"> TF-IDF </w:t>
      </w:r>
      <w:r>
        <w:rPr>
          <w:rFonts w:ascii="Times New Roman" w:eastAsia="標楷體" w:hAnsi="Times New Roman"/>
        </w:rPr>
        <w:t>的</w:t>
      </w:r>
      <w:r>
        <w:rPr>
          <w:rFonts w:ascii="Times New Roman" w:eastAsia="標楷體" w:hAnsi="Times New Roman"/>
        </w:rPr>
        <w:t xml:space="preserve"> 0.375 </w:t>
      </w:r>
      <w:r>
        <w:rPr>
          <w:rFonts w:ascii="Times New Roman" w:eastAsia="標楷體" w:hAnsi="Times New Roman"/>
        </w:rPr>
        <w:t>差距很小；民事資料集以</w:t>
      </w:r>
      <w:r>
        <w:rPr>
          <w:rFonts w:ascii="Times New Roman" w:eastAsia="標楷體" w:hAnsi="Times New Roman"/>
        </w:rPr>
        <w:t xml:space="preserve"> TF-IDF </w:t>
      </w:r>
      <w:r>
        <w:rPr>
          <w:rFonts w:ascii="Times New Roman" w:eastAsia="標楷體" w:hAnsi="Times New Roman"/>
        </w:rPr>
        <w:t>表現較佳，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0.428</w:t>
      </w:r>
      <w:r>
        <w:rPr>
          <w:rFonts w:ascii="Times New Roman" w:eastAsia="標楷體" w:hAnsi="Times New Roman"/>
        </w:rPr>
        <w:t>；刑事資料集以</w:t>
      </w:r>
      <w:r>
        <w:rPr>
          <w:rFonts w:ascii="Times New Roman" w:eastAsia="標楷體" w:hAnsi="Times New Roman"/>
        </w:rPr>
        <w:t xml:space="preserve"> TF </w:t>
      </w:r>
      <w:r>
        <w:rPr>
          <w:rFonts w:ascii="Times New Roman" w:eastAsia="標楷體" w:hAnsi="Times New Roman"/>
        </w:rPr>
        <w:t>表現較佳，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0.577</w:t>
      </w:r>
      <w:r>
        <w:rPr>
          <w:rFonts w:ascii="Times New Roman" w:eastAsia="標楷體" w:hAnsi="Times New Roman"/>
        </w:rPr>
        <w:t>；刑事附帶民事資料集則以</w:t>
      </w:r>
      <w:r>
        <w:rPr>
          <w:rFonts w:ascii="Times New Roman" w:eastAsia="標楷體" w:hAnsi="Times New Roman"/>
        </w:rPr>
        <w:t xml:space="preserve"> BoW </w:t>
      </w:r>
      <w:r>
        <w:rPr>
          <w:rFonts w:ascii="Times New Roman" w:eastAsia="標楷體" w:hAnsi="Times New Roman"/>
        </w:rPr>
        <w:t>表現最佳，</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0.654</w:t>
      </w:r>
      <w:r>
        <w:rPr>
          <w:rFonts w:ascii="Times New Roman" w:eastAsia="標楷體" w:hAnsi="Times New Roman"/>
        </w:rPr>
        <w:t>。此結果顯示，不同案件類型下較適合的文字特徵表示並不完全一致，法律文本分類不宜預設某一種文字表示必然優於其他方法。</w:t>
      </w:r>
    </w:p>
    <w:p w14:paraId="18E66350" w14:textId="77777777" w:rsidR="00641412" w:rsidRDefault="00000000">
      <w:pPr>
        <w:spacing w:after="120" w:line="276" w:lineRule="auto"/>
        <w:ind w:firstLine="480"/>
      </w:pPr>
      <w:r>
        <w:rPr>
          <w:rFonts w:ascii="Times New Roman" w:eastAsia="標楷體" w:hAnsi="Times New Roman"/>
        </w:rPr>
        <w:t>不過，部分資料集中不同特徵表示之差距有限，因此不宜過度解讀單一特徵表示的優劣。例如行政資料集中</w:t>
      </w:r>
      <w:r>
        <w:rPr>
          <w:rFonts w:ascii="Times New Roman" w:eastAsia="標楷體" w:hAnsi="Times New Roman"/>
        </w:rPr>
        <w:t xml:space="preserve"> BoW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表現接近，刑事資料集中</w:t>
      </w:r>
      <w:r>
        <w:rPr>
          <w:rFonts w:ascii="Times New Roman" w:eastAsia="標楷體" w:hAnsi="Times New Roman"/>
        </w:rPr>
        <w:t xml:space="preserve"> TF</w:t>
      </w:r>
      <w:r>
        <w:rPr>
          <w:rFonts w:ascii="Times New Roman" w:eastAsia="標楷體" w:hAnsi="Times New Roman"/>
        </w:rPr>
        <w:t>、</w:t>
      </w:r>
      <w:r>
        <w:rPr>
          <w:rFonts w:ascii="Times New Roman" w:eastAsia="標楷體" w:hAnsi="Times New Roman"/>
        </w:rPr>
        <w:t xml:space="preserve">BoW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的差距也不大。相較之下，刑事附帶民事資料集中</w:t>
      </w:r>
      <w:r>
        <w:rPr>
          <w:rFonts w:ascii="Times New Roman" w:eastAsia="標楷體" w:hAnsi="Times New Roman"/>
        </w:rPr>
        <w:t xml:space="preserve"> BoW </w:t>
      </w:r>
      <w:r>
        <w:rPr>
          <w:rFonts w:ascii="Times New Roman" w:eastAsia="標楷體" w:hAnsi="Times New Roman"/>
        </w:rPr>
        <w:t>明顯高於</w:t>
      </w:r>
      <w:r>
        <w:rPr>
          <w:rFonts w:ascii="Times New Roman" w:eastAsia="標楷體" w:hAnsi="Times New Roman"/>
        </w:rPr>
        <w:t xml:space="preserve"> TF </w:t>
      </w:r>
      <w:r>
        <w:rPr>
          <w:rFonts w:ascii="Times New Roman" w:eastAsia="標楷體" w:hAnsi="Times New Roman"/>
        </w:rPr>
        <w:t>與</w:t>
      </w:r>
      <w:r>
        <w:rPr>
          <w:rFonts w:ascii="Times New Roman" w:eastAsia="標楷體" w:hAnsi="Times New Roman"/>
        </w:rPr>
        <w:t xml:space="preserve"> TF-IDF</w:t>
      </w:r>
      <w:r>
        <w:rPr>
          <w:rFonts w:ascii="Times New Roman" w:eastAsia="標楷體" w:hAnsi="Times New Roman"/>
        </w:rPr>
        <w:t>，顯示在該資料集中，原始詞頻或詞項出現資訊可能更能保留與裁判結果相關的分類訊息。</w:t>
      </w:r>
    </w:p>
    <w:p w14:paraId="597CA73D" w14:textId="77777777" w:rsidR="00641412" w:rsidRDefault="00000000">
      <w:pPr>
        <w:spacing w:after="120" w:line="276" w:lineRule="auto"/>
        <w:ind w:firstLine="480"/>
      </w:pPr>
      <w:r>
        <w:rPr>
          <w:rFonts w:ascii="Times New Roman" w:eastAsia="標楷體" w:hAnsi="Times New Roman"/>
        </w:rPr>
        <w:t>就可能解釋而言，</w:t>
      </w:r>
      <w:r>
        <w:rPr>
          <w:rFonts w:ascii="Times New Roman" w:eastAsia="標楷體" w:hAnsi="Times New Roman"/>
        </w:rPr>
        <w:t xml:space="preserve">BoW </w:t>
      </w:r>
      <w:r>
        <w:rPr>
          <w:rFonts w:ascii="Times New Roman" w:eastAsia="標楷體" w:hAnsi="Times New Roman"/>
        </w:rPr>
        <w:t>保留原始詞頻或詞項出現資訊，可能適合特定裁判用語、案件事實描述或程序用語本身具有判別力的案件類型；</w:t>
      </w:r>
      <w:r>
        <w:rPr>
          <w:rFonts w:ascii="Times New Roman" w:eastAsia="標楷體" w:hAnsi="Times New Roman"/>
        </w:rPr>
        <w:t xml:space="preserve">TF </w:t>
      </w:r>
      <w:r>
        <w:rPr>
          <w:rFonts w:ascii="Times New Roman" w:eastAsia="標楷體" w:hAnsi="Times New Roman"/>
        </w:rPr>
        <w:t>能降低文本長度差異對詞頻的影響，因此在刑事資料集中取得相對較佳表現；</w:t>
      </w:r>
      <w:r>
        <w:rPr>
          <w:rFonts w:ascii="Times New Roman" w:eastAsia="標楷體" w:hAnsi="Times New Roman"/>
        </w:rPr>
        <w:t xml:space="preserve">TF-IDF </w:t>
      </w:r>
      <w:r>
        <w:rPr>
          <w:rFonts w:ascii="Times New Roman" w:eastAsia="標楷體" w:hAnsi="Times New Roman"/>
        </w:rPr>
        <w:t>則強化相對稀有詞彙，可能有助於民事案件中較具專屬性的請求、權利主張或法律爭點詞彙。不過，本文尚未進一步檢視各模型之高權重詞彙，因此上述解釋仍屬可能推論，後續可透過高卡方詞彙或</w:t>
      </w:r>
      <w:r>
        <w:rPr>
          <w:rFonts w:ascii="Times New Roman" w:eastAsia="標楷體" w:hAnsi="Times New Roman"/>
        </w:rPr>
        <w:t xml:space="preserve"> SVM </w:t>
      </w:r>
      <w:r>
        <w:rPr>
          <w:rFonts w:ascii="Times New Roman" w:eastAsia="標楷體" w:hAnsi="Times New Roman"/>
        </w:rPr>
        <w:t>權重進一步驗證。</w:t>
      </w:r>
    </w:p>
    <w:p w14:paraId="1E28AB53" w14:textId="77777777" w:rsidR="00641412" w:rsidRDefault="00000000">
      <w:pPr>
        <w:pStyle w:val="2"/>
        <w:spacing w:before="200" w:after="120" w:line="276" w:lineRule="auto"/>
      </w:pPr>
      <w:r>
        <w:rPr>
          <w:rFonts w:ascii="Times New Roman" w:eastAsia="標楷體" w:hAnsi="Times New Roman"/>
          <w:b/>
          <w:sz w:val="28"/>
        </w:rPr>
        <w:t xml:space="preserve">4.6 </w:t>
      </w:r>
      <w:r>
        <w:rPr>
          <w:rFonts w:ascii="Times New Roman" w:eastAsia="標楷體" w:hAnsi="Times New Roman"/>
          <w:b/>
          <w:sz w:val="28"/>
        </w:rPr>
        <w:t>參數選擇與驗證集表現</w:t>
      </w:r>
    </w:p>
    <w:p w14:paraId="194152AA"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4-5 </w:t>
      </w:r>
      <w:r>
        <w:rPr>
          <w:rFonts w:ascii="Times New Roman" w:eastAsia="標楷體" w:hAnsi="Times New Roman"/>
        </w:rPr>
        <w:t>呈現各資料集最佳</w:t>
      </w:r>
      <w:r>
        <w:rPr>
          <w:rFonts w:ascii="Times New Roman" w:eastAsia="標楷體" w:hAnsi="Times New Roman"/>
        </w:rPr>
        <w:t xml:space="preserve"> Direct SVM </w:t>
      </w:r>
      <w:r>
        <w:rPr>
          <w:rFonts w:ascii="Times New Roman" w:eastAsia="標楷體" w:hAnsi="Times New Roman"/>
        </w:rPr>
        <w:t>模型之參數選擇摘要。四類資料集之最佳</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 </w:t>
      </w:r>
      <w:r>
        <w:rPr>
          <w:rFonts w:ascii="Times New Roman" w:eastAsia="標楷體" w:hAnsi="Times New Roman"/>
        </w:rPr>
        <w:t>並</w:t>
      </w:r>
      <w:r>
        <w:rPr>
          <w:rFonts w:ascii="Times New Roman" w:eastAsia="標楷體" w:hAnsi="Times New Roman"/>
        </w:rPr>
        <w:lastRenderedPageBreak/>
        <w:t>不相同，顯示不同案件類型所需的特徵數與</w:t>
      </w:r>
      <w:r>
        <w:rPr>
          <w:rFonts w:ascii="Times New Roman" w:eastAsia="標楷體" w:hAnsi="Times New Roman"/>
        </w:rPr>
        <w:t xml:space="preserve"> SVM </w:t>
      </w:r>
      <w:r>
        <w:rPr>
          <w:rFonts w:ascii="Times New Roman" w:eastAsia="標楷體" w:hAnsi="Times New Roman"/>
        </w:rPr>
        <w:t>懲罰參數有所差異。行政資料集最佳</w:t>
      </w:r>
      <w:r>
        <w:rPr>
          <w:rFonts w:ascii="Times New Roman" w:eastAsia="標楷體" w:hAnsi="Times New Roman"/>
        </w:rPr>
        <w:t xml:space="preserve"> K </w:t>
      </w:r>
      <w:r>
        <w:rPr>
          <w:rFonts w:ascii="Times New Roman" w:eastAsia="標楷體" w:hAnsi="Times New Roman"/>
        </w:rPr>
        <w:t>為</w:t>
      </w:r>
      <w:r>
        <w:rPr>
          <w:rFonts w:ascii="Times New Roman" w:eastAsia="標楷體" w:hAnsi="Times New Roman"/>
        </w:rPr>
        <w:t xml:space="preserve"> 3000</w:t>
      </w:r>
      <w:r>
        <w:rPr>
          <w:rFonts w:ascii="Times New Roman" w:eastAsia="標楷體" w:hAnsi="Times New Roman"/>
        </w:rPr>
        <w:t>，民事與刑事資料集最佳</w:t>
      </w:r>
      <w:r>
        <w:rPr>
          <w:rFonts w:ascii="Times New Roman" w:eastAsia="標楷體" w:hAnsi="Times New Roman"/>
        </w:rPr>
        <w:t xml:space="preserve"> K </w:t>
      </w:r>
      <w:r>
        <w:rPr>
          <w:rFonts w:ascii="Times New Roman" w:eastAsia="標楷體" w:hAnsi="Times New Roman"/>
        </w:rPr>
        <w:t>均為</w:t>
      </w:r>
      <w:r>
        <w:rPr>
          <w:rFonts w:ascii="Times New Roman" w:eastAsia="標楷體" w:hAnsi="Times New Roman"/>
        </w:rPr>
        <w:t xml:space="preserve"> 5000</w:t>
      </w:r>
      <w:r>
        <w:rPr>
          <w:rFonts w:ascii="Times New Roman" w:eastAsia="標楷體" w:hAnsi="Times New Roman"/>
        </w:rPr>
        <w:t>，刑事附帶民事資料集最佳</w:t>
      </w:r>
      <w:r>
        <w:rPr>
          <w:rFonts w:ascii="Times New Roman" w:eastAsia="標楷體" w:hAnsi="Times New Roman"/>
        </w:rPr>
        <w:t xml:space="preserve"> K </w:t>
      </w:r>
      <w:r>
        <w:rPr>
          <w:rFonts w:ascii="Times New Roman" w:eastAsia="標楷體" w:hAnsi="Times New Roman"/>
        </w:rPr>
        <w:t>則為</w:t>
      </w:r>
      <w:r>
        <w:rPr>
          <w:rFonts w:ascii="Times New Roman" w:eastAsia="標楷體" w:hAnsi="Times New Roman"/>
        </w:rPr>
        <w:t xml:space="preserve"> 3000</w:t>
      </w:r>
      <w:r>
        <w:rPr>
          <w:rFonts w:ascii="Times New Roman" w:eastAsia="標楷體" w:hAnsi="Times New Roman"/>
        </w:rPr>
        <w:t>。</w:t>
      </w:r>
    </w:p>
    <w:p w14:paraId="7A0D107B"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4-5 </w:t>
      </w:r>
      <w:r>
        <w:rPr>
          <w:rFonts w:ascii="Times New Roman" w:eastAsia="標楷體" w:hAnsi="Times New Roman"/>
          <w:b/>
          <w:sz w:val="20"/>
        </w:rPr>
        <w:t>各資料集最佳</w:t>
      </w:r>
      <w:r>
        <w:rPr>
          <w:rFonts w:ascii="Times New Roman" w:eastAsia="標楷體" w:hAnsi="Times New Roman"/>
          <w:b/>
          <w:sz w:val="20"/>
        </w:rPr>
        <w:t xml:space="preserve"> Direct SVM </w:t>
      </w:r>
      <w:r>
        <w:rPr>
          <w:rFonts w:ascii="Times New Roman" w:eastAsia="標楷體" w:hAnsi="Times New Roman"/>
          <w:b/>
          <w:sz w:val="20"/>
        </w:rPr>
        <w:t>模型之參數選擇摘要</w:t>
      </w:r>
    </w:p>
    <w:tbl>
      <w:tblPr>
        <w:tblStyle w:val="af3"/>
        <w:tblW w:w="5000" w:type="pct"/>
        <w:jc w:val="center"/>
        <w:tblLook w:val="04A0" w:firstRow="1" w:lastRow="0" w:firstColumn="1" w:lastColumn="0" w:noHBand="0" w:noVBand="1"/>
      </w:tblPr>
      <w:tblGrid>
        <w:gridCol w:w="2091"/>
        <w:gridCol w:w="2091"/>
        <w:gridCol w:w="2091"/>
        <w:gridCol w:w="2091"/>
        <w:gridCol w:w="2092"/>
      </w:tblGrid>
      <w:tr w:rsidR="00641412" w14:paraId="6F15B886" w14:textId="77777777" w:rsidTr="008D36FB">
        <w:trPr>
          <w:tblHeader/>
          <w:jc w:val="center"/>
        </w:trPr>
        <w:tc>
          <w:tcPr>
            <w:tcW w:w="2091" w:type="dxa"/>
            <w:shd w:val="clear" w:color="auto" w:fill="D9EAF7"/>
            <w:tcMar>
              <w:top w:w="90" w:type="dxa"/>
              <w:left w:w="90" w:type="dxa"/>
              <w:bottom w:w="90" w:type="dxa"/>
              <w:right w:w="90" w:type="dxa"/>
            </w:tcMar>
            <w:vAlign w:val="center"/>
          </w:tcPr>
          <w:p w14:paraId="623E3EE2" w14:textId="77777777" w:rsidR="00641412" w:rsidRDefault="00000000">
            <w:pPr>
              <w:spacing w:line="252" w:lineRule="auto"/>
            </w:pPr>
            <w:r>
              <w:rPr>
                <w:rFonts w:ascii="Times New Roman" w:eastAsia="標楷體" w:hAnsi="Times New Roman"/>
                <w:b/>
                <w:sz w:val="18"/>
              </w:rPr>
              <w:t>資料集</w:t>
            </w:r>
          </w:p>
        </w:tc>
        <w:tc>
          <w:tcPr>
            <w:tcW w:w="2091" w:type="dxa"/>
            <w:shd w:val="clear" w:color="auto" w:fill="D9EAF7"/>
            <w:tcMar>
              <w:top w:w="90" w:type="dxa"/>
              <w:left w:w="90" w:type="dxa"/>
              <w:bottom w:w="90" w:type="dxa"/>
              <w:right w:w="90" w:type="dxa"/>
            </w:tcMar>
            <w:vAlign w:val="center"/>
          </w:tcPr>
          <w:p w14:paraId="08FF5C37" w14:textId="77777777" w:rsidR="00641412" w:rsidRDefault="00000000">
            <w:pPr>
              <w:spacing w:line="252" w:lineRule="auto"/>
              <w:jc w:val="center"/>
            </w:pPr>
            <w:r>
              <w:rPr>
                <w:rFonts w:ascii="Times New Roman" w:eastAsia="標楷體" w:hAnsi="Times New Roman"/>
                <w:b/>
                <w:sz w:val="18"/>
              </w:rPr>
              <w:t>K</w:t>
            </w:r>
          </w:p>
        </w:tc>
        <w:tc>
          <w:tcPr>
            <w:tcW w:w="2091" w:type="dxa"/>
            <w:shd w:val="clear" w:color="auto" w:fill="D9EAF7"/>
            <w:tcMar>
              <w:top w:w="90" w:type="dxa"/>
              <w:left w:w="90" w:type="dxa"/>
              <w:bottom w:w="90" w:type="dxa"/>
              <w:right w:w="90" w:type="dxa"/>
            </w:tcMar>
            <w:vAlign w:val="center"/>
          </w:tcPr>
          <w:p w14:paraId="478163FA" w14:textId="77777777" w:rsidR="00641412" w:rsidRDefault="00000000">
            <w:pPr>
              <w:spacing w:line="252" w:lineRule="auto"/>
              <w:jc w:val="center"/>
            </w:pPr>
            <w:r>
              <w:rPr>
                <w:rFonts w:ascii="Times New Roman" w:eastAsia="標楷體" w:hAnsi="Times New Roman"/>
                <w:b/>
                <w:sz w:val="18"/>
              </w:rPr>
              <w:t>Selected Features</w:t>
            </w:r>
          </w:p>
        </w:tc>
        <w:tc>
          <w:tcPr>
            <w:tcW w:w="2091" w:type="dxa"/>
            <w:shd w:val="clear" w:color="auto" w:fill="D9EAF7"/>
            <w:tcMar>
              <w:top w:w="90" w:type="dxa"/>
              <w:left w:w="90" w:type="dxa"/>
              <w:bottom w:w="90" w:type="dxa"/>
              <w:right w:w="90" w:type="dxa"/>
            </w:tcMar>
            <w:vAlign w:val="center"/>
          </w:tcPr>
          <w:p w14:paraId="49E537ED" w14:textId="77777777" w:rsidR="00641412" w:rsidRDefault="00000000">
            <w:pPr>
              <w:spacing w:line="252" w:lineRule="auto"/>
              <w:jc w:val="center"/>
            </w:pPr>
            <w:r>
              <w:rPr>
                <w:rFonts w:ascii="Times New Roman" w:eastAsia="標楷體" w:hAnsi="Times New Roman"/>
                <w:b/>
                <w:sz w:val="18"/>
              </w:rPr>
              <w:t>Best C</w:t>
            </w:r>
          </w:p>
        </w:tc>
        <w:tc>
          <w:tcPr>
            <w:tcW w:w="2092" w:type="dxa"/>
            <w:shd w:val="clear" w:color="auto" w:fill="D9EAF7"/>
            <w:tcMar>
              <w:top w:w="90" w:type="dxa"/>
              <w:left w:w="90" w:type="dxa"/>
              <w:bottom w:w="90" w:type="dxa"/>
              <w:right w:w="90" w:type="dxa"/>
            </w:tcMar>
            <w:vAlign w:val="center"/>
          </w:tcPr>
          <w:p w14:paraId="799F4B39" w14:textId="77777777" w:rsidR="00641412" w:rsidRDefault="00000000">
            <w:pPr>
              <w:spacing w:line="252" w:lineRule="auto"/>
              <w:jc w:val="center"/>
            </w:pPr>
            <w:r>
              <w:rPr>
                <w:rFonts w:ascii="Times New Roman" w:eastAsia="標楷體" w:hAnsi="Times New Roman"/>
                <w:b/>
                <w:sz w:val="18"/>
              </w:rPr>
              <w:t>Validation Macro F1</w:t>
            </w:r>
          </w:p>
        </w:tc>
      </w:tr>
      <w:tr w:rsidR="00641412" w14:paraId="0F470672" w14:textId="77777777" w:rsidTr="008D36FB">
        <w:trPr>
          <w:jc w:val="center"/>
        </w:trPr>
        <w:tc>
          <w:tcPr>
            <w:tcW w:w="2091" w:type="dxa"/>
            <w:tcMar>
              <w:top w:w="90" w:type="dxa"/>
              <w:left w:w="90" w:type="dxa"/>
              <w:bottom w:w="90" w:type="dxa"/>
              <w:right w:w="90" w:type="dxa"/>
            </w:tcMar>
            <w:vAlign w:val="center"/>
          </w:tcPr>
          <w:p w14:paraId="2F54DF65" w14:textId="77777777" w:rsidR="00641412" w:rsidRDefault="00000000">
            <w:pPr>
              <w:spacing w:line="252" w:lineRule="auto"/>
            </w:pPr>
            <w:r>
              <w:rPr>
                <w:rFonts w:ascii="Times New Roman" w:eastAsia="標楷體" w:hAnsi="Times New Roman"/>
                <w:sz w:val="18"/>
              </w:rPr>
              <w:t>行政</w:t>
            </w:r>
          </w:p>
        </w:tc>
        <w:tc>
          <w:tcPr>
            <w:tcW w:w="2091" w:type="dxa"/>
            <w:tcMar>
              <w:top w:w="90" w:type="dxa"/>
              <w:left w:w="90" w:type="dxa"/>
              <w:bottom w:w="90" w:type="dxa"/>
              <w:right w:w="90" w:type="dxa"/>
            </w:tcMar>
            <w:vAlign w:val="center"/>
          </w:tcPr>
          <w:p w14:paraId="660B0320"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4F83CFDF"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0ECA7169"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076D82FE" w14:textId="77777777" w:rsidR="00641412" w:rsidRDefault="00000000">
            <w:pPr>
              <w:spacing w:line="252" w:lineRule="auto"/>
              <w:jc w:val="center"/>
            </w:pPr>
            <w:r>
              <w:rPr>
                <w:rFonts w:ascii="Times New Roman" w:eastAsia="標楷體" w:hAnsi="Times New Roman"/>
                <w:sz w:val="18"/>
              </w:rPr>
              <w:t>0.385</w:t>
            </w:r>
          </w:p>
        </w:tc>
      </w:tr>
      <w:tr w:rsidR="00641412" w14:paraId="7214E1E9" w14:textId="77777777" w:rsidTr="008D36FB">
        <w:trPr>
          <w:jc w:val="center"/>
        </w:trPr>
        <w:tc>
          <w:tcPr>
            <w:tcW w:w="2091" w:type="dxa"/>
            <w:tcMar>
              <w:top w:w="90" w:type="dxa"/>
              <w:left w:w="90" w:type="dxa"/>
              <w:bottom w:w="90" w:type="dxa"/>
              <w:right w:w="90" w:type="dxa"/>
            </w:tcMar>
            <w:vAlign w:val="center"/>
          </w:tcPr>
          <w:p w14:paraId="32CEF16C" w14:textId="77777777" w:rsidR="00641412" w:rsidRDefault="00000000">
            <w:pPr>
              <w:spacing w:line="252" w:lineRule="auto"/>
            </w:pPr>
            <w:r>
              <w:rPr>
                <w:rFonts w:ascii="Times New Roman" w:eastAsia="標楷體" w:hAnsi="Times New Roman"/>
                <w:sz w:val="18"/>
              </w:rPr>
              <w:t>民事</w:t>
            </w:r>
          </w:p>
        </w:tc>
        <w:tc>
          <w:tcPr>
            <w:tcW w:w="2091" w:type="dxa"/>
            <w:tcMar>
              <w:top w:w="90" w:type="dxa"/>
              <w:left w:w="90" w:type="dxa"/>
              <w:bottom w:w="90" w:type="dxa"/>
              <w:right w:w="90" w:type="dxa"/>
            </w:tcMar>
            <w:vAlign w:val="center"/>
          </w:tcPr>
          <w:p w14:paraId="481083F1"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3CA287DF"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42434F40"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2B4430E7" w14:textId="77777777" w:rsidR="00641412" w:rsidRDefault="00000000">
            <w:pPr>
              <w:spacing w:line="252" w:lineRule="auto"/>
              <w:jc w:val="center"/>
            </w:pPr>
            <w:r>
              <w:rPr>
                <w:rFonts w:ascii="Times New Roman" w:eastAsia="標楷體" w:hAnsi="Times New Roman"/>
                <w:sz w:val="18"/>
              </w:rPr>
              <w:t>0.463</w:t>
            </w:r>
          </w:p>
        </w:tc>
      </w:tr>
      <w:tr w:rsidR="00641412" w14:paraId="282F9D6E" w14:textId="77777777" w:rsidTr="008D36FB">
        <w:trPr>
          <w:jc w:val="center"/>
        </w:trPr>
        <w:tc>
          <w:tcPr>
            <w:tcW w:w="2091" w:type="dxa"/>
            <w:tcMar>
              <w:top w:w="90" w:type="dxa"/>
              <w:left w:w="90" w:type="dxa"/>
              <w:bottom w:w="90" w:type="dxa"/>
              <w:right w:w="90" w:type="dxa"/>
            </w:tcMar>
            <w:vAlign w:val="center"/>
          </w:tcPr>
          <w:p w14:paraId="262B993D" w14:textId="77777777" w:rsidR="00641412" w:rsidRDefault="00000000">
            <w:pPr>
              <w:spacing w:line="252" w:lineRule="auto"/>
            </w:pPr>
            <w:r>
              <w:rPr>
                <w:rFonts w:ascii="Times New Roman" w:eastAsia="標楷體" w:hAnsi="Times New Roman"/>
                <w:sz w:val="18"/>
              </w:rPr>
              <w:t>刑事</w:t>
            </w:r>
          </w:p>
        </w:tc>
        <w:tc>
          <w:tcPr>
            <w:tcW w:w="2091" w:type="dxa"/>
            <w:tcMar>
              <w:top w:w="90" w:type="dxa"/>
              <w:left w:w="90" w:type="dxa"/>
              <w:bottom w:w="90" w:type="dxa"/>
              <w:right w:w="90" w:type="dxa"/>
            </w:tcMar>
            <w:vAlign w:val="center"/>
          </w:tcPr>
          <w:p w14:paraId="71A27AB8"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014AE294" w14:textId="77777777" w:rsidR="00641412" w:rsidRDefault="00000000">
            <w:pPr>
              <w:spacing w:line="252" w:lineRule="auto"/>
              <w:jc w:val="center"/>
            </w:pPr>
            <w:r>
              <w:rPr>
                <w:rFonts w:ascii="Times New Roman" w:eastAsia="標楷體" w:hAnsi="Times New Roman"/>
                <w:sz w:val="18"/>
              </w:rPr>
              <w:t>5000</w:t>
            </w:r>
          </w:p>
        </w:tc>
        <w:tc>
          <w:tcPr>
            <w:tcW w:w="2091" w:type="dxa"/>
            <w:tcMar>
              <w:top w:w="90" w:type="dxa"/>
              <w:left w:w="90" w:type="dxa"/>
              <w:bottom w:w="90" w:type="dxa"/>
              <w:right w:w="90" w:type="dxa"/>
            </w:tcMar>
            <w:vAlign w:val="center"/>
          </w:tcPr>
          <w:p w14:paraId="30E2F373" w14:textId="77777777" w:rsidR="00641412" w:rsidRDefault="00000000">
            <w:pPr>
              <w:spacing w:line="252" w:lineRule="auto"/>
              <w:jc w:val="center"/>
            </w:pPr>
            <w:r>
              <w:rPr>
                <w:rFonts w:ascii="Times New Roman" w:eastAsia="標楷體" w:hAnsi="Times New Roman"/>
                <w:sz w:val="18"/>
              </w:rPr>
              <w:t>4.0</w:t>
            </w:r>
          </w:p>
        </w:tc>
        <w:tc>
          <w:tcPr>
            <w:tcW w:w="2092" w:type="dxa"/>
            <w:tcMar>
              <w:top w:w="90" w:type="dxa"/>
              <w:left w:w="90" w:type="dxa"/>
              <w:bottom w:w="90" w:type="dxa"/>
              <w:right w:w="90" w:type="dxa"/>
            </w:tcMar>
            <w:vAlign w:val="center"/>
          </w:tcPr>
          <w:p w14:paraId="0DA258A6" w14:textId="77777777" w:rsidR="00641412" w:rsidRDefault="00000000">
            <w:pPr>
              <w:spacing w:line="252" w:lineRule="auto"/>
              <w:jc w:val="center"/>
            </w:pPr>
            <w:r>
              <w:rPr>
                <w:rFonts w:ascii="Times New Roman" w:eastAsia="標楷體" w:hAnsi="Times New Roman"/>
                <w:sz w:val="18"/>
              </w:rPr>
              <w:t>0.515</w:t>
            </w:r>
          </w:p>
        </w:tc>
      </w:tr>
      <w:tr w:rsidR="00641412" w14:paraId="342F1B41" w14:textId="77777777" w:rsidTr="008D36FB">
        <w:trPr>
          <w:jc w:val="center"/>
        </w:trPr>
        <w:tc>
          <w:tcPr>
            <w:tcW w:w="2091" w:type="dxa"/>
            <w:tcMar>
              <w:top w:w="90" w:type="dxa"/>
              <w:left w:w="90" w:type="dxa"/>
              <w:bottom w:w="90" w:type="dxa"/>
              <w:right w:w="90" w:type="dxa"/>
            </w:tcMar>
            <w:vAlign w:val="center"/>
          </w:tcPr>
          <w:p w14:paraId="45B73ADF" w14:textId="77777777" w:rsidR="00641412" w:rsidRDefault="00000000">
            <w:pPr>
              <w:spacing w:line="252" w:lineRule="auto"/>
            </w:pPr>
            <w:r>
              <w:rPr>
                <w:rFonts w:ascii="Times New Roman" w:eastAsia="標楷體" w:hAnsi="Times New Roman"/>
                <w:sz w:val="18"/>
              </w:rPr>
              <w:t>刑事附帶民事</w:t>
            </w:r>
          </w:p>
        </w:tc>
        <w:tc>
          <w:tcPr>
            <w:tcW w:w="2091" w:type="dxa"/>
            <w:tcMar>
              <w:top w:w="90" w:type="dxa"/>
              <w:left w:w="90" w:type="dxa"/>
              <w:bottom w:w="90" w:type="dxa"/>
              <w:right w:w="90" w:type="dxa"/>
            </w:tcMar>
            <w:vAlign w:val="center"/>
          </w:tcPr>
          <w:p w14:paraId="215A5E29"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22DAFE4C" w14:textId="77777777" w:rsidR="00641412" w:rsidRDefault="00000000">
            <w:pPr>
              <w:spacing w:line="252" w:lineRule="auto"/>
              <w:jc w:val="center"/>
            </w:pPr>
            <w:r>
              <w:rPr>
                <w:rFonts w:ascii="Times New Roman" w:eastAsia="標楷體" w:hAnsi="Times New Roman"/>
                <w:sz w:val="18"/>
              </w:rPr>
              <w:t>3000</w:t>
            </w:r>
          </w:p>
        </w:tc>
        <w:tc>
          <w:tcPr>
            <w:tcW w:w="2091" w:type="dxa"/>
            <w:tcMar>
              <w:top w:w="90" w:type="dxa"/>
              <w:left w:w="90" w:type="dxa"/>
              <w:bottom w:w="90" w:type="dxa"/>
              <w:right w:w="90" w:type="dxa"/>
            </w:tcMar>
            <w:vAlign w:val="center"/>
          </w:tcPr>
          <w:p w14:paraId="465A7450" w14:textId="77777777" w:rsidR="00641412" w:rsidRDefault="00000000">
            <w:pPr>
              <w:spacing w:line="252" w:lineRule="auto"/>
              <w:jc w:val="center"/>
            </w:pPr>
            <w:r>
              <w:rPr>
                <w:rFonts w:ascii="Times New Roman" w:eastAsia="標楷體" w:hAnsi="Times New Roman"/>
                <w:sz w:val="18"/>
              </w:rPr>
              <w:t>0.0625</w:t>
            </w:r>
          </w:p>
        </w:tc>
        <w:tc>
          <w:tcPr>
            <w:tcW w:w="2092" w:type="dxa"/>
            <w:tcMar>
              <w:top w:w="90" w:type="dxa"/>
              <w:left w:w="90" w:type="dxa"/>
              <w:bottom w:w="90" w:type="dxa"/>
              <w:right w:w="90" w:type="dxa"/>
            </w:tcMar>
            <w:vAlign w:val="center"/>
          </w:tcPr>
          <w:p w14:paraId="172CFE93" w14:textId="77777777" w:rsidR="00641412" w:rsidRDefault="00000000">
            <w:pPr>
              <w:spacing w:line="252" w:lineRule="auto"/>
              <w:jc w:val="center"/>
            </w:pPr>
            <w:r>
              <w:rPr>
                <w:rFonts w:ascii="Times New Roman" w:eastAsia="標楷體" w:hAnsi="Times New Roman"/>
                <w:sz w:val="18"/>
              </w:rPr>
              <w:t>0.745</w:t>
            </w:r>
          </w:p>
        </w:tc>
      </w:tr>
    </w:tbl>
    <w:p w14:paraId="0E355BE4" w14:textId="3D832833" w:rsidR="00641412" w:rsidRDefault="008D36FB">
      <w:pPr>
        <w:spacing w:before="160" w:after="4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3012F40C" w14:textId="77777777" w:rsidR="00641412" w:rsidRDefault="00000000">
      <w:pPr>
        <w:spacing w:before="40"/>
        <w:jc w:val="center"/>
      </w:pPr>
      <w:r>
        <w:rPr>
          <w:rFonts w:ascii="Times New Roman" w:eastAsia="標楷體" w:hAnsi="Times New Roman"/>
          <w:b/>
          <w:sz w:val="20"/>
        </w:rPr>
        <w:t>圖</w:t>
      </w:r>
      <w:r>
        <w:rPr>
          <w:rFonts w:ascii="Times New Roman" w:eastAsia="標楷體" w:hAnsi="Times New Roman"/>
          <w:b/>
          <w:sz w:val="20"/>
        </w:rPr>
        <w:t xml:space="preserve"> 4-3 Direct SVM </w:t>
      </w:r>
      <w:r>
        <w:rPr>
          <w:rFonts w:ascii="Times New Roman" w:eastAsia="標楷體" w:hAnsi="Times New Roman"/>
          <w:b/>
          <w:sz w:val="20"/>
        </w:rPr>
        <w:t>之</w:t>
      </w:r>
      <w:r>
        <w:rPr>
          <w:rFonts w:ascii="Times New Roman" w:eastAsia="標楷體" w:hAnsi="Times New Roman"/>
          <w:b/>
          <w:sz w:val="20"/>
        </w:rPr>
        <w:t xml:space="preserve"> K × C </w:t>
      </w:r>
      <w:r>
        <w:rPr>
          <w:rFonts w:ascii="Times New Roman" w:eastAsia="標楷體" w:hAnsi="Times New Roman"/>
          <w:b/>
          <w:sz w:val="20"/>
        </w:rPr>
        <w:t>驗證集</w:t>
      </w:r>
      <w:r>
        <w:rPr>
          <w:rFonts w:ascii="Times New Roman" w:eastAsia="標楷體" w:hAnsi="Times New Roman"/>
          <w:b/>
          <w:sz w:val="20"/>
        </w:rPr>
        <w:t xml:space="preserve"> Macro F1 </w:t>
      </w:r>
      <w:r>
        <w:rPr>
          <w:rFonts w:ascii="Times New Roman" w:eastAsia="標楷體" w:hAnsi="Times New Roman"/>
          <w:b/>
          <w:sz w:val="20"/>
        </w:rPr>
        <w:t>熱力圖</w:t>
      </w:r>
    </w:p>
    <w:p w14:paraId="62294F5E"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4-5</w:t>
      </w:r>
      <w:r>
        <w:rPr>
          <w:rFonts w:ascii="Times New Roman" w:eastAsia="標楷體" w:hAnsi="Times New Roman"/>
        </w:rPr>
        <w:t>，模型參數並非以單一固定值套用於所有資料集，而是依各資料集之</w:t>
      </w:r>
      <w:r>
        <w:rPr>
          <w:rFonts w:ascii="Times New Roman" w:eastAsia="標楷體" w:hAnsi="Times New Roman"/>
        </w:rPr>
        <w:t xml:space="preserve"> validation Macro F1 </w:t>
      </w:r>
      <w:r>
        <w:rPr>
          <w:rFonts w:ascii="Times New Roman" w:eastAsia="標楷體" w:hAnsi="Times New Roman"/>
        </w:rPr>
        <w:t>選擇。刑事附帶民事資料集在驗證集上取得最高</w:t>
      </w:r>
      <w:r>
        <w:rPr>
          <w:rFonts w:ascii="Times New Roman" w:eastAsia="標楷體" w:hAnsi="Times New Roman"/>
        </w:rPr>
        <w:t xml:space="preserve"> Validation Macro F1</w:t>
      </w:r>
      <w:r>
        <w:rPr>
          <w:rFonts w:ascii="Times New Roman" w:eastAsia="標楷體" w:hAnsi="Times New Roman"/>
        </w:rPr>
        <w:t>（</w:t>
      </w:r>
      <w:r>
        <w:rPr>
          <w:rFonts w:ascii="Times New Roman" w:eastAsia="標楷體" w:hAnsi="Times New Roman"/>
        </w:rPr>
        <w:t>0.745</w:t>
      </w:r>
      <w:r>
        <w:rPr>
          <w:rFonts w:ascii="Times New Roman" w:eastAsia="標楷體" w:hAnsi="Times New Roman"/>
        </w:rPr>
        <w:t>），並於測試集取得最高</w:t>
      </w:r>
      <w:r>
        <w:rPr>
          <w:rFonts w:ascii="Times New Roman" w:eastAsia="標楷體" w:hAnsi="Times New Roman"/>
        </w:rPr>
        <w:t xml:space="preserve"> Macro F1</w:t>
      </w:r>
      <w:r>
        <w:rPr>
          <w:rFonts w:ascii="Times New Roman" w:eastAsia="標楷體" w:hAnsi="Times New Roman"/>
        </w:rPr>
        <w:t>（</w:t>
      </w:r>
      <w:r>
        <w:rPr>
          <w:rFonts w:ascii="Times New Roman" w:eastAsia="標楷體" w:hAnsi="Times New Roman"/>
        </w:rPr>
        <w:t>0.654</w:t>
      </w:r>
      <w:r>
        <w:rPr>
          <w:rFonts w:ascii="Times New Roman" w:eastAsia="標楷體" w:hAnsi="Times New Roman"/>
        </w:rPr>
        <w:t>），顯示其在本次資料切分下，驗證集與測試集表現皆相對較高。相對而言，行政資料集最佳</w:t>
      </w:r>
      <w:r>
        <w:rPr>
          <w:rFonts w:ascii="Times New Roman" w:eastAsia="標楷體" w:hAnsi="Times New Roman"/>
        </w:rPr>
        <w:t xml:space="preserve"> Validation Macro F1 </w:t>
      </w:r>
      <w:r>
        <w:rPr>
          <w:rFonts w:ascii="Times New Roman" w:eastAsia="標楷體" w:hAnsi="Times New Roman"/>
        </w:rPr>
        <w:t>僅為</w:t>
      </w:r>
      <w:r>
        <w:rPr>
          <w:rFonts w:ascii="Times New Roman" w:eastAsia="標楷體" w:hAnsi="Times New Roman"/>
        </w:rPr>
        <w:t xml:space="preserve"> 0.385</w:t>
      </w:r>
      <w:r>
        <w:rPr>
          <w:rFonts w:ascii="Times New Roman" w:eastAsia="標楷體" w:hAnsi="Times New Roman"/>
        </w:rPr>
        <w:t>，測試集</w:t>
      </w:r>
      <w:r>
        <w:rPr>
          <w:rFonts w:ascii="Times New Roman" w:eastAsia="標楷體" w:hAnsi="Times New Roman"/>
        </w:rPr>
        <w:t xml:space="preserve"> Macro F1 </w:t>
      </w:r>
      <w:r>
        <w:rPr>
          <w:rFonts w:ascii="Times New Roman" w:eastAsia="標楷體" w:hAnsi="Times New Roman"/>
        </w:rPr>
        <w:t>為</w:t>
      </w:r>
      <w:r>
        <w:rPr>
          <w:rFonts w:ascii="Times New Roman" w:eastAsia="標楷體" w:hAnsi="Times New Roman"/>
        </w:rPr>
        <w:t xml:space="preserve"> 0.380</w:t>
      </w:r>
      <w:r>
        <w:rPr>
          <w:rFonts w:ascii="Times New Roman" w:eastAsia="標楷體" w:hAnsi="Times New Roman"/>
        </w:rPr>
        <w:t>，顯示其分類任務相對較困難，且少數類別辨識可能受到更大限制。</w:t>
      </w:r>
    </w:p>
    <w:p w14:paraId="65D6AF46" w14:textId="77777777" w:rsidR="00641412" w:rsidRDefault="00000000">
      <w:pPr>
        <w:spacing w:after="120" w:line="276" w:lineRule="auto"/>
        <w:ind w:firstLine="480"/>
      </w:pPr>
      <w:r>
        <w:rPr>
          <w:rFonts w:ascii="Times New Roman" w:eastAsia="標楷體" w:hAnsi="Times New Roman"/>
        </w:rPr>
        <w:t>不過，此表僅能說明各資料集最佳模型之參數選擇結果，不能直接推論所有資料集皆具有相同最佳</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w:t>
      </w:r>
      <w:r>
        <w:rPr>
          <w:rFonts w:ascii="Times New Roman" w:eastAsia="標楷體" w:hAnsi="Times New Roman"/>
        </w:rPr>
        <w:t>。圖</w:t>
      </w:r>
      <w:r>
        <w:rPr>
          <w:rFonts w:ascii="Times New Roman" w:eastAsia="標楷體" w:hAnsi="Times New Roman"/>
        </w:rPr>
        <w:t xml:space="preserve"> 4-3 </w:t>
      </w:r>
      <w:r>
        <w:rPr>
          <w:rFonts w:ascii="Times New Roman" w:eastAsia="標楷體" w:hAnsi="Times New Roman"/>
        </w:rPr>
        <w:t>進一步呈現各資料集在不同</w:t>
      </w:r>
      <w:r>
        <w:rPr>
          <w:rFonts w:ascii="Times New Roman" w:eastAsia="標楷體" w:hAnsi="Times New Roman"/>
        </w:rPr>
        <w:t xml:space="preserve"> K </w:t>
      </w:r>
      <w:r>
        <w:rPr>
          <w:rFonts w:ascii="Times New Roman" w:eastAsia="標楷體" w:hAnsi="Times New Roman"/>
        </w:rPr>
        <w:t>與</w:t>
      </w:r>
      <w:r>
        <w:rPr>
          <w:rFonts w:ascii="Times New Roman" w:eastAsia="標楷體" w:hAnsi="Times New Roman"/>
        </w:rPr>
        <w:t xml:space="preserve"> C </w:t>
      </w:r>
      <w:r>
        <w:rPr>
          <w:rFonts w:ascii="Times New Roman" w:eastAsia="標楷體" w:hAnsi="Times New Roman"/>
        </w:rPr>
        <w:t>組合下之</w:t>
      </w:r>
      <w:r>
        <w:rPr>
          <w:rFonts w:ascii="Times New Roman" w:eastAsia="標楷體" w:hAnsi="Times New Roman"/>
        </w:rPr>
        <w:t xml:space="preserve"> validation Macro F1</w:t>
      </w:r>
      <w:r>
        <w:rPr>
          <w:rFonts w:ascii="Times New Roman" w:eastAsia="標楷體" w:hAnsi="Times New Roman"/>
        </w:rPr>
        <w:t>，紅框標示各資料集之最佳組合；若要更完整檢驗參數結果是否穩定，仍需搭配重複切分或交叉驗證進行確認。</w:t>
      </w:r>
    </w:p>
    <w:p w14:paraId="780F005F" w14:textId="77777777" w:rsidR="00641412" w:rsidRDefault="00000000">
      <w:pPr>
        <w:pStyle w:val="2"/>
        <w:spacing w:before="200" w:after="120" w:line="276" w:lineRule="auto"/>
      </w:pPr>
      <w:r>
        <w:rPr>
          <w:rFonts w:ascii="Times New Roman" w:eastAsia="標楷體" w:hAnsi="Times New Roman"/>
          <w:b/>
          <w:sz w:val="28"/>
        </w:rPr>
        <w:lastRenderedPageBreak/>
        <w:t xml:space="preserve">4.7 </w:t>
      </w:r>
      <w:r>
        <w:rPr>
          <w:rFonts w:ascii="Times New Roman" w:eastAsia="標楷體" w:hAnsi="Times New Roman"/>
          <w:b/>
          <w:sz w:val="28"/>
        </w:rPr>
        <w:t>錯誤分析與少數類別限制</w:t>
      </w:r>
    </w:p>
    <w:p w14:paraId="728E2496" w14:textId="77777777" w:rsidR="00641412" w:rsidRDefault="00000000">
      <w:pPr>
        <w:spacing w:after="120" w:line="276" w:lineRule="auto"/>
        <w:ind w:firstLine="480"/>
      </w:pPr>
      <w:r>
        <w:rPr>
          <w:rFonts w:ascii="Times New Roman" w:eastAsia="標楷體" w:hAnsi="Times New Roman"/>
        </w:rPr>
        <w:t>本節以民事案件作為詳細錯誤分析對象，主要原因有二。第一，錯誤分析的目的並非僅觀察總樣本數最多的資料集，而是檢視模型在</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三類裁判結果上的實際辨識情形。相較於部分案件類型雖總樣本數較大、但少數類別樣本較少，民事案件測試集中三類裁判結果皆具有一定可觀察樣本，較適合分析模型是否偏向預測多數類別，以及</w:t>
      </w:r>
      <w:r>
        <w:rPr>
          <w:rFonts w:ascii="Times New Roman" w:eastAsia="標楷體" w:hAnsi="Times New Roman"/>
        </w:rPr>
        <w:t xml:space="preserve"> Mixed</w:t>
      </w:r>
      <w:r>
        <w:rPr>
          <w:rFonts w:ascii="Times New Roman" w:eastAsia="標楷體" w:hAnsi="Times New Roman"/>
        </w:rPr>
        <w:t>、</w:t>
      </w:r>
      <w:r>
        <w:rPr>
          <w:rFonts w:ascii="Times New Roman" w:eastAsia="標楷體" w:hAnsi="Times New Roman"/>
        </w:rPr>
        <w:t xml:space="preserve">Win </w:t>
      </w:r>
      <w:r>
        <w:rPr>
          <w:rFonts w:ascii="Times New Roman" w:eastAsia="標楷體" w:hAnsi="Times New Roman"/>
        </w:rPr>
        <w:t>類別被誤判的情形。第二，民事智慧財產權案件通常涉及侵權責任、損害賠償、權利歸屬與商業利益衝突，其裁判結果較容易連結至當事人之經濟利益，因此具備實務與經濟解讀意義。民事案件資料集中之</w:t>
      </w:r>
      <w:r>
        <w:rPr>
          <w:rFonts w:ascii="Times New Roman" w:eastAsia="標楷體" w:hAnsi="Times New Roman"/>
        </w:rPr>
        <w:t xml:space="preserve"> Direct SVM </w:t>
      </w:r>
      <w:r>
        <w:rPr>
          <w:rFonts w:ascii="Times New Roman" w:eastAsia="標楷體" w:hAnsi="Times New Roman"/>
        </w:rPr>
        <w:t>最佳模型雖高於</w:t>
      </w:r>
      <w:r>
        <w:rPr>
          <w:rFonts w:ascii="Times New Roman" w:eastAsia="標楷體" w:hAnsi="Times New Roman"/>
        </w:rPr>
        <w:t xml:space="preserve"> Majority Class baseline</w:t>
      </w:r>
      <w:r>
        <w:rPr>
          <w:rFonts w:ascii="Times New Roman" w:eastAsia="標楷體" w:hAnsi="Times New Roman"/>
        </w:rPr>
        <w:t>，但</w:t>
      </w:r>
      <w:r>
        <w:rPr>
          <w:rFonts w:ascii="Times New Roman" w:eastAsia="標楷體" w:hAnsi="Times New Roman"/>
        </w:rPr>
        <w:t xml:space="preserve"> Macro F1 </w:t>
      </w:r>
      <w:r>
        <w:rPr>
          <w:rFonts w:ascii="Times New Roman" w:eastAsia="標楷體" w:hAnsi="Times New Roman"/>
        </w:rPr>
        <w:t>仍僅為</w:t>
      </w:r>
      <w:r>
        <w:rPr>
          <w:rFonts w:ascii="Times New Roman" w:eastAsia="標楷體" w:hAnsi="Times New Roman"/>
        </w:rPr>
        <w:t xml:space="preserve"> 0.428</w:t>
      </w:r>
      <w:r>
        <w:rPr>
          <w:rFonts w:ascii="Times New Roman" w:eastAsia="標楷體" w:hAnsi="Times New Roman"/>
        </w:rPr>
        <w:t>，顯示模型雖具備一定分類能力，仍存在明顯類別辨識限制，適合進一步分析其錯誤來源。該模型採用移除明顯裁判結果詞彙後之文本版本與</w:t>
      </w:r>
      <w:r>
        <w:rPr>
          <w:rFonts w:ascii="Times New Roman" w:eastAsia="標楷體" w:hAnsi="Times New Roman"/>
        </w:rPr>
        <w:t xml:space="preserve"> TF-IDF </w:t>
      </w:r>
      <w:r>
        <w:rPr>
          <w:rFonts w:ascii="Times New Roman" w:eastAsia="標楷體" w:hAnsi="Times New Roman"/>
        </w:rPr>
        <w:t>特徵，測試集</w:t>
      </w:r>
      <w:r>
        <w:rPr>
          <w:rFonts w:ascii="Times New Roman" w:eastAsia="標楷體" w:hAnsi="Times New Roman"/>
        </w:rPr>
        <w:t xml:space="preserve"> Accuracy </w:t>
      </w:r>
      <w:r>
        <w:rPr>
          <w:rFonts w:ascii="Times New Roman" w:eastAsia="標楷體" w:hAnsi="Times New Roman"/>
        </w:rPr>
        <w:t>為</w:t>
      </w:r>
      <w:r>
        <w:rPr>
          <w:rFonts w:ascii="Times New Roman" w:eastAsia="標楷體" w:hAnsi="Times New Roman"/>
        </w:rPr>
        <w:t xml:space="preserve"> 0.680</w:t>
      </w:r>
      <w:r>
        <w:rPr>
          <w:rFonts w:ascii="Times New Roman" w:eastAsia="標楷體" w:hAnsi="Times New Roman"/>
        </w:rPr>
        <w:t>，</w:t>
      </w:r>
      <w:r>
        <w:rPr>
          <w:rFonts w:ascii="Times New Roman" w:eastAsia="標楷體" w:hAnsi="Times New Roman"/>
        </w:rPr>
        <w:t xml:space="preserve">Macro F1 </w:t>
      </w:r>
      <w:r>
        <w:rPr>
          <w:rFonts w:ascii="Times New Roman" w:eastAsia="標楷體" w:hAnsi="Times New Roman"/>
        </w:rPr>
        <w:t>為</w:t>
      </w:r>
      <w:r>
        <w:rPr>
          <w:rFonts w:ascii="Times New Roman" w:eastAsia="標楷體" w:hAnsi="Times New Roman"/>
        </w:rPr>
        <w:t xml:space="preserve"> 0.428</w:t>
      </w:r>
      <w:r>
        <w:rPr>
          <w:rFonts w:ascii="Times New Roman" w:eastAsia="標楷體" w:hAnsi="Times New Roman"/>
        </w:rPr>
        <w:t>。表</w:t>
      </w:r>
      <w:r>
        <w:rPr>
          <w:rFonts w:ascii="Times New Roman" w:eastAsia="標楷體" w:hAnsi="Times New Roman"/>
        </w:rPr>
        <w:t xml:space="preserve"> 4-6 </w:t>
      </w:r>
      <w:r>
        <w:rPr>
          <w:rFonts w:ascii="Times New Roman" w:eastAsia="標楷體" w:hAnsi="Times New Roman"/>
        </w:rPr>
        <w:t>為其測試集混淆矩陣，表</w:t>
      </w:r>
      <w:r>
        <w:rPr>
          <w:rFonts w:ascii="Times New Roman" w:eastAsia="標楷體" w:hAnsi="Times New Roman"/>
        </w:rPr>
        <w:t xml:space="preserve"> 4-7 </w:t>
      </w:r>
      <w:r>
        <w:rPr>
          <w:rFonts w:ascii="Times New Roman" w:eastAsia="標楷體" w:hAnsi="Times New Roman"/>
        </w:rPr>
        <w:t>為分類報告。</w:t>
      </w:r>
    </w:p>
    <w:p w14:paraId="521E73DF"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4-6 </w:t>
      </w:r>
      <w:r>
        <w:rPr>
          <w:rFonts w:ascii="Times New Roman" w:eastAsia="標楷體" w:hAnsi="Times New Roman"/>
          <w:b/>
          <w:sz w:val="20"/>
        </w:rPr>
        <w:t>民事案件最佳</w:t>
      </w:r>
      <w:r>
        <w:rPr>
          <w:rFonts w:ascii="Times New Roman" w:eastAsia="標楷體" w:hAnsi="Times New Roman"/>
          <w:b/>
          <w:sz w:val="20"/>
        </w:rPr>
        <w:t xml:space="preserve"> Direct SVM </w:t>
      </w:r>
      <w:r>
        <w:rPr>
          <w:rFonts w:ascii="Times New Roman" w:eastAsia="標楷體" w:hAnsi="Times New Roman"/>
          <w:b/>
          <w:sz w:val="20"/>
        </w:rPr>
        <w:t>模型之測試集混淆矩陣</w:t>
      </w:r>
    </w:p>
    <w:tbl>
      <w:tblPr>
        <w:tblStyle w:val="af3"/>
        <w:tblW w:w="5000" w:type="pct"/>
        <w:jc w:val="center"/>
        <w:tblLook w:val="04A0" w:firstRow="1" w:lastRow="0" w:firstColumn="1" w:lastColumn="0" w:noHBand="0" w:noVBand="1"/>
      </w:tblPr>
      <w:tblGrid>
        <w:gridCol w:w="2614"/>
        <w:gridCol w:w="2614"/>
        <w:gridCol w:w="2614"/>
        <w:gridCol w:w="2614"/>
      </w:tblGrid>
      <w:tr w:rsidR="00641412" w14:paraId="4B0C0EA8" w14:textId="77777777">
        <w:trPr>
          <w:tblHeader/>
          <w:jc w:val="center"/>
        </w:trPr>
        <w:tc>
          <w:tcPr>
            <w:tcW w:w="2616" w:type="dxa"/>
            <w:shd w:val="clear" w:color="auto" w:fill="D9EAF7"/>
            <w:tcMar>
              <w:top w:w="90" w:type="dxa"/>
              <w:left w:w="90" w:type="dxa"/>
              <w:bottom w:w="90" w:type="dxa"/>
              <w:right w:w="90" w:type="dxa"/>
            </w:tcMar>
            <w:vAlign w:val="center"/>
          </w:tcPr>
          <w:p w14:paraId="755002B5" w14:textId="77777777" w:rsidR="00641412" w:rsidRDefault="00000000">
            <w:pPr>
              <w:spacing w:line="252" w:lineRule="auto"/>
            </w:pPr>
            <w:r>
              <w:rPr>
                <w:rFonts w:ascii="Times New Roman" w:eastAsia="標楷體" w:hAnsi="Times New Roman"/>
                <w:b/>
                <w:sz w:val="18"/>
              </w:rPr>
              <w:t>實際</w:t>
            </w:r>
            <w:r>
              <w:rPr>
                <w:rFonts w:ascii="Times New Roman" w:eastAsia="標楷體" w:hAnsi="Times New Roman"/>
                <w:b/>
                <w:sz w:val="18"/>
              </w:rPr>
              <w:t>\</w:t>
            </w:r>
            <w:r>
              <w:rPr>
                <w:rFonts w:ascii="Times New Roman" w:eastAsia="標楷體" w:hAnsi="Times New Roman"/>
                <w:b/>
                <w:sz w:val="18"/>
              </w:rPr>
              <w:t>預測</w:t>
            </w:r>
          </w:p>
        </w:tc>
        <w:tc>
          <w:tcPr>
            <w:tcW w:w="2616" w:type="dxa"/>
            <w:shd w:val="clear" w:color="auto" w:fill="D9EAF7"/>
            <w:tcMar>
              <w:top w:w="90" w:type="dxa"/>
              <w:left w:w="90" w:type="dxa"/>
              <w:bottom w:w="90" w:type="dxa"/>
              <w:right w:w="90" w:type="dxa"/>
            </w:tcMar>
            <w:vAlign w:val="center"/>
          </w:tcPr>
          <w:p w14:paraId="1984CBA6" w14:textId="77777777" w:rsidR="00641412" w:rsidRDefault="00000000">
            <w:pPr>
              <w:spacing w:line="252" w:lineRule="auto"/>
              <w:jc w:val="center"/>
            </w:pPr>
            <w:r>
              <w:rPr>
                <w:rFonts w:ascii="Times New Roman" w:eastAsia="標楷體" w:hAnsi="Times New Roman"/>
                <w:b/>
                <w:sz w:val="18"/>
              </w:rPr>
              <w:t>Predicted Lose</w:t>
            </w:r>
          </w:p>
        </w:tc>
        <w:tc>
          <w:tcPr>
            <w:tcW w:w="2616" w:type="dxa"/>
            <w:shd w:val="clear" w:color="auto" w:fill="D9EAF7"/>
            <w:tcMar>
              <w:top w:w="90" w:type="dxa"/>
              <w:left w:w="90" w:type="dxa"/>
              <w:bottom w:w="90" w:type="dxa"/>
              <w:right w:w="90" w:type="dxa"/>
            </w:tcMar>
            <w:vAlign w:val="center"/>
          </w:tcPr>
          <w:p w14:paraId="16855661" w14:textId="77777777" w:rsidR="00641412" w:rsidRDefault="00000000">
            <w:pPr>
              <w:spacing w:line="252" w:lineRule="auto"/>
              <w:jc w:val="center"/>
            </w:pPr>
            <w:r>
              <w:rPr>
                <w:rFonts w:ascii="Times New Roman" w:eastAsia="標楷體" w:hAnsi="Times New Roman"/>
                <w:b/>
                <w:sz w:val="18"/>
              </w:rPr>
              <w:t>Predicted Mixed</w:t>
            </w:r>
          </w:p>
        </w:tc>
        <w:tc>
          <w:tcPr>
            <w:tcW w:w="2616" w:type="dxa"/>
            <w:shd w:val="clear" w:color="auto" w:fill="D9EAF7"/>
            <w:tcMar>
              <w:top w:w="90" w:type="dxa"/>
              <w:left w:w="90" w:type="dxa"/>
              <w:bottom w:w="90" w:type="dxa"/>
              <w:right w:w="90" w:type="dxa"/>
            </w:tcMar>
            <w:vAlign w:val="center"/>
          </w:tcPr>
          <w:p w14:paraId="144F8E20" w14:textId="77777777" w:rsidR="00641412" w:rsidRDefault="00000000">
            <w:pPr>
              <w:spacing w:line="252" w:lineRule="auto"/>
              <w:jc w:val="center"/>
            </w:pPr>
            <w:r>
              <w:rPr>
                <w:rFonts w:ascii="Times New Roman" w:eastAsia="標楷體" w:hAnsi="Times New Roman"/>
                <w:b/>
                <w:sz w:val="18"/>
              </w:rPr>
              <w:t>Predicted Win</w:t>
            </w:r>
          </w:p>
        </w:tc>
      </w:tr>
      <w:tr w:rsidR="00641412" w14:paraId="565C1C1F" w14:textId="77777777">
        <w:trPr>
          <w:jc w:val="center"/>
        </w:trPr>
        <w:tc>
          <w:tcPr>
            <w:tcW w:w="2616" w:type="dxa"/>
            <w:tcMar>
              <w:top w:w="90" w:type="dxa"/>
              <w:left w:w="90" w:type="dxa"/>
              <w:bottom w:w="90" w:type="dxa"/>
              <w:right w:w="90" w:type="dxa"/>
            </w:tcMar>
            <w:vAlign w:val="center"/>
          </w:tcPr>
          <w:p w14:paraId="289B233E" w14:textId="77777777" w:rsidR="00641412" w:rsidRDefault="00000000">
            <w:pPr>
              <w:spacing w:line="252" w:lineRule="auto"/>
            </w:pPr>
            <w:r>
              <w:rPr>
                <w:rFonts w:ascii="Times New Roman" w:eastAsia="標楷體" w:hAnsi="Times New Roman"/>
                <w:sz w:val="18"/>
              </w:rPr>
              <w:t>Actual Lose</w:t>
            </w:r>
          </w:p>
        </w:tc>
        <w:tc>
          <w:tcPr>
            <w:tcW w:w="2616" w:type="dxa"/>
            <w:tcMar>
              <w:top w:w="90" w:type="dxa"/>
              <w:left w:w="90" w:type="dxa"/>
              <w:bottom w:w="90" w:type="dxa"/>
              <w:right w:w="90" w:type="dxa"/>
            </w:tcMar>
            <w:vAlign w:val="center"/>
          </w:tcPr>
          <w:p w14:paraId="62A3BDB0" w14:textId="77777777" w:rsidR="00641412" w:rsidRDefault="00000000">
            <w:pPr>
              <w:spacing w:line="252" w:lineRule="auto"/>
              <w:jc w:val="center"/>
            </w:pPr>
            <w:r>
              <w:rPr>
                <w:rFonts w:ascii="Times New Roman" w:eastAsia="標楷體" w:hAnsi="Times New Roman"/>
                <w:sz w:val="18"/>
              </w:rPr>
              <w:t>683</w:t>
            </w:r>
          </w:p>
        </w:tc>
        <w:tc>
          <w:tcPr>
            <w:tcW w:w="2616" w:type="dxa"/>
            <w:tcMar>
              <w:top w:w="90" w:type="dxa"/>
              <w:left w:w="90" w:type="dxa"/>
              <w:bottom w:w="90" w:type="dxa"/>
              <w:right w:w="90" w:type="dxa"/>
            </w:tcMar>
            <w:vAlign w:val="center"/>
          </w:tcPr>
          <w:p w14:paraId="3EB103AC" w14:textId="77777777" w:rsidR="00641412" w:rsidRDefault="00000000">
            <w:pPr>
              <w:spacing w:line="252" w:lineRule="auto"/>
              <w:jc w:val="center"/>
            </w:pPr>
            <w:r>
              <w:rPr>
                <w:rFonts w:ascii="Times New Roman" w:eastAsia="標楷體" w:hAnsi="Times New Roman"/>
                <w:sz w:val="18"/>
              </w:rPr>
              <w:t>77</w:t>
            </w:r>
          </w:p>
        </w:tc>
        <w:tc>
          <w:tcPr>
            <w:tcW w:w="2616" w:type="dxa"/>
            <w:tcMar>
              <w:top w:w="90" w:type="dxa"/>
              <w:left w:w="90" w:type="dxa"/>
              <w:bottom w:w="90" w:type="dxa"/>
              <w:right w:w="90" w:type="dxa"/>
            </w:tcMar>
            <w:vAlign w:val="center"/>
          </w:tcPr>
          <w:p w14:paraId="27E6A531" w14:textId="77777777" w:rsidR="00641412" w:rsidRDefault="00000000">
            <w:pPr>
              <w:spacing w:line="252" w:lineRule="auto"/>
              <w:jc w:val="center"/>
            </w:pPr>
            <w:r>
              <w:rPr>
                <w:rFonts w:ascii="Times New Roman" w:eastAsia="標楷體" w:hAnsi="Times New Roman"/>
                <w:sz w:val="18"/>
              </w:rPr>
              <w:t>6</w:t>
            </w:r>
          </w:p>
        </w:tc>
      </w:tr>
      <w:tr w:rsidR="00641412" w14:paraId="0ECFB9FA" w14:textId="77777777">
        <w:trPr>
          <w:jc w:val="center"/>
        </w:trPr>
        <w:tc>
          <w:tcPr>
            <w:tcW w:w="2616" w:type="dxa"/>
            <w:tcMar>
              <w:top w:w="90" w:type="dxa"/>
              <w:left w:w="90" w:type="dxa"/>
              <w:bottom w:w="90" w:type="dxa"/>
              <w:right w:w="90" w:type="dxa"/>
            </w:tcMar>
            <w:vAlign w:val="center"/>
          </w:tcPr>
          <w:p w14:paraId="26AFAA81" w14:textId="77777777" w:rsidR="00641412" w:rsidRDefault="00000000">
            <w:pPr>
              <w:spacing w:line="252" w:lineRule="auto"/>
            </w:pPr>
            <w:r>
              <w:rPr>
                <w:rFonts w:ascii="Times New Roman" w:eastAsia="標楷體" w:hAnsi="Times New Roman"/>
                <w:sz w:val="18"/>
              </w:rPr>
              <w:t>Actual Mixed</w:t>
            </w:r>
          </w:p>
        </w:tc>
        <w:tc>
          <w:tcPr>
            <w:tcW w:w="2616" w:type="dxa"/>
            <w:tcMar>
              <w:top w:w="90" w:type="dxa"/>
              <w:left w:w="90" w:type="dxa"/>
              <w:bottom w:w="90" w:type="dxa"/>
              <w:right w:w="90" w:type="dxa"/>
            </w:tcMar>
            <w:vAlign w:val="center"/>
          </w:tcPr>
          <w:p w14:paraId="3C2CD727" w14:textId="77777777" w:rsidR="00641412" w:rsidRDefault="00000000">
            <w:pPr>
              <w:spacing w:line="252" w:lineRule="auto"/>
              <w:jc w:val="center"/>
            </w:pPr>
            <w:r>
              <w:rPr>
                <w:rFonts w:ascii="Times New Roman" w:eastAsia="標楷體" w:hAnsi="Times New Roman"/>
                <w:sz w:val="18"/>
              </w:rPr>
              <w:t>192</w:t>
            </w:r>
          </w:p>
        </w:tc>
        <w:tc>
          <w:tcPr>
            <w:tcW w:w="2616" w:type="dxa"/>
            <w:tcMar>
              <w:top w:w="90" w:type="dxa"/>
              <w:left w:w="90" w:type="dxa"/>
              <w:bottom w:w="90" w:type="dxa"/>
              <w:right w:w="90" w:type="dxa"/>
            </w:tcMar>
            <w:vAlign w:val="center"/>
          </w:tcPr>
          <w:p w14:paraId="1F46C72A" w14:textId="77777777" w:rsidR="00641412" w:rsidRDefault="00000000">
            <w:pPr>
              <w:spacing w:line="252" w:lineRule="auto"/>
              <w:jc w:val="center"/>
            </w:pPr>
            <w:r>
              <w:rPr>
                <w:rFonts w:ascii="Times New Roman" w:eastAsia="標楷體" w:hAnsi="Times New Roman"/>
                <w:sz w:val="18"/>
              </w:rPr>
              <w:t>80</w:t>
            </w:r>
          </w:p>
        </w:tc>
        <w:tc>
          <w:tcPr>
            <w:tcW w:w="2616" w:type="dxa"/>
            <w:tcMar>
              <w:top w:w="90" w:type="dxa"/>
              <w:left w:w="90" w:type="dxa"/>
              <w:bottom w:w="90" w:type="dxa"/>
              <w:right w:w="90" w:type="dxa"/>
            </w:tcMar>
            <w:vAlign w:val="center"/>
          </w:tcPr>
          <w:p w14:paraId="7953617C" w14:textId="77777777" w:rsidR="00641412" w:rsidRDefault="00000000">
            <w:pPr>
              <w:spacing w:line="252" w:lineRule="auto"/>
              <w:jc w:val="center"/>
            </w:pPr>
            <w:r>
              <w:rPr>
                <w:rFonts w:ascii="Times New Roman" w:eastAsia="標楷體" w:hAnsi="Times New Roman"/>
                <w:sz w:val="18"/>
              </w:rPr>
              <w:t>9</w:t>
            </w:r>
          </w:p>
        </w:tc>
      </w:tr>
      <w:tr w:rsidR="00641412" w14:paraId="3EDFA3CF" w14:textId="77777777">
        <w:trPr>
          <w:jc w:val="center"/>
        </w:trPr>
        <w:tc>
          <w:tcPr>
            <w:tcW w:w="2616" w:type="dxa"/>
            <w:tcMar>
              <w:top w:w="90" w:type="dxa"/>
              <w:left w:w="90" w:type="dxa"/>
              <w:bottom w:w="90" w:type="dxa"/>
              <w:right w:w="90" w:type="dxa"/>
            </w:tcMar>
            <w:vAlign w:val="center"/>
          </w:tcPr>
          <w:p w14:paraId="521E5CE6" w14:textId="77777777" w:rsidR="00641412" w:rsidRDefault="00000000">
            <w:pPr>
              <w:spacing w:line="252" w:lineRule="auto"/>
            </w:pPr>
            <w:r>
              <w:rPr>
                <w:rFonts w:ascii="Times New Roman" w:eastAsia="標楷體" w:hAnsi="Times New Roman"/>
                <w:sz w:val="18"/>
              </w:rPr>
              <w:t>Actual Win</w:t>
            </w:r>
          </w:p>
        </w:tc>
        <w:tc>
          <w:tcPr>
            <w:tcW w:w="2616" w:type="dxa"/>
            <w:tcMar>
              <w:top w:w="90" w:type="dxa"/>
              <w:left w:w="90" w:type="dxa"/>
              <w:bottom w:w="90" w:type="dxa"/>
              <w:right w:w="90" w:type="dxa"/>
            </w:tcMar>
            <w:vAlign w:val="center"/>
          </w:tcPr>
          <w:p w14:paraId="71DEBC6B" w14:textId="77777777" w:rsidR="00641412" w:rsidRDefault="00000000">
            <w:pPr>
              <w:spacing w:line="252" w:lineRule="auto"/>
              <w:jc w:val="center"/>
            </w:pPr>
            <w:r>
              <w:rPr>
                <w:rFonts w:ascii="Times New Roman" w:eastAsia="標楷體" w:hAnsi="Times New Roman"/>
                <w:sz w:val="18"/>
              </w:rPr>
              <w:t>62</w:t>
            </w:r>
          </w:p>
        </w:tc>
        <w:tc>
          <w:tcPr>
            <w:tcW w:w="2616" w:type="dxa"/>
            <w:tcMar>
              <w:top w:w="90" w:type="dxa"/>
              <w:left w:w="90" w:type="dxa"/>
              <w:bottom w:w="90" w:type="dxa"/>
              <w:right w:w="90" w:type="dxa"/>
            </w:tcMar>
            <w:vAlign w:val="center"/>
          </w:tcPr>
          <w:p w14:paraId="08EF3F0C" w14:textId="77777777" w:rsidR="00641412" w:rsidRDefault="00000000">
            <w:pPr>
              <w:spacing w:line="252" w:lineRule="auto"/>
              <w:jc w:val="center"/>
            </w:pPr>
            <w:r>
              <w:rPr>
                <w:rFonts w:ascii="Times New Roman" w:eastAsia="標楷體" w:hAnsi="Times New Roman"/>
                <w:sz w:val="18"/>
              </w:rPr>
              <w:t>17</w:t>
            </w:r>
          </w:p>
        </w:tc>
        <w:tc>
          <w:tcPr>
            <w:tcW w:w="2616" w:type="dxa"/>
            <w:tcMar>
              <w:top w:w="90" w:type="dxa"/>
              <w:left w:w="90" w:type="dxa"/>
              <w:bottom w:w="90" w:type="dxa"/>
              <w:right w:w="90" w:type="dxa"/>
            </w:tcMar>
            <w:vAlign w:val="center"/>
          </w:tcPr>
          <w:p w14:paraId="5D5271AB" w14:textId="77777777" w:rsidR="00641412" w:rsidRDefault="00000000">
            <w:pPr>
              <w:spacing w:line="252" w:lineRule="auto"/>
              <w:jc w:val="center"/>
            </w:pPr>
            <w:r>
              <w:rPr>
                <w:rFonts w:ascii="Times New Roman" w:eastAsia="標楷體" w:hAnsi="Times New Roman"/>
                <w:sz w:val="18"/>
              </w:rPr>
              <w:t>7</w:t>
            </w:r>
          </w:p>
        </w:tc>
      </w:tr>
    </w:tbl>
    <w:p w14:paraId="249C0B4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4-7 </w:t>
      </w:r>
      <w:r>
        <w:rPr>
          <w:rFonts w:ascii="Times New Roman" w:eastAsia="標楷體" w:hAnsi="Times New Roman"/>
          <w:b/>
          <w:sz w:val="20"/>
        </w:rPr>
        <w:t>民事案件最佳</w:t>
      </w:r>
      <w:r>
        <w:rPr>
          <w:rFonts w:ascii="Times New Roman" w:eastAsia="標楷體" w:hAnsi="Times New Roman"/>
          <w:b/>
          <w:sz w:val="20"/>
        </w:rPr>
        <w:t xml:space="preserve"> Direct SVM </w:t>
      </w:r>
      <w:r>
        <w:rPr>
          <w:rFonts w:ascii="Times New Roman" w:eastAsia="標楷體" w:hAnsi="Times New Roman"/>
          <w:b/>
          <w:sz w:val="20"/>
        </w:rPr>
        <w:t>模型之分類報告</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407F38FB" w14:textId="77777777">
        <w:trPr>
          <w:tblHeader/>
          <w:jc w:val="center"/>
        </w:trPr>
        <w:tc>
          <w:tcPr>
            <w:tcW w:w="2093" w:type="dxa"/>
            <w:shd w:val="clear" w:color="auto" w:fill="D9EAF7"/>
            <w:tcMar>
              <w:top w:w="90" w:type="dxa"/>
              <w:left w:w="90" w:type="dxa"/>
              <w:bottom w:w="90" w:type="dxa"/>
              <w:right w:w="90" w:type="dxa"/>
            </w:tcMar>
            <w:vAlign w:val="center"/>
          </w:tcPr>
          <w:p w14:paraId="116861EE" w14:textId="77777777" w:rsidR="00641412" w:rsidRDefault="00000000">
            <w:pPr>
              <w:spacing w:line="252" w:lineRule="auto"/>
            </w:pPr>
            <w:r>
              <w:rPr>
                <w:rFonts w:ascii="Times New Roman" w:eastAsia="標楷體" w:hAnsi="Times New Roman"/>
                <w:b/>
                <w:sz w:val="18"/>
              </w:rPr>
              <w:t>類別</w:t>
            </w:r>
          </w:p>
        </w:tc>
        <w:tc>
          <w:tcPr>
            <w:tcW w:w="2093" w:type="dxa"/>
            <w:shd w:val="clear" w:color="auto" w:fill="D9EAF7"/>
            <w:tcMar>
              <w:top w:w="90" w:type="dxa"/>
              <w:left w:w="90" w:type="dxa"/>
              <w:bottom w:w="90" w:type="dxa"/>
              <w:right w:w="90" w:type="dxa"/>
            </w:tcMar>
            <w:vAlign w:val="center"/>
          </w:tcPr>
          <w:p w14:paraId="6C81AC78" w14:textId="77777777" w:rsidR="00641412" w:rsidRDefault="00000000">
            <w:pPr>
              <w:spacing w:line="252" w:lineRule="auto"/>
              <w:jc w:val="center"/>
            </w:pPr>
            <w:r>
              <w:rPr>
                <w:rFonts w:ascii="Times New Roman" w:eastAsia="標楷體" w:hAnsi="Times New Roman"/>
                <w:b/>
                <w:sz w:val="18"/>
              </w:rPr>
              <w:t>Precision</w:t>
            </w:r>
          </w:p>
        </w:tc>
        <w:tc>
          <w:tcPr>
            <w:tcW w:w="2093" w:type="dxa"/>
            <w:shd w:val="clear" w:color="auto" w:fill="D9EAF7"/>
            <w:tcMar>
              <w:top w:w="90" w:type="dxa"/>
              <w:left w:w="90" w:type="dxa"/>
              <w:bottom w:w="90" w:type="dxa"/>
              <w:right w:w="90" w:type="dxa"/>
            </w:tcMar>
            <w:vAlign w:val="center"/>
          </w:tcPr>
          <w:p w14:paraId="45C25C99" w14:textId="77777777" w:rsidR="00641412" w:rsidRDefault="00000000">
            <w:pPr>
              <w:spacing w:line="252" w:lineRule="auto"/>
              <w:jc w:val="center"/>
            </w:pPr>
            <w:r>
              <w:rPr>
                <w:rFonts w:ascii="Times New Roman" w:eastAsia="標楷體" w:hAnsi="Times New Roman"/>
                <w:b/>
                <w:sz w:val="18"/>
              </w:rPr>
              <w:t>Recall</w:t>
            </w:r>
          </w:p>
        </w:tc>
        <w:tc>
          <w:tcPr>
            <w:tcW w:w="2093" w:type="dxa"/>
            <w:shd w:val="clear" w:color="auto" w:fill="D9EAF7"/>
            <w:tcMar>
              <w:top w:w="90" w:type="dxa"/>
              <w:left w:w="90" w:type="dxa"/>
              <w:bottom w:w="90" w:type="dxa"/>
              <w:right w:w="90" w:type="dxa"/>
            </w:tcMar>
            <w:vAlign w:val="center"/>
          </w:tcPr>
          <w:p w14:paraId="4C672DBA" w14:textId="77777777" w:rsidR="00641412" w:rsidRDefault="00000000">
            <w:pPr>
              <w:spacing w:line="252" w:lineRule="auto"/>
              <w:jc w:val="center"/>
            </w:pPr>
            <w:r>
              <w:rPr>
                <w:rFonts w:ascii="Times New Roman" w:eastAsia="標楷體" w:hAnsi="Times New Roman"/>
                <w:b/>
                <w:sz w:val="18"/>
              </w:rPr>
              <w:t>F1-score</w:t>
            </w:r>
          </w:p>
        </w:tc>
        <w:tc>
          <w:tcPr>
            <w:tcW w:w="2093" w:type="dxa"/>
            <w:shd w:val="clear" w:color="auto" w:fill="D9EAF7"/>
            <w:tcMar>
              <w:top w:w="90" w:type="dxa"/>
              <w:left w:w="90" w:type="dxa"/>
              <w:bottom w:w="90" w:type="dxa"/>
              <w:right w:w="90" w:type="dxa"/>
            </w:tcMar>
            <w:vAlign w:val="center"/>
          </w:tcPr>
          <w:p w14:paraId="2D5211BD" w14:textId="77777777" w:rsidR="00641412" w:rsidRDefault="00000000">
            <w:pPr>
              <w:spacing w:line="252" w:lineRule="auto"/>
              <w:jc w:val="center"/>
            </w:pPr>
            <w:r>
              <w:rPr>
                <w:rFonts w:ascii="Times New Roman" w:eastAsia="標楷體" w:hAnsi="Times New Roman"/>
                <w:b/>
                <w:sz w:val="18"/>
              </w:rPr>
              <w:t>Support</w:t>
            </w:r>
          </w:p>
        </w:tc>
      </w:tr>
      <w:tr w:rsidR="00641412" w14:paraId="4A9952EA" w14:textId="77777777">
        <w:trPr>
          <w:jc w:val="center"/>
        </w:trPr>
        <w:tc>
          <w:tcPr>
            <w:tcW w:w="2093" w:type="dxa"/>
            <w:tcMar>
              <w:top w:w="90" w:type="dxa"/>
              <w:left w:w="90" w:type="dxa"/>
              <w:bottom w:w="90" w:type="dxa"/>
              <w:right w:w="90" w:type="dxa"/>
            </w:tcMar>
            <w:vAlign w:val="center"/>
          </w:tcPr>
          <w:p w14:paraId="6BB9CD4C" w14:textId="77777777" w:rsidR="00641412" w:rsidRDefault="00000000">
            <w:pPr>
              <w:spacing w:line="252" w:lineRule="auto"/>
            </w:pPr>
            <w:r>
              <w:rPr>
                <w:rFonts w:ascii="Times New Roman" w:eastAsia="標楷體" w:hAnsi="Times New Roman"/>
                <w:sz w:val="18"/>
              </w:rPr>
              <w:t>Lose</w:t>
            </w:r>
          </w:p>
        </w:tc>
        <w:tc>
          <w:tcPr>
            <w:tcW w:w="2093" w:type="dxa"/>
            <w:tcMar>
              <w:top w:w="90" w:type="dxa"/>
              <w:left w:w="90" w:type="dxa"/>
              <w:bottom w:w="90" w:type="dxa"/>
              <w:right w:w="90" w:type="dxa"/>
            </w:tcMar>
            <w:vAlign w:val="center"/>
          </w:tcPr>
          <w:p w14:paraId="5205CDD3" w14:textId="77777777" w:rsidR="00641412" w:rsidRDefault="00000000">
            <w:pPr>
              <w:spacing w:line="252" w:lineRule="auto"/>
              <w:jc w:val="center"/>
            </w:pPr>
            <w:r>
              <w:rPr>
                <w:rFonts w:ascii="Times New Roman" w:eastAsia="標楷體" w:hAnsi="Times New Roman"/>
                <w:sz w:val="18"/>
              </w:rPr>
              <w:t>0.729</w:t>
            </w:r>
          </w:p>
        </w:tc>
        <w:tc>
          <w:tcPr>
            <w:tcW w:w="2093" w:type="dxa"/>
            <w:tcMar>
              <w:top w:w="90" w:type="dxa"/>
              <w:left w:w="90" w:type="dxa"/>
              <w:bottom w:w="90" w:type="dxa"/>
              <w:right w:w="90" w:type="dxa"/>
            </w:tcMar>
            <w:vAlign w:val="center"/>
          </w:tcPr>
          <w:p w14:paraId="43B6032D" w14:textId="77777777" w:rsidR="00641412" w:rsidRDefault="00000000">
            <w:pPr>
              <w:spacing w:line="252" w:lineRule="auto"/>
              <w:jc w:val="center"/>
            </w:pPr>
            <w:r>
              <w:rPr>
                <w:rFonts w:ascii="Times New Roman" w:eastAsia="標楷體" w:hAnsi="Times New Roman"/>
                <w:sz w:val="18"/>
              </w:rPr>
              <w:t>0.892</w:t>
            </w:r>
          </w:p>
        </w:tc>
        <w:tc>
          <w:tcPr>
            <w:tcW w:w="2093" w:type="dxa"/>
            <w:tcMar>
              <w:top w:w="90" w:type="dxa"/>
              <w:left w:w="90" w:type="dxa"/>
              <w:bottom w:w="90" w:type="dxa"/>
              <w:right w:w="90" w:type="dxa"/>
            </w:tcMar>
            <w:vAlign w:val="center"/>
          </w:tcPr>
          <w:p w14:paraId="38A4A1ED" w14:textId="77777777" w:rsidR="00641412" w:rsidRDefault="00000000">
            <w:pPr>
              <w:spacing w:line="252" w:lineRule="auto"/>
              <w:jc w:val="center"/>
            </w:pPr>
            <w:r>
              <w:rPr>
                <w:rFonts w:ascii="Times New Roman" w:eastAsia="標楷體" w:hAnsi="Times New Roman"/>
                <w:sz w:val="18"/>
              </w:rPr>
              <w:t>0.802</w:t>
            </w:r>
          </w:p>
        </w:tc>
        <w:tc>
          <w:tcPr>
            <w:tcW w:w="2093" w:type="dxa"/>
            <w:tcMar>
              <w:top w:w="90" w:type="dxa"/>
              <w:left w:w="90" w:type="dxa"/>
              <w:bottom w:w="90" w:type="dxa"/>
              <w:right w:w="90" w:type="dxa"/>
            </w:tcMar>
            <w:vAlign w:val="center"/>
          </w:tcPr>
          <w:p w14:paraId="1EE4CD01" w14:textId="77777777" w:rsidR="00641412" w:rsidRDefault="00000000">
            <w:pPr>
              <w:spacing w:line="252" w:lineRule="auto"/>
              <w:jc w:val="center"/>
            </w:pPr>
            <w:r>
              <w:rPr>
                <w:rFonts w:ascii="Times New Roman" w:eastAsia="標楷體" w:hAnsi="Times New Roman"/>
                <w:sz w:val="18"/>
              </w:rPr>
              <w:t>766</w:t>
            </w:r>
          </w:p>
        </w:tc>
      </w:tr>
      <w:tr w:rsidR="00641412" w14:paraId="6780EF8A" w14:textId="77777777">
        <w:trPr>
          <w:jc w:val="center"/>
        </w:trPr>
        <w:tc>
          <w:tcPr>
            <w:tcW w:w="2093" w:type="dxa"/>
            <w:tcMar>
              <w:top w:w="90" w:type="dxa"/>
              <w:left w:w="90" w:type="dxa"/>
              <w:bottom w:w="90" w:type="dxa"/>
              <w:right w:w="90" w:type="dxa"/>
            </w:tcMar>
            <w:vAlign w:val="center"/>
          </w:tcPr>
          <w:p w14:paraId="770EB3A5" w14:textId="77777777" w:rsidR="00641412" w:rsidRDefault="00000000">
            <w:pPr>
              <w:spacing w:line="252" w:lineRule="auto"/>
            </w:pPr>
            <w:r>
              <w:rPr>
                <w:rFonts w:ascii="Times New Roman" w:eastAsia="標楷體" w:hAnsi="Times New Roman"/>
                <w:sz w:val="18"/>
              </w:rPr>
              <w:t>Mixed</w:t>
            </w:r>
          </w:p>
        </w:tc>
        <w:tc>
          <w:tcPr>
            <w:tcW w:w="2093" w:type="dxa"/>
            <w:tcMar>
              <w:top w:w="90" w:type="dxa"/>
              <w:left w:w="90" w:type="dxa"/>
              <w:bottom w:w="90" w:type="dxa"/>
              <w:right w:w="90" w:type="dxa"/>
            </w:tcMar>
            <w:vAlign w:val="center"/>
          </w:tcPr>
          <w:p w14:paraId="0A0EBC94" w14:textId="77777777" w:rsidR="00641412" w:rsidRDefault="00000000">
            <w:pPr>
              <w:spacing w:line="252" w:lineRule="auto"/>
              <w:jc w:val="center"/>
            </w:pPr>
            <w:r>
              <w:rPr>
                <w:rFonts w:ascii="Times New Roman" w:eastAsia="標楷體" w:hAnsi="Times New Roman"/>
                <w:sz w:val="18"/>
              </w:rPr>
              <w:t>0.460</w:t>
            </w:r>
          </w:p>
        </w:tc>
        <w:tc>
          <w:tcPr>
            <w:tcW w:w="2093" w:type="dxa"/>
            <w:tcMar>
              <w:top w:w="90" w:type="dxa"/>
              <w:left w:w="90" w:type="dxa"/>
              <w:bottom w:w="90" w:type="dxa"/>
              <w:right w:w="90" w:type="dxa"/>
            </w:tcMar>
            <w:vAlign w:val="center"/>
          </w:tcPr>
          <w:p w14:paraId="72652226" w14:textId="77777777" w:rsidR="00641412" w:rsidRDefault="00000000">
            <w:pPr>
              <w:spacing w:line="252" w:lineRule="auto"/>
              <w:jc w:val="center"/>
            </w:pPr>
            <w:r>
              <w:rPr>
                <w:rFonts w:ascii="Times New Roman" w:eastAsia="標楷體" w:hAnsi="Times New Roman"/>
                <w:sz w:val="18"/>
              </w:rPr>
              <w:t>0.285</w:t>
            </w:r>
          </w:p>
        </w:tc>
        <w:tc>
          <w:tcPr>
            <w:tcW w:w="2093" w:type="dxa"/>
            <w:tcMar>
              <w:top w:w="90" w:type="dxa"/>
              <w:left w:w="90" w:type="dxa"/>
              <w:bottom w:w="90" w:type="dxa"/>
              <w:right w:w="90" w:type="dxa"/>
            </w:tcMar>
            <w:vAlign w:val="center"/>
          </w:tcPr>
          <w:p w14:paraId="2CDC0856" w14:textId="77777777" w:rsidR="00641412" w:rsidRDefault="00000000">
            <w:pPr>
              <w:spacing w:line="252" w:lineRule="auto"/>
              <w:jc w:val="center"/>
            </w:pPr>
            <w:r>
              <w:rPr>
                <w:rFonts w:ascii="Times New Roman" w:eastAsia="標楷體" w:hAnsi="Times New Roman"/>
                <w:sz w:val="18"/>
              </w:rPr>
              <w:t>0.352</w:t>
            </w:r>
          </w:p>
        </w:tc>
        <w:tc>
          <w:tcPr>
            <w:tcW w:w="2093" w:type="dxa"/>
            <w:tcMar>
              <w:top w:w="90" w:type="dxa"/>
              <w:left w:w="90" w:type="dxa"/>
              <w:bottom w:w="90" w:type="dxa"/>
              <w:right w:w="90" w:type="dxa"/>
            </w:tcMar>
            <w:vAlign w:val="center"/>
          </w:tcPr>
          <w:p w14:paraId="1038A0E3" w14:textId="77777777" w:rsidR="00641412" w:rsidRDefault="00000000">
            <w:pPr>
              <w:spacing w:line="252" w:lineRule="auto"/>
              <w:jc w:val="center"/>
            </w:pPr>
            <w:r>
              <w:rPr>
                <w:rFonts w:ascii="Times New Roman" w:eastAsia="標楷體" w:hAnsi="Times New Roman"/>
                <w:sz w:val="18"/>
              </w:rPr>
              <w:t>281</w:t>
            </w:r>
          </w:p>
        </w:tc>
      </w:tr>
      <w:tr w:rsidR="00641412" w14:paraId="25995F70" w14:textId="77777777">
        <w:trPr>
          <w:jc w:val="center"/>
        </w:trPr>
        <w:tc>
          <w:tcPr>
            <w:tcW w:w="2093" w:type="dxa"/>
            <w:tcMar>
              <w:top w:w="90" w:type="dxa"/>
              <w:left w:w="90" w:type="dxa"/>
              <w:bottom w:w="90" w:type="dxa"/>
              <w:right w:w="90" w:type="dxa"/>
            </w:tcMar>
            <w:vAlign w:val="center"/>
          </w:tcPr>
          <w:p w14:paraId="5872817C" w14:textId="77777777" w:rsidR="00641412" w:rsidRDefault="00000000">
            <w:pPr>
              <w:spacing w:line="252" w:lineRule="auto"/>
            </w:pPr>
            <w:r>
              <w:rPr>
                <w:rFonts w:ascii="Times New Roman" w:eastAsia="標楷體" w:hAnsi="Times New Roman"/>
                <w:sz w:val="18"/>
              </w:rPr>
              <w:t>Win</w:t>
            </w:r>
          </w:p>
        </w:tc>
        <w:tc>
          <w:tcPr>
            <w:tcW w:w="2093" w:type="dxa"/>
            <w:tcMar>
              <w:top w:w="90" w:type="dxa"/>
              <w:left w:w="90" w:type="dxa"/>
              <w:bottom w:w="90" w:type="dxa"/>
              <w:right w:w="90" w:type="dxa"/>
            </w:tcMar>
            <w:vAlign w:val="center"/>
          </w:tcPr>
          <w:p w14:paraId="3BDE51A8" w14:textId="77777777" w:rsidR="00641412" w:rsidRDefault="00000000">
            <w:pPr>
              <w:spacing w:line="252" w:lineRule="auto"/>
              <w:jc w:val="center"/>
            </w:pPr>
            <w:r>
              <w:rPr>
                <w:rFonts w:ascii="Times New Roman" w:eastAsia="標楷體" w:hAnsi="Times New Roman"/>
                <w:sz w:val="18"/>
              </w:rPr>
              <w:t>0.318</w:t>
            </w:r>
          </w:p>
        </w:tc>
        <w:tc>
          <w:tcPr>
            <w:tcW w:w="2093" w:type="dxa"/>
            <w:tcMar>
              <w:top w:w="90" w:type="dxa"/>
              <w:left w:w="90" w:type="dxa"/>
              <w:bottom w:w="90" w:type="dxa"/>
              <w:right w:w="90" w:type="dxa"/>
            </w:tcMar>
            <w:vAlign w:val="center"/>
          </w:tcPr>
          <w:p w14:paraId="5AEF6B2D" w14:textId="77777777" w:rsidR="00641412" w:rsidRDefault="00000000">
            <w:pPr>
              <w:spacing w:line="252" w:lineRule="auto"/>
              <w:jc w:val="center"/>
            </w:pPr>
            <w:r>
              <w:rPr>
                <w:rFonts w:ascii="Times New Roman" w:eastAsia="標楷體" w:hAnsi="Times New Roman"/>
                <w:sz w:val="18"/>
              </w:rPr>
              <w:t>0.081</w:t>
            </w:r>
          </w:p>
        </w:tc>
        <w:tc>
          <w:tcPr>
            <w:tcW w:w="2093" w:type="dxa"/>
            <w:tcMar>
              <w:top w:w="90" w:type="dxa"/>
              <w:left w:w="90" w:type="dxa"/>
              <w:bottom w:w="90" w:type="dxa"/>
              <w:right w:w="90" w:type="dxa"/>
            </w:tcMar>
            <w:vAlign w:val="center"/>
          </w:tcPr>
          <w:p w14:paraId="2DEF92B0" w14:textId="77777777" w:rsidR="00641412" w:rsidRDefault="00000000">
            <w:pPr>
              <w:spacing w:line="252" w:lineRule="auto"/>
              <w:jc w:val="center"/>
            </w:pPr>
            <w:r>
              <w:rPr>
                <w:rFonts w:ascii="Times New Roman" w:eastAsia="標楷體" w:hAnsi="Times New Roman"/>
                <w:sz w:val="18"/>
              </w:rPr>
              <w:t>0.130</w:t>
            </w:r>
          </w:p>
        </w:tc>
        <w:tc>
          <w:tcPr>
            <w:tcW w:w="2093" w:type="dxa"/>
            <w:tcMar>
              <w:top w:w="90" w:type="dxa"/>
              <w:left w:w="90" w:type="dxa"/>
              <w:bottom w:w="90" w:type="dxa"/>
              <w:right w:w="90" w:type="dxa"/>
            </w:tcMar>
            <w:vAlign w:val="center"/>
          </w:tcPr>
          <w:p w14:paraId="5ADB2EA5" w14:textId="77777777" w:rsidR="00641412" w:rsidRDefault="00000000">
            <w:pPr>
              <w:spacing w:line="252" w:lineRule="auto"/>
              <w:jc w:val="center"/>
            </w:pPr>
            <w:r>
              <w:rPr>
                <w:rFonts w:ascii="Times New Roman" w:eastAsia="標楷體" w:hAnsi="Times New Roman"/>
                <w:sz w:val="18"/>
              </w:rPr>
              <w:t>86</w:t>
            </w:r>
          </w:p>
        </w:tc>
      </w:tr>
      <w:tr w:rsidR="00641412" w14:paraId="7959134D" w14:textId="77777777">
        <w:trPr>
          <w:jc w:val="center"/>
        </w:trPr>
        <w:tc>
          <w:tcPr>
            <w:tcW w:w="2093" w:type="dxa"/>
            <w:tcMar>
              <w:top w:w="90" w:type="dxa"/>
              <w:left w:w="90" w:type="dxa"/>
              <w:bottom w:w="90" w:type="dxa"/>
              <w:right w:w="90" w:type="dxa"/>
            </w:tcMar>
            <w:vAlign w:val="center"/>
          </w:tcPr>
          <w:p w14:paraId="07EF09F5" w14:textId="77777777" w:rsidR="00641412" w:rsidRDefault="00000000">
            <w:pPr>
              <w:spacing w:line="252" w:lineRule="auto"/>
            </w:pPr>
            <w:r>
              <w:rPr>
                <w:rFonts w:ascii="Times New Roman" w:eastAsia="標楷體" w:hAnsi="Times New Roman"/>
                <w:sz w:val="18"/>
              </w:rPr>
              <w:t>macro avg</w:t>
            </w:r>
          </w:p>
        </w:tc>
        <w:tc>
          <w:tcPr>
            <w:tcW w:w="2093" w:type="dxa"/>
            <w:tcMar>
              <w:top w:w="90" w:type="dxa"/>
              <w:left w:w="90" w:type="dxa"/>
              <w:bottom w:w="90" w:type="dxa"/>
              <w:right w:w="90" w:type="dxa"/>
            </w:tcMar>
            <w:vAlign w:val="center"/>
          </w:tcPr>
          <w:p w14:paraId="785DAD4E" w14:textId="77777777" w:rsidR="00641412" w:rsidRDefault="00000000">
            <w:pPr>
              <w:spacing w:line="252" w:lineRule="auto"/>
              <w:jc w:val="center"/>
            </w:pPr>
            <w:r>
              <w:rPr>
                <w:rFonts w:ascii="Times New Roman" w:eastAsia="標楷體" w:hAnsi="Times New Roman"/>
                <w:sz w:val="18"/>
              </w:rPr>
              <w:t>0.502</w:t>
            </w:r>
          </w:p>
        </w:tc>
        <w:tc>
          <w:tcPr>
            <w:tcW w:w="2093" w:type="dxa"/>
            <w:tcMar>
              <w:top w:w="90" w:type="dxa"/>
              <w:left w:w="90" w:type="dxa"/>
              <w:bottom w:w="90" w:type="dxa"/>
              <w:right w:w="90" w:type="dxa"/>
            </w:tcMar>
            <w:vAlign w:val="center"/>
          </w:tcPr>
          <w:p w14:paraId="3CCE771B" w14:textId="77777777" w:rsidR="00641412" w:rsidRDefault="00000000">
            <w:pPr>
              <w:spacing w:line="252" w:lineRule="auto"/>
              <w:jc w:val="center"/>
            </w:pPr>
            <w:r>
              <w:rPr>
                <w:rFonts w:ascii="Times New Roman" w:eastAsia="標楷體" w:hAnsi="Times New Roman"/>
                <w:sz w:val="18"/>
              </w:rPr>
              <w:t>0.419</w:t>
            </w:r>
          </w:p>
        </w:tc>
        <w:tc>
          <w:tcPr>
            <w:tcW w:w="2093" w:type="dxa"/>
            <w:tcMar>
              <w:top w:w="90" w:type="dxa"/>
              <w:left w:w="90" w:type="dxa"/>
              <w:bottom w:w="90" w:type="dxa"/>
              <w:right w:w="90" w:type="dxa"/>
            </w:tcMar>
            <w:vAlign w:val="center"/>
          </w:tcPr>
          <w:p w14:paraId="57BC24B1" w14:textId="77777777" w:rsidR="00641412" w:rsidRDefault="00000000">
            <w:pPr>
              <w:spacing w:line="252" w:lineRule="auto"/>
              <w:jc w:val="center"/>
            </w:pPr>
            <w:r>
              <w:rPr>
                <w:rFonts w:ascii="Times New Roman" w:eastAsia="標楷體" w:hAnsi="Times New Roman"/>
                <w:sz w:val="18"/>
              </w:rPr>
              <w:t>0.428</w:t>
            </w:r>
          </w:p>
        </w:tc>
        <w:tc>
          <w:tcPr>
            <w:tcW w:w="2093" w:type="dxa"/>
            <w:tcMar>
              <w:top w:w="90" w:type="dxa"/>
              <w:left w:w="90" w:type="dxa"/>
              <w:bottom w:w="90" w:type="dxa"/>
              <w:right w:w="90" w:type="dxa"/>
            </w:tcMar>
            <w:vAlign w:val="center"/>
          </w:tcPr>
          <w:p w14:paraId="67D88AFE" w14:textId="77777777" w:rsidR="00641412" w:rsidRDefault="00000000">
            <w:pPr>
              <w:spacing w:line="252" w:lineRule="auto"/>
              <w:jc w:val="center"/>
            </w:pPr>
            <w:r>
              <w:rPr>
                <w:rFonts w:ascii="Times New Roman" w:eastAsia="標楷體" w:hAnsi="Times New Roman"/>
                <w:sz w:val="18"/>
              </w:rPr>
              <w:t>1133</w:t>
            </w:r>
          </w:p>
        </w:tc>
      </w:tr>
      <w:tr w:rsidR="00641412" w14:paraId="7B7784A4" w14:textId="77777777">
        <w:trPr>
          <w:jc w:val="center"/>
        </w:trPr>
        <w:tc>
          <w:tcPr>
            <w:tcW w:w="2093" w:type="dxa"/>
            <w:tcMar>
              <w:top w:w="90" w:type="dxa"/>
              <w:left w:w="90" w:type="dxa"/>
              <w:bottom w:w="90" w:type="dxa"/>
              <w:right w:w="90" w:type="dxa"/>
            </w:tcMar>
            <w:vAlign w:val="center"/>
          </w:tcPr>
          <w:p w14:paraId="694679CA" w14:textId="77777777" w:rsidR="00641412" w:rsidRDefault="00000000">
            <w:pPr>
              <w:spacing w:line="252" w:lineRule="auto"/>
            </w:pPr>
            <w:r>
              <w:rPr>
                <w:rFonts w:ascii="Times New Roman" w:eastAsia="標楷體" w:hAnsi="Times New Roman"/>
                <w:sz w:val="18"/>
              </w:rPr>
              <w:t>weighted avg</w:t>
            </w:r>
          </w:p>
        </w:tc>
        <w:tc>
          <w:tcPr>
            <w:tcW w:w="2093" w:type="dxa"/>
            <w:tcMar>
              <w:top w:w="90" w:type="dxa"/>
              <w:left w:w="90" w:type="dxa"/>
              <w:bottom w:w="90" w:type="dxa"/>
              <w:right w:w="90" w:type="dxa"/>
            </w:tcMar>
            <w:vAlign w:val="center"/>
          </w:tcPr>
          <w:p w14:paraId="4FBB2E4C" w14:textId="77777777" w:rsidR="00641412" w:rsidRDefault="00000000">
            <w:pPr>
              <w:spacing w:line="252" w:lineRule="auto"/>
              <w:jc w:val="center"/>
            </w:pPr>
            <w:r>
              <w:rPr>
                <w:rFonts w:ascii="Times New Roman" w:eastAsia="標楷體" w:hAnsi="Times New Roman"/>
                <w:sz w:val="18"/>
              </w:rPr>
              <w:t>0.631</w:t>
            </w:r>
          </w:p>
        </w:tc>
        <w:tc>
          <w:tcPr>
            <w:tcW w:w="2093" w:type="dxa"/>
            <w:tcMar>
              <w:top w:w="90" w:type="dxa"/>
              <w:left w:w="90" w:type="dxa"/>
              <w:bottom w:w="90" w:type="dxa"/>
              <w:right w:w="90" w:type="dxa"/>
            </w:tcMar>
            <w:vAlign w:val="center"/>
          </w:tcPr>
          <w:p w14:paraId="5AEBF35F" w14:textId="77777777" w:rsidR="00641412" w:rsidRDefault="00000000">
            <w:pPr>
              <w:spacing w:line="252" w:lineRule="auto"/>
              <w:jc w:val="center"/>
            </w:pPr>
            <w:r>
              <w:rPr>
                <w:rFonts w:ascii="Times New Roman" w:eastAsia="標楷體" w:hAnsi="Times New Roman"/>
                <w:sz w:val="18"/>
              </w:rPr>
              <w:t>0.680</w:t>
            </w:r>
          </w:p>
        </w:tc>
        <w:tc>
          <w:tcPr>
            <w:tcW w:w="2093" w:type="dxa"/>
            <w:tcMar>
              <w:top w:w="90" w:type="dxa"/>
              <w:left w:w="90" w:type="dxa"/>
              <w:bottom w:w="90" w:type="dxa"/>
              <w:right w:w="90" w:type="dxa"/>
            </w:tcMar>
            <w:vAlign w:val="center"/>
          </w:tcPr>
          <w:p w14:paraId="28E47495" w14:textId="77777777" w:rsidR="00641412" w:rsidRDefault="00000000">
            <w:pPr>
              <w:spacing w:line="252" w:lineRule="auto"/>
              <w:jc w:val="center"/>
            </w:pPr>
            <w:r>
              <w:rPr>
                <w:rFonts w:ascii="Times New Roman" w:eastAsia="標楷體" w:hAnsi="Times New Roman"/>
                <w:sz w:val="18"/>
              </w:rPr>
              <w:t>0.639</w:t>
            </w:r>
          </w:p>
        </w:tc>
        <w:tc>
          <w:tcPr>
            <w:tcW w:w="2093" w:type="dxa"/>
            <w:tcMar>
              <w:top w:w="90" w:type="dxa"/>
              <w:left w:w="90" w:type="dxa"/>
              <w:bottom w:w="90" w:type="dxa"/>
              <w:right w:w="90" w:type="dxa"/>
            </w:tcMar>
            <w:vAlign w:val="center"/>
          </w:tcPr>
          <w:p w14:paraId="5F592F46" w14:textId="77777777" w:rsidR="00641412" w:rsidRDefault="00000000">
            <w:pPr>
              <w:spacing w:line="252" w:lineRule="auto"/>
              <w:jc w:val="center"/>
            </w:pPr>
            <w:r>
              <w:rPr>
                <w:rFonts w:ascii="Times New Roman" w:eastAsia="標楷體" w:hAnsi="Times New Roman"/>
                <w:sz w:val="18"/>
              </w:rPr>
              <w:t>1133</w:t>
            </w:r>
          </w:p>
        </w:tc>
      </w:tr>
    </w:tbl>
    <w:p w14:paraId="33287D37" w14:textId="77777777" w:rsidR="00641412" w:rsidRDefault="00000000">
      <w:pPr>
        <w:spacing w:after="120" w:line="276" w:lineRule="auto"/>
        <w:ind w:firstLine="480"/>
      </w:pPr>
      <w:r>
        <w:rPr>
          <w:rFonts w:ascii="Times New Roman" w:eastAsia="標楷體" w:hAnsi="Times New Roman"/>
        </w:rPr>
        <w:t>根據表</w:t>
      </w:r>
      <w:r>
        <w:rPr>
          <w:rFonts w:ascii="Times New Roman" w:eastAsia="標楷體" w:hAnsi="Times New Roman"/>
        </w:rPr>
        <w:t xml:space="preserve"> 4-6</w:t>
      </w:r>
      <w:r>
        <w:rPr>
          <w:rFonts w:ascii="Times New Roman" w:eastAsia="標楷體" w:hAnsi="Times New Roman"/>
        </w:rPr>
        <w:t>，民事案件模型主要能正確辨識</w:t>
      </w:r>
      <w:r>
        <w:rPr>
          <w:rFonts w:ascii="Times New Roman" w:eastAsia="標楷體" w:hAnsi="Times New Roman"/>
        </w:rPr>
        <w:t xml:space="preserve"> Lose </w:t>
      </w:r>
      <w:r>
        <w:rPr>
          <w:rFonts w:ascii="Times New Roman" w:eastAsia="標楷體" w:hAnsi="Times New Roman"/>
        </w:rPr>
        <w:t>類別。</w:t>
      </w:r>
      <w:r>
        <w:rPr>
          <w:rFonts w:ascii="Times New Roman" w:eastAsia="標楷體" w:hAnsi="Times New Roman"/>
        </w:rPr>
        <w:t xml:space="preserve">Actual Lose </w:t>
      </w:r>
      <w:r>
        <w:rPr>
          <w:rFonts w:ascii="Times New Roman" w:eastAsia="標楷體" w:hAnsi="Times New Roman"/>
        </w:rPr>
        <w:t>共有</w:t>
      </w:r>
      <w:r>
        <w:rPr>
          <w:rFonts w:ascii="Times New Roman" w:eastAsia="標楷體" w:hAnsi="Times New Roman"/>
        </w:rPr>
        <w:t xml:space="preserve"> 766 </w:t>
      </w:r>
      <w:r>
        <w:rPr>
          <w:rFonts w:ascii="Times New Roman" w:eastAsia="標楷體" w:hAnsi="Times New Roman"/>
        </w:rPr>
        <w:t>件，其中</w:t>
      </w:r>
      <w:r>
        <w:rPr>
          <w:rFonts w:ascii="Times New Roman" w:eastAsia="標楷體" w:hAnsi="Times New Roman"/>
        </w:rPr>
        <w:t xml:space="preserve"> 683 </w:t>
      </w:r>
      <w:r>
        <w:rPr>
          <w:rFonts w:ascii="Times New Roman" w:eastAsia="標楷體" w:hAnsi="Times New Roman"/>
        </w:rPr>
        <w:t>件被正確預測為</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Recall </w:t>
      </w:r>
      <w:r>
        <w:rPr>
          <w:rFonts w:ascii="Times New Roman" w:eastAsia="標楷體" w:hAnsi="Times New Roman"/>
        </w:rPr>
        <w:t>達</w:t>
      </w:r>
      <w:r>
        <w:rPr>
          <w:rFonts w:ascii="Times New Roman" w:eastAsia="標楷體" w:hAnsi="Times New Roman"/>
        </w:rPr>
        <w:t xml:space="preserve"> 0.892</w:t>
      </w:r>
      <w:r>
        <w:rPr>
          <w:rFonts w:ascii="Times New Roman" w:eastAsia="標楷體" w:hAnsi="Times New Roman"/>
        </w:rPr>
        <w:t>；相較之下，</w:t>
      </w:r>
      <w:r>
        <w:rPr>
          <w:rFonts w:ascii="Times New Roman" w:eastAsia="標楷體" w:hAnsi="Times New Roman"/>
        </w:rPr>
        <w:t xml:space="preserve">Actual Mixed </w:t>
      </w:r>
      <w:r>
        <w:rPr>
          <w:rFonts w:ascii="Times New Roman" w:eastAsia="標楷體" w:hAnsi="Times New Roman"/>
        </w:rPr>
        <w:t>共有</w:t>
      </w:r>
      <w:r>
        <w:rPr>
          <w:rFonts w:ascii="Times New Roman" w:eastAsia="標楷體" w:hAnsi="Times New Roman"/>
        </w:rPr>
        <w:t xml:space="preserve"> 281 </w:t>
      </w:r>
      <w:r>
        <w:rPr>
          <w:rFonts w:ascii="Times New Roman" w:eastAsia="標楷體" w:hAnsi="Times New Roman"/>
        </w:rPr>
        <w:t>件，僅</w:t>
      </w:r>
      <w:r>
        <w:rPr>
          <w:rFonts w:ascii="Times New Roman" w:eastAsia="標楷體" w:hAnsi="Times New Roman"/>
        </w:rPr>
        <w:t xml:space="preserve"> 80 </w:t>
      </w:r>
      <w:r>
        <w:rPr>
          <w:rFonts w:ascii="Times New Roman" w:eastAsia="標楷體" w:hAnsi="Times New Roman"/>
        </w:rPr>
        <w:t>件被正確預測為</w:t>
      </w:r>
      <w:r>
        <w:rPr>
          <w:rFonts w:ascii="Times New Roman" w:eastAsia="標楷體" w:hAnsi="Times New Roman"/>
        </w:rPr>
        <w:t xml:space="preserve"> Mixed</w:t>
      </w:r>
      <w:r>
        <w:rPr>
          <w:rFonts w:ascii="Times New Roman" w:eastAsia="標楷體" w:hAnsi="Times New Roman"/>
        </w:rPr>
        <w:t>，另有</w:t>
      </w:r>
      <w:r>
        <w:rPr>
          <w:rFonts w:ascii="Times New Roman" w:eastAsia="標楷體" w:hAnsi="Times New Roman"/>
        </w:rPr>
        <w:t xml:space="preserve"> 192 </w:t>
      </w:r>
      <w:r>
        <w:rPr>
          <w:rFonts w:ascii="Times New Roman" w:eastAsia="標楷體" w:hAnsi="Times New Roman"/>
        </w:rPr>
        <w:t>件被誤判為</w:t>
      </w:r>
      <w:r>
        <w:rPr>
          <w:rFonts w:ascii="Times New Roman" w:eastAsia="標楷體" w:hAnsi="Times New Roman"/>
        </w:rPr>
        <w:t xml:space="preserve"> Lose</w:t>
      </w:r>
      <w:r>
        <w:rPr>
          <w:rFonts w:ascii="Times New Roman" w:eastAsia="標楷體" w:hAnsi="Times New Roman"/>
        </w:rPr>
        <w:t>；</w:t>
      </w:r>
      <w:r>
        <w:rPr>
          <w:rFonts w:ascii="Times New Roman" w:eastAsia="標楷體" w:hAnsi="Times New Roman"/>
        </w:rPr>
        <w:t xml:space="preserve">Actual Win </w:t>
      </w:r>
      <w:r>
        <w:rPr>
          <w:rFonts w:ascii="Times New Roman" w:eastAsia="標楷體" w:hAnsi="Times New Roman"/>
        </w:rPr>
        <w:t>共有</w:t>
      </w:r>
      <w:r>
        <w:rPr>
          <w:rFonts w:ascii="Times New Roman" w:eastAsia="標楷體" w:hAnsi="Times New Roman"/>
        </w:rPr>
        <w:t xml:space="preserve"> 86 </w:t>
      </w:r>
      <w:r>
        <w:rPr>
          <w:rFonts w:ascii="Times New Roman" w:eastAsia="標楷體" w:hAnsi="Times New Roman"/>
        </w:rPr>
        <w:t>件，僅</w:t>
      </w:r>
      <w:r>
        <w:rPr>
          <w:rFonts w:ascii="Times New Roman" w:eastAsia="標楷體" w:hAnsi="Times New Roman"/>
        </w:rPr>
        <w:t xml:space="preserve"> 7 </w:t>
      </w:r>
      <w:r>
        <w:rPr>
          <w:rFonts w:ascii="Times New Roman" w:eastAsia="標楷體" w:hAnsi="Times New Roman"/>
        </w:rPr>
        <w:t>件被正確預測為</w:t>
      </w:r>
      <w:r>
        <w:rPr>
          <w:rFonts w:ascii="Times New Roman" w:eastAsia="標楷體" w:hAnsi="Times New Roman"/>
        </w:rPr>
        <w:t xml:space="preserve"> Win</w:t>
      </w:r>
      <w:r>
        <w:rPr>
          <w:rFonts w:ascii="Times New Roman" w:eastAsia="標楷體" w:hAnsi="Times New Roman"/>
        </w:rPr>
        <w:t>，另有</w:t>
      </w:r>
      <w:r>
        <w:rPr>
          <w:rFonts w:ascii="Times New Roman" w:eastAsia="標楷體" w:hAnsi="Times New Roman"/>
        </w:rPr>
        <w:t xml:space="preserve"> 62 </w:t>
      </w:r>
      <w:r>
        <w:rPr>
          <w:rFonts w:ascii="Times New Roman" w:eastAsia="標楷體" w:hAnsi="Times New Roman"/>
        </w:rPr>
        <w:t>件被誤判為</w:t>
      </w:r>
      <w:r>
        <w:rPr>
          <w:rFonts w:ascii="Times New Roman" w:eastAsia="標楷體" w:hAnsi="Times New Roman"/>
        </w:rPr>
        <w:t xml:space="preserve"> Lose</w:t>
      </w:r>
      <w:r>
        <w:rPr>
          <w:rFonts w:ascii="Times New Roman" w:eastAsia="標楷體" w:hAnsi="Times New Roman"/>
        </w:rPr>
        <w:t>。此結果顯示，模型在民事案件中明顯傾向預測</w:t>
      </w:r>
      <w:r>
        <w:rPr>
          <w:rFonts w:ascii="Times New Roman" w:eastAsia="標楷體" w:hAnsi="Times New Roman"/>
        </w:rPr>
        <w:t xml:space="preserve"> Lose </w:t>
      </w:r>
      <w:r>
        <w:rPr>
          <w:rFonts w:ascii="Times New Roman" w:eastAsia="標楷體" w:hAnsi="Times New Roman"/>
        </w:rPr>
        <w:t>類別，導致</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類別容易被歸入敗訴。</w:t>
      </w:r>
    </w:p>
    <w:p w14:paraId="335887B7"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4-7 </w:t>
      </w:r>
      <w:r>
        <w:rPr>
          <w:rFonts w:ascii="Times New Roman" w:eastAsia="標楷體" w:hAnsi="Times New Roman"/>
        </w:rPr>
        <w:t>亦呈現相同現象。</w:t>
      </w:r>
      <w:r>
        <w:rPr>
          <w:rFonts w:ascii="Times New Roman" w:eastAsia="標楷體" w:hAnsi="Times New Roman"/>
        </w:rPr>
        <w:t xml:space="preserve">Lose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為</w:t>
      </w:r>
      <w:r>
        <w:rPr>
          <w:rFonts w:ascii="Times New Roman" w:eastAsia="標楷體" w:hAnsi="Times New Roman"/>
        </w:rPr>
        <w:t xml:space="preserve"> 0.802</w:t>
      </w:r>
      <w:r>
        <w:rPr>
          <w:rFonts w:ascii="Times New Roman" w:eastAsia="標楷體" w:hAnsi="Times New Roman"/>
        </w:rPr>
        <w:t>，明顯高於</w:t>
      </w:r>
      <w:r>
        <w:rPr>
          <w:rFonts w:ascii="Times New Roman" w:eastAsia="標楷體" w:hAnsi="Times New Roman"/>
        </w:rPr>
        <w:t xml:space="preserve"> Mixed </w:t>
      </w:r>
      <w:r>
        <w:rPr>
          <w:rFonts w:ascii="Times New Roman" w:eastAsia="標楷體" w:hAnsi="Times New Roman"/>
        </w:rPr>
        <w:t>類別的</w:t>
      </w:r>
      <w:r>
        <w:rPr>
          <w:rFonts w:ascii="Times New Roman" w:eastAsia="標楷體" w:hAnsi="Times New Roman"/>
        </w:rPr>
        <w:t xml:space="preserve"> 0.352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類別的</w:t>
      </w:r>
      <w:r>
        <w:rPr>
          <w:rFonts w:ascii="Times New Roman" w:eastAsia="標楷體" w:hAnsi="Times New Roman"/>
        </w:rPr>
        <w:t xml:space="preserve"> 0.130</w:t>
      </w:r>
      <w:r>
        <w:rPr>
          <w:rFonts w:ascii="Times New Roman" w:eastAsia="標楷體" w:hAnsi="Times New Roman"/>
        </w:rPr>
        <w:t>。尤其</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Recall </w:t>
      </w:r>
      <w:r>
        <w:rPr>
          <w:rFonts w:ascii="Times New Roman" w:eastAsia="標楷體" w:hAnsi="Times New Roman"/>
        </w:rPr>
        <w:t>僅為</w:t>
      </w:r>
      <w:r>
        <w:rPr>
          <w:rFonts w:ascii="Times New Roman" w:eastAsia="標楷體" w:hAnsi="Times New Roman"/>
        </w:rPr>
        <w:t xml:space="preserve"> 0.081</w:t>
      </w:r>
      <w:r>
        <w:rPr>
          <w:rFonts w:ascii="Times New Roman" w:eastAsia="標楷體" w:hAnsi="Times New Roman"/>
        </w:rPr>
        <w:t>，表示實際勝訴案件中，只有極少比例能被模型成功辨識。換言之，民事案件模型雖然整體</w:t>
      </w:r>
      <w:r>
        <w:rPr>
          <w:rFonts w:ascii="Times New Roman" w:eastAsia="標楷體" w:hAnsi="Times New Roman"/>
        </w:rPr>
        <w:t xml:space="preserve"> Accuracy </w:t>
      </w:r>
      <w:r>
        <w:rPr>
          <w:rFonts w:ascii="Times New Roman" w:eastAsia="標楷體" w:hAnsi="Times New Roman"/>
        </w:rPr>
        <w:t>達</w:t>
      </w:r>
      <w:r>
        <w:rPr>
          <w:rFonts w:ascii="Times New Roman" w:eastAsia="標楷體" w:hAnsi="Times New Roman"/>
        </w:rPr>
        <w:t xml:space="preserve"> 0.680</w:t>
      </w:r>
      <w:r>
        <w:rPr>
          <w:rFonts w:ascii="Times New Roman" w:eastAsia="標楷體" w:hAnsi="Times New Roman"/>
        </w:rPr>
        <w:t>，且高於</w:t>
      </w:r>
      <w:r>
        <w:rPr>
          <w:rFonts w:ascii="Times New Roman" w:eastAsia="標楷體" w:hAnsi="Times New Roman"/>
        </w:rPr>
        <w:t xml:space="preserve"> Majority Class </w:t>
      </w:r>
      <w:r>
        <w:rPr>
          <w:rFonts w:ascii="Times New Roman" w:eastAsia="標楷體" w:hAnsi="Times New Roman"/>
        </w:rPr>
        <w:lastRenderedPageBreak/>
        <w:t>baseline</w:t>
      </w:r>
      <w:r>
        <w:rPr>
          <w:rFonts w:ascii="Times New Roman" w:eastAsia="標楷體" w:hAnsi="Times New Roman"/>
        </w:rPr>
        <w:t>，但其分類能力主要來自</w:t>
      </w:r>
      <w:r>
        <w:rPr>
          <w:rFonts w:ascii="Times New Roman" w:eastAsia="標楷體" w:hAnsi="Times New Roman"/>
        </w:rPr>
        <w:t xml:space="preserve"> Lose </w:t>
      </w:r>
      <w:r>
        <w:rPr>
          <w:rFonts w:ascii="Times New Roman" w:eastAsia="標楷體" w:hAnsi="Times New Roman"/>
        </w:rPr>
        <w:t>類別；對於</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這兩類較少數且語意界線可能較模糊的裁判結果，模型仍存在明顯辨識限制。</w:t>
      </w:r>
    </w:p>
    <w:p w14:paraId="665B3E10" w14:textId="77777777" w:rsidR="00641412" w:rsidRDefault="00000000">
      <w:pPr>
        <w:spacing w:before="80" w:after="120" w:line="276" w:lineRule="auto"/>
        <w:ind w:firstLine="480"/>
      </w:pPr>
      <w:r>
        <w:rPr>
          <w:rFonts w:ascii="Times New Roman" w:eastAsia="標楷體" w:hAnsi="Times New Roman"/>
          <w:b/>
          <w:sz w:val="20"/>
        </w:rPr>
        <w:t>表</w:t>
      </w:r>
      <w:r>
        <w:rPr>
          <w:rFonts w:ascii="Times New Roman" w:eastAsia="標楷體" w:hAnsi="Times New Roman"/>
          <w:b/>
          <w:sz w:val="20"/>
        </w:rPr>
        <w:t xml:space="preserve"> 4-8 </w:t>
      </w:r>
      <w:r>
        <w:rPr>
          <w:rFonts w:ascii="Times New Roman" w:eastAsia="標楷體" w:hAnsi="Times New Roman"/>
          <w:b/>
          <w:sz w:val="20"/>
        </w:rPr>
        <w:t>各資料集最佳</w:t>
      </w:r>
      <w:r>
        <w:rPr>
          <w:rFonts w:ascii="Times New Roman" w:eastAsia="標楷體" w:hAnsi="Times New Roman"/>
          <w:b/>
          <w:sz w:val="20"/>
        </w:rPr>
        <w:t xml:space="preserve"> Direct SVM </w:t>
      </w:r>
      <w:r>
        <w:rPr>
          <w:rFonts w:ascii="Times New Roman" w:eastAsia="標楷體" w:hAnsi="Times New Roman"/>
          <w:b/>
          <w:sz w:val="20"/>
        </w:rPr>
        <w:t>模型之類別</w:t>
      </w:r>
      <w:r>
        <w:rPr>
          <w:rFonts w:ascii="Times New Roman" w:eastAsia="標楷體" w:hAnsi="Times New Roman"/>
          <w:b/>
          <w:sz w:val="20"/>
        </w:rPr>
        <w:t xml:space="preserve"> F1 </w:t>
      </w:r>
      <w:r>
        <w:rPr>
          <w:rFonts w:ascii="Times New Roman" w:eastAsia="標楷體" w:hAnsi="Times New Roman"/>
          <w:b/>
          <w:sz w:val="20"/>
        </w:rPr>
        <w:t>摘要</w:t>
      </w:r>
    </w:p>
    <w:tbl>
      <w:tblPr>
        <w:tblStyle w:val="af3"/>
        <w:tblW w:w="5000" w:type="pct"/>
        <w:jc w:val="center"/>
        <w:tblLook w:val="04A0" w:firstRow="1" w:lastRow="0" w:firstColumn="1" w:lastColumn="0" w:noHBand="0" w:noVBand="1"/>
      </w:tblPr>
      <w:tblGrid>
        <w:gridCol w:w="2092"/>
        <w:gridCol w:w="2091"/>
        <w:gridCol w:w="2091"/>
        <w:gridCol w:w="2091"/>
        <w:gridCol w:w="2091"/>
      </w:tblGrid>
      <w:tr w:rsidR="00641412" w14:paraId="6495B18E" w14:textId="77777777">
        <w:trPr>
          <w:tblHeader/>
          <w:jc w:val="center"/>
        </w:trPr>
        <w:tc>
          <w:tcPr>
            <w:tcW w:w="2093" w:type="dxa"/>
            <w:shd w:val="clear" w:color="auto" w:fill="D9EAF7"/>
            <w:tcMar>
              <w:top w:w="90" w:type="dxa"/>
              <w:left w:w="90" w:type="dxa"/>
              <w:bottom w:w="90" w:type="dxa"/>
              <w:right w:w="90" w:type="dxa"/>
            </w:tcMar>
            <w:vAlign w:val="center"/>
          </w:tcPr>
          <w:p w14:paraId="5568C9B2" w14:textId="77777777" w:rsidR="00641412" w:rsidRDefault="00000000">
            <w:pPr>
              <w:spacing w:line="252" w:lineRule="auto"/>
            </w:pPr>
            <w:r>
              <w:rPr>
                <w:rFonts w:ascii="Times New Roman" w:eastAsia="標楷體" w:hAnsi="Times New Roman"/>
                <w:b/>
                <w:sz w:val="18"/>
              </w:rPr>
              <w:t>資料集</w:t>
            </w:r>
          </w:p>
        </w:tc>
        <w:tc>
          <w:tcPr>
            <w:tcW w:w="2093" w:type="dxa"/>
            <w:shd w:val="clear" w:color="auto" w:fill="D9EAF7"/>
            <w:tcMar>
              <w:top w:w="90" w:type="dxa"/>
              <w:left w:w="90" w:type="dxa"/>
              <w:bottom w:w="90" w:type="dxa"/>
              <w:right w:w="90" w:type="dxa"/>
            </w:tcMar>
            <w:vAlign w:val="center"/>
          </w:tcPr>
          <w:p w14:paraId="300EA25C" w14:textId="77777777" w:rsidR="00641412" w:rsidRDefault="00000000">
            <w:pPr>
              <w:spacing w:line="252" w:lineRule="auto"/>
              <w:jc w:val="center"/>
            </w:pPr>
            <w:r>
              <w:rPr>
                <w:rFonts w:ascii="Times New Roman" w:eastAsia="標楷體" w:hAnsi="Times New Roman"/>
                <w:b/>
                <w:sz w:val="18"/>
              </w:rPr>
              <w:t>Lose F1</w:t>
            </w:r>
          </w:p>
        </w:tc>
        <w:tc>
          <w:tcPr>
            <w:tcW w:w="2093" w:type="dxa"/>
            <w:shd w:val="clear" w:color="auto" w:fill="D9EAF7"/>
            <w:tcMar>
              <w:top w:w="90" w:type="dxa"/>
              <w:left w:w="90" w:type="dxa"/>
              <w:bottom w:w="90" w:type="dxa"/>
              <w:right w:w="90" w:type="dxa"/>
            </w:tcMar>
            <w:vAlign w:val="center"/>
          </w:tcPr>
          <w:p w14:paraId="3C775E17" w14:textId="77777777" w:rsidR="00641412" w:rsidRDefault="00000000">
            <w:pPr>
              <w:spacing w:line="252" w:lineRule="auto"/>
              <w:jc w:val="center"/>
            </w:pPr>
            <w:r>
              <w:rPr>
                <w:rFonts w:ascii="Times New Roman" w:eastAsia="標楷體" w:hAnsi="Times New Roman"/>
                <w:b/>
                <w:sz w:val="18"/>
              </w:rPr>
              <w:t>Mixed F1</w:t>
            </w:r>
          </w:p>
        </w:tc>
        <w:tc>
          <w:tcPr>
            <w:tcW w:w="2093" w:type="dxa"/>
            <w:shd w:val="clear" w:color="auto" w:fill="D9EAF7"/>
            <w:tcMar>
              <w:top w:w="90" w:type="dxa"/>
              <w:left w:w="90" w:type="dxa"/>
              <w:bottom w:w="90" w:type="dxa"/>
              <w:right w:w="90" w:type="dxa"/>
            </w:tcMar>
            <w:vAlign w:val="center"/>
          </w:tcPr>
          <w:p w14:paraId="4A617AD0" w14:textId="77777777" w:rsidR="00641412" w:rsidRDefault="00000000">
            <w:pPr>
              <w:spacing w:line="252" w:lineRule="auto"/>
              <w:jc w:val="center"/>
            </w:pPr>
            <w:r>
              <w:rPr>
                <w:rFonts w:ascii="Times New Roman" w:eastAsia="標楷體" w:hAnsi="Times New Roman"/>
                <w:b/>
                <w:sz w:val="18"/>
              </w:rPr>
              <w:t>Win F1</w:t>
            </w:r>
          </w:p>
        </w:tc>
        <w:tc>
          <w:tcPr>
            <w:tcW w:w="2093" w:type="dxa"/>
            <w:shd w:val="clear" w:color="auto" w:fill="D9EAF7"/>
            <w:tcMar>
              <w:top w:w="90" w:type="dxa"/>
              <w:left w:w="90" w:type="dxa"/>
              <w:bottom w:w="90" w:type="dxa"/>
              <w:right w:w="90" w:type="dxa"/>
            </w:tcMar>
            <w:vAlign w:val="center"/>
          </w:tcPr>
          <w:p w14:paraId="18B14AF7" w14:textId="77777777" w:rsidR="00641412" w:rsidRDefault="00000000">
            <w:pPr>
              <w:spacing w:line="252" w:lineRule="auto"/>
              <w:jc w:val="center"/>
            </w:pPr>
            <w:r>
              <w:rPr>
                <w:rFonts w:ascii="Times New Roman" w:eastAsia="標楷體" w:hAnsi="Times New Roman"/>
                <w:b/>
                <w:sz w:val="18"/>
              </w:rPr>
              <w:t>Macro F1</w:t>
            </w:r>
          </w:p>
        </w:tc>
      </w:tr>
      <w:tr w:rsidR="00641412" w14:paraId="20CB009F" w14:textId="77777777">
        <w:trPr>
          <w:jc w:val="center"/>
        </w:trPr>
        <w:tc>
          <w:tcPr>
            <w:tcW w:w="2093" w:type="dxa"/>
            <w:tcMar>
              <w:top w:w="90" w:type="dxa"/>
              <w:left w:w="90" w:type="dxa"/>
              <w:bottom w:w="90" w:type="dxa"/>
              <w:right w:w="90" w:type="dxa"/>
            </w:tcMar>
            <w:vAlign w:val="center"/>
          </w:tcPr>
          <w:p w14:paraId="5DC98DE5" w14:textId="77777777" w:rsidR="00641412" w:rsidRDefault="00000000">
            <w:pPr>
              <w:spacing w:line="252" w:lineRule="auto"/>
            </w:pPr>
            <w:r>
              <w:rPr>
                <w:rFonts w:ascii="Times New Roman" w:eastAsia="標楷體" w:hAnsi="Times New Roman"/>
                <w:sz w:val="18"/>
              </w:rPr>
              <w:t>行政</w:t>
            </w:r>
          </w:p>
        </w:tc>
        <w:tc>
          <w:tcPr>
            <w:tcW w:w="2093" w:type="dxa"/>
            <w:tcMar>
              <w:top w:w="90" w:type="dxa"/>
              <w:left w:w="90" w:type="dxa"/>
              <w:bottom w:w="90" w:type="dxa"/>
              <w:right w:w="90" w:type="dxa"/>
            </w:tcMar>
            <w:vAlign w:val="center"/>
          </w:tcPr>
          <w:p w14:paraId="185566F5" w14:textId="77777777" w:rsidR="00641412" w:rsidRDefault="00000000">
            <w:pPr>
              <w:spacing w:line="252" w:lineRule="auto"/>
              <w:jc w:val="center"/>
            </w:pPr>
            <w:r>
              <w:rPr>
                <w:rFonts w:ascii="Times New Roman" w:eastAsia="標楷體" w:hAnsi="Times New Roman"/>
                <w:sz w:val="18"/>
              </w:rPr>
              <w:t>0.908</w:t>
            </w:r>
          </w:p>
        </w:tc>
        <w:tc>
          <w:tcPr>
            <w:tcW w:w="2093" w:type="dxa"/>
            <w:tcMar>
              <w:top w:w="90" w:type="dxa"/>
              <w:left w:w="90" w:type="dxa"/>
              <w:bottom w:w="90" w:type="dxa"/>
              <w:right w:w="90" w:type="dxa"/>
            </w:tcMar>
            <w:vAlign w:val="center"/>
          </w:tcPr>
          <w:p w14:paraId="1F5B7389" w14:textId="77777777" w:rsidR="00641412" w:rsidRDefault="00000000">
            <w:pPr>
              <w:spacing w:line="252" w:lineRule="auto"/>
              <w:jc w:val="center"/>
            </w:pPr>
            <w:r>
              <w:rPr>
                <w:rFonts w:ascii="Times New Roman" w:eastAsia="標楷體" w:hAnsi="Times New Roman"/>
                <w:sz w:val="18"/>
              </w:rPr>
              <w:t>0.114</w:t>
            </w:r>
          </w:p>
        </w:tc>
        <w:tc>
          <w:tcPr>
            <w:tcW w:w="2093" w:type="dxa"/>
            <w:tcMar>
              <w:top w:w="90" w:type="dxa"/>
              <w:left w:w="90" w:type="dxa"/>
              <w:bottom w:w="90" w:type="dxa"/>
              <w:right w:w="90" w:type="dxa"/>
            </w:tcMar>
            <w:vAlign w:val="center"/>
          </w:tcPr>
          <w:p w14:paraId="126C20E5" w14:textId="77777777" w:rsidR="00641412" w:rsidRDefault="00000000">
            <w:pPr>
              <w:spacing w:line="252" w:lineRule="auto"/>
              <w:jc w:val="center"/>
            </w:pPr>
            <w:r>
              <w:rPr>
                <w:rFonts w:ascii="Times New Roman" w:eastAsia="標楷體" w:hAnsi="Times New Roman"/>
                <w:sz w:val="18"/>
              </w:rPr>
              <w:t>0.119</w:t>
            </w:r>
          </w:p>
        </w:tc>
        <w:tc>
          <w:tcPr>
            <w:tcW w:w="2093" w:type="dxa"/>
            <w:tcMar>
              <w:top w:w="90" w:type="dxa"/>
              <w:left w:w="90" w:type="dxa"/>
              <w:bottom w:w="90" w:type="dxa"/>
              <w:right w:w="90" w:type="dxa"/>
            </w:tcMar>
            <w:vAlign w:val="center"/>
          </w:tcPr>
          <w:p w14:paraId="5936A7AA" w14:textId="77777777" w:rsidR="00641412" w:rsidRDefault="00000000">
            <w:pPr>
              <w:spacing w:line="252" w:lineRule="auto"/>
              <w:jc w:val="center"/>
            </w:pPr>
            <w:r>
              <w:rPr>
                <w:rFonts w:ascii="Times New Roman" w:eastAsia="標楷體" w:hAnsi="Times New Roman"/>
                <w:sz w:val="18"/>
              </w:rPr>
              <w:t>0.380</w:t>
            </w:r>
          </w:p>
        </w:tc>
      </w:tr>
      <w:tr w:rsidR="00641412" w14:paraId="7B353918" w14:textId="77777777">
        <w:trPr>
          <w:jc w:val="center"/>
        </w:trPr>
        <w:tc>
          <w:tcPr>
            <w:tcW w:w="2093" w:type="dxa"/>
            <w:tcMar>
              <w:top w:w="90" w:type="dxa"/>
              <w:left w:w="90" w:type="dxa"/>
              <w:bottom w:w="90" w:type="dxa"/>
              <w:right w:w="90" w:type="dxa"/>
            </w:tcMar>
            <w:vAlign w:val="center"/>
          </w:tcPr>
          <w:p w14:paraId="26E3A1C4" w14:textId="77777777" w:rsidR="00641412" w:rsidRDefault="00000000">
            <w:pPr>
              <w:spacing w:line="252" w:lineRule="auto"/>
            </w:pPr>
            <w:r>
              <w:rPr>
                <w:rFonts w:ascii="Times New Roman" w:eastAsia="標楷體" w:hAnsi="Times New Roman"/>
                <w:sz w:val="18"/>
              </w:rPr>
              <w:t>民事</w:t>
            </w:r>
          </w:p>
        </w:tc>
        <w:tc>
          <w:tcPr>
            <w:tcW w:w="2093" w:type="dxa"/>
            <w:tcMar>
              <w:top w:w="90" w:type="dxa"/>
              <w:left w:w="90" w:type="dxa"/>
              <w:bottom w:w="90" w:type="dxa"/>
              <w:right w:w="90" w:type="dxa"/>
            </w:tcMar>
            <w:vAlign w:val="center"/>
          </w:tcPr>
          <w:p w14:paraId="05C1930E" w14:textId="77777777" w:rsidR="00641412" w:rsidRDefault="00000000">
            <w:pPr>
              <w:spacing w:line="252" w:lineRule="auto"/>
              <w:jc w:val="center"/>
            </w:pPr>
            <w:r>
              <w:rPr>
                <w:rFonts w:ascii="Times New Roman" w:eastAsia="標楷體" w:hAnsi="Times New Roman"/>
                <w:sz w:val="18"/>
              </w:rPr>
              <w:t>0.802</w:t>
            </w:r>
          </w:p>
        </w:tc>
        <w:tc>
          <w:tcPr>
            <w:tcW w:w="2093" w:type="dxa"/>
            <w:tcMar>
              <w:top w:w="90" w:type="dxa"/>
              <w:left w:w="90" w:type="dxa"/>
              <w:bottom w:w="90" w:type="dxa"/>
              <w:right w:w="90" w:type="dxa"/>
            </w:tcMar>
            <w:vAlign w:val="center"/>
          </w:tcPr>
          <w:p w14:paraId="6E333210" w14:textId="77777777" w:rsidR="00641412" w:rsidRDefault="00000000">
            <w:pPr>
              <w:spacing w:line="252" w:lineRule="auto"/>
              <w:jc w:val="center"/>
            </w:pPr>
            <w:r>
              <w:rPr>
                <w:rFonts w:ascii="Times New Roman" w:eastAsia="標楷體" w:hAnsi="Times New Roman"/>
                <w:sz w:val="18"/>
              </w:rPr>
              <w:t>0.352</w:t>
            </w:r>
          </w:p>
        </w:tc>
        <w:tc>
          <w:tcPr>
            <w:tcW w:w="2093" w:type="dxa"/>
            <w:tcMar>
              <w:top w:w="90" w:type="dxa"/>
              <w:left w:w="90" w:type="dxa"/>
              <w:bottom w:w="90" w:type="dxa"/>
              <w:right w:w="90" w:type="dxa"/>
            </w:tcMar>
            <w:vAlign w:val="center"/>
          </w:tcPr>
          <w:p w14:paraId="3D146F92" w14:textId="77777777" w:rsidR="00641412" w:rsidRDefault="00000000">
            <w:pPr>
              <w:spacing w:line="252" w:lineRule="auto"/>
              <w:jc w:val="center"/>
            </w:pPr>
            <w:r>
              <w:rPr>
                <w:rFonts w:ascii="Times New Roman" w:eastAsia="標楷體" w:hAnsi="Times New Roman"/>
                <w:sz w:val="18"/>
              </w:rPr>
              <w:t>0.130</w:t>
            </w:r>
          </w:p>
        </w:tc>
        <w:tc>
          <w:tcPr>
            <w:tcW w:w="2093" w:type="dxa"/>
            <w:tcMar>
              <w:top w:w="90" w:type="dxa"/>
              <w:left w:w="90" w:type="dxa"/>
              <w:bottom w:w="90" w:type="dxa"/>
              <w:right w:w="90" w:type="dxa"/>
            </w:tcMar>
            <w:vAlign w:val="center"/>
          </w:tcPr>
          <w:p w14:paraId="54091346" w14:textId="77777777" w:rsidR="00641412" w:rsidRDefault="00000000">
            <w:pPr>
              <w:spacing w:line="252" w:lineRule="auto"/>
              <w:jc w:val="center"/>
            </w:pPr>
            <w:r>
              <w:rPr>
                <w:rFonts w:ascii="Times New Roman" w:eastAsia="標楷體" w:hAnsi="Times New Roman"/>
                <w:sz w:val="18"/>
              </w:rPr>
              <w:t>0.428</w:t>
            </w:r>
          </w:p>
        </w:tc>
      </w:tr>
      <w:tr w:rsidR="00641412" w14:paraId="268050B3" w14:textId="77777777">
        <w:trPr>
          <w:jc w:val="center"/>
        </w:trPr>
        <w:tc>
          <w:tcPr>
            <w:tcW w:w="2093" w:type="dxa"/>
            <w:tcMar>
              <w:top w:w="90" w:type="dxa"/>
              <w:left w:w="90" w:type="dxa"/>
              <w:bottom w:w="90" w:type="dxa"/>
              <w:right w:w="90" w:type="dxa"/>
            </w:tcMar>
            <w:vAlign w:val="center"/>
          </w:tcPr>
          <w:p w14:paraId="43DC57A9" w14:textId="77777777" w:rsidR="00641412" w:rsidRDefault="00000000">
            <w:pPr>
              <w:spacing w:line="252" w:lineRule="auto"/>
            </w:pPr>
            <w:r>
              <w:rPr>
                <w:rFonts w:ascii="Times New Roman" w:eastAsia="標楷體" w:hAnsi="Times New Roman"/>
                <w:sz w:val="18"/>
              </w:rPr>
              <w:t>刑事</w:t>
            </w:r>
          </w:p>
        </w:tc>
        <w:tc>
          <w:tcPr>
            <w:tcW w:w="2093" w:type="dxa"/>
            <w:tcMar>
              <w:top w:w="90" w:type="dxa"/>
              <w:left w:w="90" w:type="dxa"/>
              <w:bottom w:w="90" w:type="dxa"/>
              <w:right w:w="90" w:type="dxa"/>
            </w:tcMar>
            <w:vAlign w:val="center"/>
          </w:tcPr>
          <w:p w14:paraId="771BD7AA" w14:textId="77777777" w:rsidR="00641412" w:rsidRDefault="00000000">
            <w:pPr>
              <w:spacing w:line="252" w:lineRule="auto"/>
              <w:jc w:val="center"/>
            </w:pPr>
            <w:r>
              <w:rPr>
                <w:rFonts w:ascii="Times New Roman" w:eastAsia="標楷體" w:hAnsi="Times New Roman"/>
                <w:sz w:val="18"/>
              </w:rPr>
              <w:t>0.974</w:t>
            </w:r>
          </w:p>
        </w:tc>
        <w:tc>
          <w:tcPr>
            <w:tcW w:w="2093" w:type="dxa"/>
            <w:tcMar>
              <w:top w:w="90" w:type="dxa"/>
              <w:left w:w="90" w:type="dxa"/>
              <w:bottom w:w="90" w:type="dxa"/>
              <w:right w:w="90" w:type="dxa"/>
            </w:tcMar>
            <w:vAlign w:val="center"/>
          </w:tcPr>
          <w:p w14:paraId="022D9CD5" w14:textId="77777777" w:rsidR="00641412" w:rsidRDefault="00000000">
            <w:pPr>
              <w:spacing w:line="252" w:lineRule="auto"/>
              <w:jc w:val="center"/>
            </w:pPr>
            <w:r>
              <w:rPr>
                <w:rFonts w:ascii="Times New Roman" w:eastAsia="標楷體" w:hAnsi="Times New Roman"/>
                <w:sz w:val="18"/>
              </w:rPr>
              <w:t>0.167</w:t>
            </w:r>
          </w:p>
        </w:tc>
        <w:tc>
          <w:tcPr>
            <w:tcW w:w="2093" w:type="dxa"/>
            <w:tcMar>
              <w:top w:w="90" w:type="dxa"/>
              <w:left w:w="90" w:type="dxa"/>
              <w:bottom w:w="90" w:type="dxa"/>
              <w:right w:w="90" w:type="dxa"/>
            </w:tcMar>
            <w:vAlign w:val="center"/>
          </w:tcPr>
          <w:p w14:paraId="2AE64576" w14:textId="77777777" w:rsidR="00641412" w:rsidRDefault="00000000">
            <w:pPr>
              <w:spacing w:line="252" w:lineRule="auto"/>
              <w:jc w:val="center"/>
            </w:pPr>
            <w:r>
              <w:rPr>
                <w:rFonts w:ascii="Times New Roman" w:eastAsia="標楷體" w:hAnsi="Times New Roman"/>
                <w:sz w:val="18"/>
              </w:rPr>
              <w:t>0.591</w:t>
            </w:r>
          </w:p>
        </w:tc>
        <w:tc>
          <w:tcPr>
            <w:tcW w:w="2093" w:type="dxa"/>
            <w:tcMar>
              <w:top w:w="90" w:type="dxa"/>
              <w:left w:w="90" w:type="dxa"/>
              <w:bottom w:w="90" w:type="dxa"/>
              <w:right w:w="90" w:type="dxa"/>
            </w:tcMar>
            <w:vAlign w:val="center"/>
          </w:tcPr>
          <w:p w14:paraId="5F038E8B" w14:textId="77777777" w:rsidR="00641412" w:rsidRDefault="00000000">
            <w:pPr>
              <w:spacing w:line="252" w:lineRule="auto"/>
              <w:jc w:val="center"/>
            </w:pPr>
            <w:r>
              <w:rPr>
                <w:rFonts w:ascii="Times New Roman" w:eastAsia="標楷體" w:hAnsi="Times New Roman"/>
                <w:sz w:val="18"/>
              </w:rPr>
              <w:t>0.577</w:t>
            </w:r>
          </w:p>
        </w:tc>
      </w:tr>
      <w:tr w:rsidR="00641412" w14:paraId="04A53A59" w14:textId="77777777">
        <w:trPr>
          <w:jc w:val="center"/>
        </w:trPr>
        <w:tc>
          <w:tcPr>
            <w:tcW w:w="2093" w:type="dxa"/>
            <w:tcMar>
              <w:top w:w="90" w:type="dxa"/>
              <w:left w:w="90" w:type="dxa"/>
              <w:bottom w:w="90" w:type="dxa"/>
              <w:right w:w="90" w:type="dxa"/>
            </w:tcMar>
            <w:vAlign w:val="center"/>
          </w:tcPr>
          <w:p w14:paraId="23A4B394" w14:textId="77777777" w:rsidR="00641412" w:rsidRDefault="00000000">
            <w:pPr>
              <w:spacing w:line="252" w:lineRule="auto"/>
            </w:pPr>
            <w:r>
              <w:rPr>
                <w:rFonts w:ascii="Times New Roman" w:eastAsia="標楷體" w:hAnsi="Times New Roman"/>
                <w:sz w:val="18"/>
              </w:rPr>
              <w:t>刑事附帶民事</w:t>
            </w:r>
          </w:p>
        </w:tc>
        <w:tc>
          <w:tcPr>
            <w:tcW w:w="2093" w:type="dxa"/>
            <w:tcMar>
              <w:top w:w="90" w:type="dxa"/>
              <w:left w:w="90" w:type="dxa"/>
              <w:bottom w:w="90" w:type="dxa"/>
              <w:right w:w="90" w:type="dxa"/>
            </w:tcMar>
            <w:vAlign w:val="center"/>
          </w:tcPr>
          <w:p w14:paraId="0089F25C" w14:textId="77777777" w:rsidR="00641412" w:rsidRDefault="00000000">
            <w:pPr>
              <w:spacing w:line="252" w:lineRule="auto"/>
              <w:jc w:val="center"/>
            </w:pPr>
            <w:r>
              <w:rPr>
                <w:rFonts w:ascii="Times New Roman" w:eastAsia="標楷體" w:hAnsi="Times New Roman"/>
                <w:sz w:val="18"/>
              </w:rPr>
              <w:t>0.834</w:t>
            </w:r>
          </w:p>
        </w:tc>
        <w:tc>
          <w:tcPr>
            <w:tcW w:w="2093" w:type="dxa"/>
            <w:tcMar>
              <w:top w:w="90" w:type="dxa"/>
              <w:left w:w="90" w:type="dxa"/>
              <w:bottom w:w="90" w:type="dxa"/>
              <w:right w:w="90" w:type="dxa"/>
            </w:tcMar>
            <w:vAlign w:val="center"/>
          </w:tcPr>
          <w:p w14:paraId="472372BC" w14:textId="77777777" w:rsidR="00641412" w:rsidRDefault="00000000">
            <w:pPr>
              <w:spacing w:line="252" w:lineRule="auto"/>
              <w:jc w:val="center"/>
            </w:pPr>
            <w:r>
              <w:rPr>
                <w:rFonts w:ascii="Times New Roman" w:eastAsia="標楷體" w:hAnsi="Times New Roman"/>
                <w:sz w:val="18"/>
              </w:rPr>
              <w:t>0.878</w:t>
            </w:r>
          </w:p>
        </w:tc>
        <w:tc>
          <w:tcPr>
            <w:tcW w:w="2093" w:type="dxa"/>
            <w:tcMar>
              <w:top w:w="90" w:type="dxa"/>
              <w:left w:w="90" w:type="dxa"/>
              <w:bottom w:w="90" w:type="dxa"/>
              <w:right w:w="90" w:type="dxa"/>
            </w:tcMar>
            <w:vAlign w:val="center"/>
          </w:tcPr>
          <w:p w14:paraId="35F582CC" w14:textId="77777777" w:rsidR="00641412" w:rsidRDefault="00000000">
            <w:pPr>
              <w:spacing w:line="252" w:lineRule="auto"/>
              <w:jc w:val="center"/>
            </w:pPr>
            <w:r>
              <w:rPr>
                <w:rFonts w:ascii="Times New Roman" w:eastAsia="標楷體" w:hAnsi="Times New Roman"/>
                <w:sz w:val="18"/>
              </w:rPr>
              <w:t>0.250</w:t>
            </w:r>
          </w:p>
        </w:tc>
        <w:tc>
          <w:tcPr>
            <w:tcW w:w="2093" w:type="dxa"/>
            <w:tcMar>
              <w:top w:w="90" w:type="dxa"/>
              <w:left w:w="90" w:type="dxa"/>
              <w:bottom w:w="90" w:type="dxa"/>
              <w:right w:w="90" w:type="dxa"/>
            </w:tcMar>
            <w:vAlign w:val="center"/>
          </w:tcPr>
          <w:p w14:paraId="26A78BA7" w14:textId="77777777" w:rsidR="00641412" w:rsidRDefault="00000000">
            <w:pPr>
              <w:spacing w:line="252" w:lineRule="auto"/>
              <w:jc w:val="center"/>
            </w:pPr>
            <w:r>
              <w:rPr>
                <w:rFonts w:ascii="Times New Roman" w:eastAsia="標楷體" w:hAnsi="Times New Roman"/>
                <w:sz w:val="18"/>
              </w:rPr>
              <w:t>0.654</w:t>
            </w:r>
          </w:p>
        </w:tc>
      </w:tr>
    </w:tbl>
    <w:p w14:paraId="51BC100B" w14:textId="77777777" w:rsidR="00641412" w:rsidRDefault="00000000">
      <w:pPr>
        <w:spacing w:after="120" w:line="276" w:lineRule="auto"/>
        <w:ind w:firstLine="480"/>
      </w:pPr>
      <w:r>
        <w:rPr>
          <w:rFonts w:ascii="Times New Roman" w:eastAsia="標楷體" w:hAnsi="Times New Roman"/>
        </w:rPr>
        <w:t>表</w:t>
      </w:r>
      <w:r>
        <w:rPr>
          <w:rFonts w:ascii="Times New Roman" w:eastAsia="標楷體" w:hAnsi="Times New Roman"/>
        </w:rPr>
        <w:t xml:space="preserve"> 4-8 </w:t>
      </w:r>
      <w:r>
        <w:rPr>
          <w:rFonts w:ascii="Times New Roman" w:eastAsia="標楷體" w:hAnsi="Times New Roman"/>
        </w:rPr>
        <w:t>進一步摘要各資料集最佳</w:t>
      </w:r>
      <w:r>
        <w:rPr>
          <w:rFonts w:ascii="Times New Roman" w:eastAsia="標楷體" w:hAnsi="Times New Roman"/>
        </w:rPr>
        <w:t xml:space="preserve"> Direct SVM </w:t>
      </w:r>
      <w:r>
        <w:rPr>
          <w:rFonts w:ascii="Times New Roman" w:eastAsia="標楷體" w:hAnsi="Times New Roman"/>
        </w:rPr>
        <w:t>模型之類別</w:t>
      </w:r>
      <w:r>
        <w:rPr>
          <w:rFonts w:ascii="Times New Roman" w:eastAsia="標楷體" w:hAnsi="Times New Roman"/>
        </w:rPr>
        <w:t xml:space="preserve"> F1</w:t>
      </w:r>
      <w:r>
        <w:rPr>
          <w:rFonts w:ascii="Times New Roman" w:eastAsia="標楷體" w:hAnsi="Times New Roman"/>
        </w:rPr>
        <w:t>。結果顯示，少數類別辨識不足並非僅出現在民事案件，而是存在於多數資料集。行政、民事與刑事附帶民事資料集的</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分別僅為</w:t>
      </w:r>
      <w:r>
        <w:rPr>
          <w:rFonts w:ascii="Times New Roman" w:eastAsia="標楷體" w:hAnsi="Times New Roman"/>
        </w:rPr>
        <w:t xml:space="preserve"> 0.119</w:t>
      </w:r>
      <w:r>
        <w:rPr>
          <w:rFonts w:ascii="Times New Roman" w:eastAsia="標楷體" w:hAnsi="Times New Roman"/>
        </w:rPr>
        <w:t>、</w:t>
      </w:r>
      <w:r>
        <w:rPr>
          <w:rFonts w:ascii="Times New Roman" w:eastAsia="標楷體" w:hAnsi="Times New Roman"/>
        </w:rPr>
        <w:t xml:space="preserve">0.130 </w:t>
      </w:r>
      <w:r>
        <w:rPr>
          <w:rFonts w:ascii="Times New Roman" w:eastAsia="標楷體" w:hAnsi="Times New Roman"/>
        </w:rPr>
        <w:t>與</w:t>
      </w:r>
      <w:r>
        <w:rPr>
          <w:rFonts w:ascii="Times New Roman" w:eastAsia="標楷體" w:hAnsi="Times New Roman"/>
        </w:rPr>
        <w:t xml:space="preserve"> 0.250</w:t>
      </w:r>
      <w:r>
        <w:rPr>
          <w:rFonts w:ascii="Times New Roman" w:eastAsia="標楷體" w:hAnsi="Times New Roman"/>
        </w:rPr>
        <w:t>；刑事資料集雖然</w:t>
      </w:r>
      <w:r>
        <w:rPr>
          <w:rFonts w:ascii="Times New Roman" w:eastAsia="標楷體" w:hAnsi="Times New Roman"/>
        </w:rPr>
        <w:t xml:space="preserve"> Win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較高，達</w:t>
      </w:r>
      <w:r>
        <w:rPr>
          <w:rFonts w:ascii="Times New Roman" w:eastAsia="標楷體" w:hAnsi="Times New Roman"/>
        </w:rPr>
        <w:t xml:space="preserve"> 0.591</w:t>
      </w:r>
      <w:r>
        <w:rPr>
          <w:rFonts w:ascii="Times New Roman" w:eastAsia="標楷體" w:hAnsi="Times New Roman"/>
        </w:rPr>
        <w:t>，但</w:t>
      </w:r>
      <w:r>
        <w:rPr>
          <w:rFonts w:ascii="Times New Roman" w:eastAsia="標楷體" w:hAnsi="Times New Roman"/>
        </w:rPr>
        <w:t xml:space="preserve"> Mixed </w:t>
      </w:r>
      <w:r>
        <w:rPr>
          <w:rFonts w:ascii="Times New Roman" w:eastAsia="標楷體" w:hAnsi="Times New Roman"/>
        </w:rPr>
        <w:t>類別</w:t>
      </w:r>
      <w:r>
        <w:rPr>
          <w:rFonts w:ascii="Times New Roman" w:eastAsia="標楷體" w:hAnsi="Times New Roman"/>
        </w:rPr>
        <w:t xml:space="preserve"> F1 </w:t>
      </w:r>
      <w:r>
        <w:rPr>
          <w:rFonts w:ascii="Times New Roman" w:eastAsia="標楷體" w:hAnsi="Times New Roman"/>
        </w:rPr>
        <w:t>僅為</w:t>
      </w:r>
      <w:r>
        <w:rPr>
          <w:rFonts w:ascii="Times New Roman" w:eastAsia="標楷體" w:hAnsi="Times New Roman"/>
        </w:rPr>
        <w:t xml:space="preserve"> 0.167</w:t>
      </w:r>
      <w:r>
        <w:rPr>
          <w:rFonts w:ascii="Times New Roman" w:eastAsia="標楷體" w:hAnsi="Times New Roman"/>
        </w:rPr>
        <w:t>。這表示不同案件類型的困難類別並不完全相同，但整體而言，模型對樣本數較少或語意特徵較不明顯的裁判結果類別仍較難辨識。</w:t>
      </w:r>
    </w:p>
    <w:p w14:paraId="36C05A2D" w14:textId="77777777" w:rsidR="00641412" w:rsidRDefault="00000000">
      <w:pPr>
        <w:spacing w:after="120" w:line="276" w:lineRule="auto"/>
        <w:ind w:firstLine="480"/>
      </w:pPr>
      <w:r>
        <w:rPr>
          <w:rFonts w:ascii="Times New Roman" w:eastAsia="標楷體" w:hAnsi="Times New Roman"/>
        </w:rPr>
        <w:t>因此，本研究不能將模型過度解讀為已能完整預測所有裁判結果。較精確地說，模型在主要類別上具有一定分類能力，但對少數類別，尤其是部分資料集中的</w:t>
      </w:r>
      <w:r>
        <w:rPr>
          <w:rFonts w:ascii="Times New Roman" w:eastAsia="標楷體" w:hAnsi="Times New Roman"/>
        </w:rPr>
        <w:t xml:space="preserve"> Win </w:t>
      </w:r>
      <w:r>
        <w:rPr>
          <w:rFonts w:ascii="Times New Roman" w:eastAsia="標楷體" w:hAnsi="Times New Roman"/>
        </w:rPr>
        <w:t>或</w:t>
      </w:r>
      <w:r>
        <w:rPr>
          <w:rFonts w:ascii="Times New Roman" w:eastAsia="標楷體" w:hAnsi="Times New Roman"/>
        </w:rPr>
        <w:t xml:space="preserve"> Mixed </w:t>
      </w:r>
      <w:r>
        <w:rPr>
          <w:rFonts w:ascii="Times New Roman" w:eastAsia="標楷體" w:hAnsi="Times New Roman"/>
        </w:rPr>
        <w:t>類別，仍存在明顯限制。未來若要提升模型對少數裁判結果的辨識能力，需進一步處理類別不平衡問題，例如加入</w:t>
      </w:r>
      <w:r>
        <w:rPr>
          <w:rFonts w:ascii="Times New Roman" w:eastAsia="標楷體" w:hAnsi="Times New Roman"/>
        </w:rPr>
        <w:t xml:space="preserve"> class weighting</w:t>
      </w:r>
      <w:r>
        <w:rPr>
          <w:rFonts w:ascii="Times New Roman" w:eastAsia="標楷體" w:hAnsi="Times New Roman"/>
        </w:rPr>
        <w:t>、</w:t>
      </w:r>
      <w:r>
        <w:rPr>
          <w:rFonts w:ascii="Times New Roman" w:eastAsia="標楷體" w:hAnsi="Times New Roman"/>
        </w:rPr>
        <w:t>resampling</w:t>
      </w:r>
      <w:r>
        <w:rPr>
          <w:rFonts w:ascii="Times New Roman" w:eastAsia="標楷體" w:hAnsi="Times New Roman"/>
        </w:rPr>
        <w:t>，或針對少數類別進行更細緻的錯誤案例分析。</w:t>
      </w:r>
    </w:p>
    <w:p w14:paraId="0C504492" w14:textId="77777777" w:rsidR="00641412" w:rsidRDefault="00000000">
      <w:pPr>
        <w:pStyle w:val="2"/>
        <w:spacing w:before="200" w:after="120" w:line="276" w:lineRule="auto"/>
      </w:pPr>
      <w:r>
        <w:rPr>
          <w:rFonts w:ascii="Times New Roman" w:eastAsia="標楷體" w:hAnsi="Times New Roman"/>
          <w:b/>
          <w:sz w:val="28"/>
        </w:rPr>
        <w:t xml:space="preserve">4.8 </w:t>
      </w:r>
      <w:r>
        <w:rPr>
          <w:rFonts w:ascii="Times New Roman" w:eastAsia="標楷體" w:hAnsi="Times New Roman"/>
          <w:b/>
          <w:sz w:val="28"/>
        </w:rPr>
        <w:t>小結</w:t>
      </w:r>
    </w:p>
    <w:p w14:paraId="7E634ECE" w14:textId="77777777" w:rsidR="00641412" w:rsidRDefault="00000000">
      <w:pPr>
        <w:spacing w:after="120" w:line="276" w:lineRule="auto"/>
        <w:ind w:firstLine="480"/>
      </w:pPr>
      <w:r>
        <w:rPr>
          <w:rFonts w:ascii="Times New Roman" w:eastAsia="標楷體" w:hAnsi="Times New Roman"/>
        </w:rPr>
        <w:t>本章結果顯示，在移除明顯裁判結果詞彙後之文本版本下，</w:t>
      </w:r>
      <w:r>
        <w:rPr>
          <w:rFonts w:ascii="Times New Roman" w:eastAsia="標楷體" w:hAnsi="Times New Roman"/>
        </w:rPr>
        <w:t xml:space="preserve">Chi-square + MNIR + SVM </w:t>
      </w:r>
      <w:r>
        <w:rPr>
          <w:rFonts w:ascii="Times New Roman" w:eastAsia="標楷體" w:hAnsi="Times New Roman"/>
        </w:rPr>
        <w:t>可形成一套可執行的智慧財產權判決文本分類流程；然而，在本研究資料與超參數設定下，</w:t>
      </w:r>
      <w:r>
        <w:rPr>
          <w:rFonts w:ascii="Times New Roman" w:eastAsia="標楷體" w:hAnsi="Times New Roman"/>
        </w:rPr>
        <w:t xml:space="preserve">MNIR+SVM </w:t>
      </w:r>
      <w:r>
        <w:rPr>
          <w:rFonts w:ascii="Times New Roman" w:eastAsia="標楷體" w:hAnsi="Times New Roman"/>
        </w:rPr>
        <w:t>未相較</w:t>
      </w:r>
      <w:r>
        <w:rPr>
          <w:rFonts w:ascii="Times New Roman" w:eastAsia="標楷體" w:hAnsi="Times New Roman"/>
        </w:rPr>
        <w:t xml:space="preserve"> Direct SVM </w:t>
      </w:r>
      <w:r>
        <w:rPr>
          <w:rFonts w:ascii="Times New Roman" w:eastAsia="標楷體" w:hAnsi="Times New Roman"/>
        </w:rPr>
        <w:t>帶來額外增益。四類資料集中，</w:t>
      </w:r>
      <w:r>
        <w:rPr>
          <w:rFonts w:ascii="Times New Roman" w:eastAsia="標楷體" w:hAnsi="Times New Roman"/>
        </w:rPr>
        <w:t xml:space="preserve">Direct SVM </w:t>
      </w:r>
      <w:r>
        <w:rPr>
          <w:rFonts w:ascii="Times New Roman" w:eastAsia="標楷體" w:hAnsi="Times New Roman"/>
        </w:rPr>
        <w:t>皆取得高於</w:t>
      </w:r>
      <w:r>
        <w:rPr>
          <w:rFonts w:ascii="Times New Roman" w:eastAsia="標楷體" w:hAnsi="Times New Roman"/>
        </w:rPr>
        <w:t xml:space="preserve"> MNIR+SVM </w:t>
      </w:r>
      <w:r>
        <w:rPr>
          <w:rFonts w:ascii="Times New Roman" w:eastAsia="標楷體" w:hAnsi="Times New Roman"/>
        </w:rPr>
        <w:t>的</w:t>
      </w:r>
      <w:r>
        <w:rPr>
          <w:rFonts w:ascii="Times New Roman" w:eastAsia="標楷體" w:hAnsi="Times New Roman"/>
        </w:rPr>
        <w:t xml:space="preserve"> Macro F1</w:t>
      </w:r>
      <w:r>
        <w:rPr>
          <w:rFonts w:ascii="Times New Roman" w:eastAsia="標楷體" w:hAnsi="Times New Roman"/>
        </w:rPr>
        <w:t>，差距介於</w:t>
      </w:r>
      <w:r>
        <w:rPr>
          <w:rFonts w:ascii="Times New Roman" w:eastAsia="標楷體" w:hAnsi="Times New Roman"/>
        </w:rPr>
        <w:t xml:space="preserve"> 0.062 </w:t>
      </w:r>
      <w:r>
        <w:rPr>
          <w:rFonts w:ascii="Times New Roman" w:eastAsia="標楷體" w:hAnsi="Times New Roman"/>
        </w:rPr>
        <w:t>至</w:t>
      </w:r>
      <w:r>
        <w:rPr>
          <w:rFonts w:ascii="Times New Roman" w:eastAsia="標楷體" w:hAnsi="Times New Roman"/>
        </w:rPr>
        <w:t xml:space="preserve"> 0.187</w:t>
      </w:r>
      <w:r>
        <w:rPr>
          <w:rFonts w:ascii="Times New Roman" w:eastAsia="標楷體" w:hAnsi="Times New Roman"/>
        </w:rPr>
        <w:t>，顯示卡方特徵選擇後之稀疏文字特徵已保留相當程度的分類訊息。</w:t>
      </w:r>
    </w:p>
    <w:p w14:paraId="42D336C3" w14:textId="77777777" w:rsidR="00641412" w:rsidRDefault="00000000">
      <w:pPr>
        <w:spacing w:after="120" w:line="276" w:lineRule="auto"/>
        <w:ind w:firstLine="480"/>
      </w:pPr>
      <w:r>
        <w:rPr>
          <w:rFonts w:ascii="Times New Roman" w:eastAsia="標楷體" w:hAnsi="Times New Roman"/>
        </w:rPr>
        <w:t>不同文字特徵表示方面，</w:t>
      </w:r>
      <w:r>
        <w:rPr>
          <w:rFonts w:ascii="Times New Roman" w:eastAsia="標楷體" w:hAnsi="Times New Roman"/>
        </w:rPr>
        <w:t>BoW</w:t>
      </w:r>
      <w:r>
        <w:rPr>
          <w:rFonts w:ascii="Times New Roman" w:eastAsia="標楷體" w:hAnsi="Times New Roman"/>
        </w:rPr>
        <w:t>、</w:t>
      </w:r>
      <w:r>
        <w:rPr>
          <w:rFonts w:ascii="Times New Roman" w:eastAsia="標楷體" w:hAnsi="Times New Roman"/>
        </w:rPr>
        <w:t xml:space="preserve">TF </w:t>
      </w:r>
      <w:r>
        <w:rPr>
          <w:rFonts w:ascii="Times New Roman" w:eastAsia="標楷體" w:hAnsi="Times New Roman"/>
        </w:rPr>
        <w:t>與</w:t>
      </w:r>
      <w:r>
        <w:rPr>
          <w:rFonts w:ascii="Times New Roman" w:eastAsia="標楷體" w:hAnsi="Times New Roman"/>
        </w:rPr>
        <w:t xml:space="preserve"> TF-IDF </w:t>
      </w:r>
      <w:r>
        <w:rPr>
          <w:rFonts w:ascii="Times New Roman" w:eastAsia="標楷體" w:hAnsi="Times New Roman"/>
        </w:rPr>
        <w:t>並無單一方法在所有資料集皆最佳。行政與刑事附帶民事資料集以</w:t>
      </w:r>
      <w:r>
        <w:rPr>
          <w:rFonts w:ascii="Times New Roman" w:eastAsia="標楷體" w:hAnsi="Times New Roman"/>
        </w:rPr>
        <w:t xml:space="preserve"> BoW </w:t>
      </w:r>
      <w:r>
        <w:rPr>
          <w:rFonts w:ascii="Times New Roman" w:eastAsia="標楷體" w:hAnsi="Times New Roman"/>
        </w:rPr>
        <w:t>表現相對較佳，民事資料集以</w:t>
      </w:r>
      <w:r>
        <w:rPr>
          <w:rFonts w:ascii="Times New Roman" w:eastAsia="標楷體" w:hAnsi="Times New Roman"/>
        </w:rPr>
        <w:t xml:space="preserve"> TF-IDF </w:t>
      </w:r>
      <w:r>
        <w:rPr>
          <w:rFonts w:ascii="Times New Roman" w:eastAsia="標楷體" w:hAnsi="Times New Roman"/>
        </w:rPr>
        <w:t>表現相對較佳，刑事資料集則以</w:t>
      </w:r>
      <w:r>
        <w:rPr>
          <w:rFonts w:ascii="Times New Roman" w:eastAsia="標楷體" w:hAnsi="Times New Roman"/>
        </w:rPr>
        <w:t xml:space="preserve"> TF </w:t>
      </w:r>
      <w:r>
        <w:rPr>
          <w:rFonts w:ascii="Times New Roman" w:eastAsia="標楷體" w:hAnsi="Times New Roman"/>
        </w:rPr>
        <w:t>表現相對較佳。此結果說明，法律文本分類需依案件類型與資料特性選擇文字表示方式，而不宜預設單一特徵表示必然最佳。</w:t>
      </w:r>
    </w:p>
    <w:p w14:paraId="3BE8AF7B" w14:textId="77777777" w:rsidR="00641412" w:rsidRDefault="00000000">
      <w:pPr>
        <w:spacing w:after="120" w:line="276" w:lineRule="auto"/>
        <w:ind w:firstLine="480"/>
      </w:pPr>
      <w:r>
        <w:rPr>
          <w:rFonts w:ascii="Times New Roman" w:eastAsia="標楷體" w:hAnsi="Times New Roman"/>
        </w:rPr>
        <w:t>由於本章統一採用移除明顯裁判結果詞彙後之文本版本，結果解讀應限縮於此一文本處理條件下，不應進一步宣稱模型已完全排除所有資料洩漏可能。最後，民事案件錯誤分析顯示，模型主要能辨識</w:t>
      </w:r>
      <w:r>
        <w:rPr>
          <w:rFonts w:ascii="Times New Roman" w:eastAsia="標楷體" w:hAnsi="Times New Roman"/>
        </w:rPr>
        <w:t xml:space="preserve"> Lose </w:t>
      </w:r>
      <w:r>
        <w:rPr>
          <w:rFonts w:ascii="Times New Roman" w:eastAsia="標楷體" w:hAnsi="Times New Roman"/>
        </w:rPr>
        <w:t>類別，但對</w:t>
      </w:r>
      <w:r>
        <w:rPr>
          <w:rFonts w:ascii="Times New Roman" w:eastAsia="標楷體" w:hAnsi="Times New Roman"/>
        </w:rPr>
        <w:t xml:space="preserve"> Mixed </w:t>
      </w:r>
      <w:r>
        <w:rPr>
          <w:rFonts w:ascii="Times New Roman" w:eastAsia="標楷體" w:hAnsi="Times New Roman"/>
        </w:rPr>
        <w:t>與</w:t>
      </w:r>
      <w:r>
        <w:rPr>
          <w:rFonts w:ascii="Times New Roman" w:eastAsia="標楷體" w:hAnsi="Times New Roman"/>
        </w:rPr>
        <w:t xml:space="preserve"> Win </w:t>
      </w:r>
      <w:r>
        <w:rPr>
          <w:rFonts w:ascii="Times New Roman" w:eastAsia="標楷體" w:hAnsi="Times New Roman"/>
        </w:rPr>
        <w:t>類別仍存在明顯限制。民事案件最佳</w:t>
      </w:r>
      <w:r>
        <w:rPr>
          <w:rFonts w:ascii="Times New Roman" w:eastAsia="標楷體" w:hAnsi="Times New Roman"/>
        </w:rPr>
        <w:t xml:space="preserve"> Direct SVM </w:t>
      </w:r>
      <w:r>
        <w:rPr>
          <w:rFonts w:ascii="Times New Roman" w:eastAsia="標楷體" w:hAnsi="Times New Roman"/>
        </w:rPr>
        <w:t>模型雖高於</w:t>
      </w:r>
      <w:r>
        <w:rPr>
          <w:rFonts w:ascii="Times New Roman" w:eastAsia="標楷體" w:hAnsi="Times New Roman"/>
        </w:rPr>
        <w:t xml:space="preserve"> Majority Class baseline</w:t>
      </w:r>
      <w:r>
        <w:rPr>
          <w:rFonts w:ascii="Times New Roman" w:eastAsia="標楷體" w:hAnsi="Times New Roman"/>
        </w:rPr>
        <w:t>，但</w:t>
      </w:r>
      <w:r>
        <w:rPr>
          <w:rFonts w:ascii="Times New Roman" w:eastAsia="標楷體" w:hAnsi="Times New Roman"/>
        </w:rPr>
        <w:t xml:space="preserve"> Mixed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僅為</w:t>
      </w:r>
      <w:r>
        <w:rPr>
          <w:rFonts w:ascii="Times New Roman" w:eastAsia="標楷體" w:hAnsi="Times New Roman"/>
        </w:rPr>
        <w:t xml:space="preserve"> 0.352</w:t>
      </w:r>
      <w:r>
        <w:rPr>
          <w:rFonts w:ascii="Times New Roman" w:eastAsia="標楷體" w:hAnsi="Times New Roman"/>
        </w:rPr>
        <w:t>，</w:t>
      </w:r>
      <w:r>
        <w:rPr>
          <w:rFonts w:ascii="Times New Roman" w:eastAsia="標楷體" w:hAnsi="Times New Roman"/>
        </w:rPr>
        <w:t xml:space="preserve">Win </w:t>
      </w:r>
      <w:r>
        <w:rPr>
          <w:rFonts w:ascii="Times New Roman" w:eastAsia="標楷體" w:hAnsi="Times New Roman"/>
        </w:rPr>
        <w:t>類別</w:t>
      </w:r>
      <w:r>
        <w:rPr>
          <w:rFonts w:ascii="Times New Roman" w:eastAsia="標楷體" w:hAnsi="Times New Roman"/>
        </w:rPr>
        <w:t xml:space="preserve"> F1-score </w:t>
      </w:r>
      <w:r>
        <w:rPr>
          <w:rFonts w:ascii="Times New Roman" w:eastAsia="標楷體" w:hAnsi="Times New Roman"/>
        </w:rPr>
        <w:t>僅為</w:t>
      </w:r>
      <w:r>
        <w:rPr>
          <w:rFonts w:ascii="Times New Roman" w:eastAsia="標楷體" w:hAnsi="Times New Roman"/>
        </w:rPr>
        <w:t xml:space="preserve"> 0.130</w:t>
      </w:r>
      <w:r>
        <w:rPr>
          <w:rFonts w:ascii="Times New Roman" w:eastAsia="標楷體" w:hAnsi="Times New Roman"/>
        </w:rPr>
        <w:t>，且</w:t>
      </w:r>
      <w:r>
        <w:rPr>
          <w:rFonts w:ascii="Times New Roman" w:eastAsia="標楷體" w:hAnsi="Times New Roman"/>
        </w:rPr>
        <w:t xml:space="preserve"> Win recall </w:t>
      </w:r>
      <w:r>
        <w:rPr>
          <w:rFonts w:ascii="Times New Roman" w:eastAsia="標楷體" w:hAnsi="Times New Roman"/>
        </w:rPr>
        <w:t>僅為</w:t>
      </w:r>
      <w:r>
        <w:rPr>
          <w:rFonts w:ascii="Times New Roman" w:eastAsia="標楷體" w:hAnsi="Times New Roman"/>
        </w:rPr>
        <w:t xml:space="preserve"> 0.081</w:t>
      </w:r>
      <w:r>
        <w:rPr>
          <w:rFonts w:ascii="Times New Roman" w:eastAsia="標楷體" w:hAnsi="Times New Roman"/>
        </w:rPr>
        <w:t>。整體而言，本研究模型可被理解為在主要類別上具有一定分類能</w:t>
      </w:r>
      <w:r>
        <w:rPr>
          <w:rFonts w:ascii="Times New Roman" w:eastAsia="標楷體" w:hAnsi="Times New Roman"/>
        </w:rPr>
        <w:lastRenderedPageBreak/>
        <w:t>力，但尚不能被解讀為已能完整預測所有裁判結果。關於本研究結果與既有法律文本分類文獻之異同比較，將於第五章進一步討論。</w:t>
      </w:r>
    </w:p>
    <w:p w14:paraId="68A0D6F3" w14:textId="77777777" w:rsidR="0067454C" w:rsidRDefault="00970794">
      <w:pPr>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 w:val="28"/>
          <w:szCs w:val="28"/>
        </w:rPr>
        <w:t>結論與建議</w:t>
      </w:r>
    </w:p>
    <w:p w14:paraId="7D631D3D"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5.1 </w:t>
      </w:r>
      <w:r w:rsidRPr="00970794">
        <w:rPr>
          <w:rFonts w:ascii="Times New Roman" w:eastAsia="標楷體" w:hAnsi="Times New Roman" w:cs="Times New Roman"/>
          <w:b/>
          <w:bCs/>
          <w:sz w:val="28"/>
          <w:szCs w:val="28"/>
        </w:rPr>
        <w:t>研究結論</w:t>
      </w:r>
    </w:p>
    <w:p w14:paraId="5E659BC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B1518D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73671F96"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本研究首先以</w:t>
      </w:r>
      <w:r w:rsidRPr="00970794">
        <w:rPr>
          <w:rFonts w:ascii="Times New Roman" w:eastAsia="標楷體" w:hAnsi="Times New Roman" w:cs="Times New Roman"/>
          <w:b/>
          <w:bCs/>
          <w:sz w:val="28"/>
          <w:szCs w:val="28"/>
        </w:rPr>
        <w:t xml:space="preserve"> Chi-square + MNIR + SVM </w:t>
      </w:r>
      <w:r w:rsidRPr="00970794">
        <w:rPr>
          <w:rFonts w:ascii="Times New Roman" w:eastAsia="標楷體" w:hAnsi="Times New Roman" w:cs="Times New Roman"/>
          <w:b/>
          <w:bCs/>
          <w:sz w:val="28"/>
          <w:szCs w:val="28"/>
        </w:rPr>
        <w:t>作為核心技術流程，目的在於檢驗</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監督式特徵轉換是否能將高維法律文本特徵轉換為較具判別力的低維表示，進而改善裁判結果分類。然而，實證結果顯示，在本研究資料、標籤設定與超參數範圍下，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雖可形成一套可執行的分類流程，但未相較於</w:t>
      </w:r>
      <w:r w:rsidRPr="00970794">
        <w:rPr>
          <w:rFonts w:ascii="Times New Roman" w:eastAsia="標楷體" w:hAnsi="Times New Roman" w:cs="Times New Roman"/>
          <w:b/>
          <w:bCs/>
          <w:sz w:val="28"/>
          <w:szCs w:val="28"/>
        </w:rPr>
        <w:t xml:space="preserve"> Chi-square + Direct SVM </w:t>
      </w:r>
      <w:r w:rsidRPr="00970794">
        <w:rPr>
          <w:rFonts w:ascii="Times New Roman" w:eastAsia="標楷體" w:hAnsi="Times New Roman" w:cs="Times New Roman"/>
          <w:b/>
          <w:bCs/>
          <w:sz w:val="28"/>
          <w:szCs w:val="28"/>
        </w:rPr>
        <w:t>取得更佳表現。四類案件資料集中，</w:t>
      </w:r>
      <w:r w:rsidRPr="00970794">
        <w:rPr>
          <w:rFonts w:ascii="Times New Roman" w:eastAsia="標楷體" w:hAnsi="Times New Roman" w:cs="Times New Roman"/>
          <w:b/>
          <w:bCs/>
          <w:sz w:val="28"/>
          <w:szCs w:val="28"/>
        </w:rPr>
        <w:t xml:space="preserve">Direct SVM </w:t>
      </w:r>
      <w:r w:rsidRPr="00970794">
        <w:rPr>
          <w:rFonts w:ascii="Times New Roman" w:eastAsia="標楷體" w:hAnsi="Times New Roman" w:cs="Times New Roman"/>
          <w:b/>
          <w:bCs/>
          <w:sz w:val="28"/>
          <w:szCs w:val="28"/>
        </w:rPr>
        <w:t>的</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皆高於</w:t>
      </w:r>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lastRenderedPageBreak/>
        <w:t>MNIR+SVM</w:t>
      </w:r>
      <w:r w:rsidRPr="00970794">
        <w:rPr>
          <w:rFonts w:ascii="Times New Roman" w:eastAsia="標楷體" w:hAnsi="Times New Roman" w:cs="Times New Roman"/>
          <w:b/>
          <w:bCs/>
          <w:sz w:val="28"/>
          <w:szCs w:val="28"/>
        </w:rPr>
        <w:t>，顯示卡方特徵選擇後的稀疏文字特徵已保留相當程度與裁判結果相關的分類訊息。因此，本研究並不將此結果解讀為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方法本身無效，而是指出在本研究任務中，直接使用篩選後之高維稀疏詞彙特徵，反而較能保留分類所需訊息。</w:t>
      </w:r>
    </w:p>
    <w:p w14:paraId="5633A6EA"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其次，不同文字特徵表示在不同案件類型下呈現不同效果。</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並無單一方法在所有案件類型中皆為最佳。行政與刑事附帶民事案件中，</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表現相對較佳；民事案件中，</w:t>
      </w:r>
      <w:r w:rsidRPr="00970794">
        <w:rPr>
          <w:rFonts w:ascii="Times New Roman" w:eastAsia="標楷體" w:hAnsi="Times New Roman" w:cs="Times New Roman"/>
          <w:b/>
          <w:bCs/>
          <w:sz w:val="28"/>
          <w:szCs w:val="28"/>
        </w:rPr>
        <w:t xml:space="preserve">TF-IDF </w:t>
      </w:r>
      <w:r w:rsidRPr="00970794">
        <w:rPr>
          <w:rFonts w:ascii="Times New Roman" w:eastAsia="標楷體" w:hAnsi="Times New Roman" w:cs="Times New Roman"/>
          <w:b/>
          <w:bCs/>
          <w:sz w:val="28"/>
          <w:szCs w:val="28"/>
        </w:rPr>
        <w:t>表現相對較佳；刑事案件中，</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表現相對較佳。此結果說明，法律文本分類不宜預設某一種文字表示必然優於其他方法，而應依案件類型、文本結構與詞彙分布進行比較。</w:t>
      </w:r>
    </w:p>
    <w:p w14:paraId="16974EB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樣本被誤判為</w:t>
      </w:r>
      <w:r w:rsidRPr="00970794">
        <w:rPr>
          <w:rFonts w:ascii="Times New Roman" w:eastAsia="標楷體" w:hAnsi="Times New Roman" w:cs="Times New Roman"/>
          <w:b/>
          <w:bCs/>
          <w:sz w:val="28"/>
          <w:szCs w:val="28"/>
        </w:rPr>
        <w:t xml:space="preserve"> Lose</w:t>
      </w:r>
      <w:r w:rsidRPr="00970794">
        <w:rPr>
          <w:rFonts w:ascii="Times New Roman" w:eastAsia="標楷體" w:hAnsi="Times New Roman" w:cs="Times New Roman"/>
          <w:b/>
          <w:bCs/>
          <w:sz w:val="28"/>
          <w:szCs w:val="28"/>
        </w:rPr>
        <w:t>，表示模型仍有偏向多數類別的傾向。此結果說明，即使模型整體</w:t>
      </w:r>
      <w:r w:rsidRPr="00970794">
        <w:rPr>
          <w:rFonts w:ascii="Times New Roman" w:eastAsia="標楷體" w:hAnsi="Times New Roman" w:cs="Times New Roman"/>
          <w:b/>
          <w:bCs/>
          <w:sz w:val="28"/>
          <w:szCs w:val="28"/>
        </w:rPr>
        <w:t xml:space="preserve"> Accuracy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高於基準模型，也不能直接解讀為模型已能完整預測所有裁判結果。較精確地說，本研究模型能在主要類別上形成一定分類能力，但對少數且語意界線較模糊的裁判結果仍存在明顯限制。</w:t>
      </w:r>
    </w:p>
    <w:p w14:paraId="45B408BE"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5.2 </w:t>
      </w:r>
      <w:r w:rsidRPr="00970794">
        <w:rPr>
          <w:rFonts w:ascii="Times New Roman" w:eastAsia="標楷體" w:hAnsi="Times New Roman" w:cs="Times New Roman"/>
          <w:b/>
          <w:bCs/>
          <w:sz w:val="28"/>
          <w:szCs w:val="28"/>
        </w:rPr>
        <w:t>研究貢獻</w:t>
      </w:r>
    </w:p>
    <w:p w14:paraId="26C02C54"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w:t>
      </w:r>
      <w:r w:rsidRPr="00970794">
        <w:rPr>
          <w:rFonts w:ascii="Times New Roman" w:eastAsia="標楷體" w:hAnsi="Times New Roman" w:cs="Times New Roman"/>
          <w:b/>
          <w:bCs/>
          <w:sz w:val="28"/>
          <w:szCs w:val="28"/>
        </w:rPr>
        <w:lastRenderedPageBreak/>
        <w:t>別不平衡與案件異質性，也使本研究不僅觀察整體準確率，更能檢視模型在不同裁判結果類別上的辨識能力。</w:t>
      </w:r>
    </w:p>
    <w:p w14:paraId="35715B0C"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第二，本研究提供</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監督式特徵轉換應用於中文智慧財產權判決文本分類任務之實證檢驗。</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理論上可將高維文本資料轉換為與裁判結果相關的低維表徵，進而作為下游分類模型之輸入。然而，本研究結果顯示，在卡方特徵選擇已先行保留高關聯詞彙的情況下，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未相較於</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取得較佳</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。此結果並不表示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14:paraId="58BEAE9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第三，本研究透過</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對照流程，說明傳統稀疏文字特徵模型在法律文本分類中仍具有重要基準價值。實證結果顯示，經卡方特徵選擇後之</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特徵，在不同案件類型中呈現不同表現，且</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在四類案件中皆高於</w:t>
      </w:r>
      <w:r w:rsidRPr="00970794">
        <w:rPr>
          <w:rFonts w:ascii="Times New Roman" w:eastAsia="標楷體" w:hAnsi="Times New Roman" w:cs="Times New Roman"/>
          <w:b/>
          <w:bCs/>
          <w:sz w:val="28"/>
          <w:szCs w:val="28"/>
        </w:rPr>
        <w:t xml:space="preserve"> Majority Class baseline</w:t>
      </w:r>
      <w:r w:rsidRPr="00970794">
        <w:rPr>
          <w:rFonts w:ascii="Times New Roman" w:eastAsia="標楷體" w:hAnsi="Times New Roman" w:cs="Times New Roman"/>
          <w:b/>
          <w:bCs/>
          <w:sz w:val="28"/>
          <w:szCs w:val="28"/>
        </w:rPr>
        <w:t>。這表示在導入更複雜之特徵轉換或語意模型前，仍有必要先建立經過調參與特徵選擇的傳統模型作為比較基準，避免高估複雜模型的實際增益。</w:t>
      </w:r>
    </w:p>
    <w:p w14:paraId="263D4295"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第四，本研究以</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、分類報告與混淆矩陣揭示類別不平衡對判決結果分類的影響。若僅觀察</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1730128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5.3 </w:t>
      </w:r>
      <w:r w:rsidRPr="00970794">
        <w:rPr>
          <w:rFonts w:ascii="Times New Roman" w:eastAsia="標楷體" w:hAnsi="Times New Roman" w:cs="Times New Roman"/>
          <w:b/>
          <w:bCs/>
          <w:sz w:val="28"/>
          <w:szCs w:val="28"/>
        </w:rPr>
        <w:t>研究限制</w:t>
      </w:r>
    </w:p>
    <w:p w14:paraId="2A440BC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0F83B9DE"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第二，本研究資料存在明顯類別不平衡。部分案件類型中，勝訴或部分勝訴樣本數相對較少，使模型較容易偏向預測敗訴類別。即使本研究以</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作為主要評估指標，仍無法完全解決少數類別資料不足所造成的學習限制。尤其在民事案件錯誤分析中，</w:t>
      </w:r>
      <w:r w:rsidRPr="00970794">
        <w:rPr>
          <w:rFonts w:ascii="Times New Roman" w:eastAsia="標楷體" w:hAnsi="Times New Roman" w:cs="Times New Roman"/>
          <w:b/>
          <w:bCs/>
          <w:sz w:val="28"/>
          <w:szCs w:val="28"/>
        </w:rPr>
        <w:t xml:space="preserve">Win </w:t>
      </w:r>
      <w:r w:rsidRPr="00970794">
        <w:rPr>
          <w:rFonts w:ascii="Times New Roman" w:eastAsia="標楷體" w:hAnsi="Times New Roman" w:cs="Times New Roman"/>
          <w:b/>
          <w:bCs/>
          <w:sz w:val="28"/>
          <w:szCs w:val="28"/>
        </w:rPr>
        <w:t>類別</w:t>
      </w:r>
      <w:r w:rsidRPr="00970794">
        <w:rPr>
          <w:rFonts w:ascii="Times New Roman" w:eastAsia="標楷體" w:hAnsi="Times New Roman" w:cs="Times New Roman"/>
          <w:b/>
          <w:bCs/>
          <w:sz w:val="28"/>
          <w:szCs w:val="28"/>
        </w:rPr>
        <w:t xml:space="preserve"> recall </w:t>
      </w:r>
      <w:r w:rsidRPr="00970794">
        <w:rPr>
          <w:rFonts w:ascii="Times New Roman" w:eastAsia="標楷體" w:hAnsi="Times New Roman" w:cs="Times New Roman"/>
          <w:b/>
          <w:bCs/>
          <w:sz w:val="28"/>
          <w:szCs w:val="28"/>
        </w:rPr>
        <w:t>明顯偏低，顯示模型對少數類別的辨識仍有改善空間。</w:t>
      </w:r>
    </w:p>
    <w:p w14:paraId="4B7E2974"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第三，本研究主要以</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42091CA2" w14:textId="77777777" w:rsid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第四，本研究採固定資料切分進行模型訓練、驗證與測試，雖可建立清楚且可重複的實驗流程，但若要進一步確認模型結果的穩定性，仍需透過重複切分、交叉驗證或外部測試資料進行檢驗。</w:t>
      </w:r>
    </w:p>
    <w:p w14:paraId="729C565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w:t>
      </w:r>
      <w:r w:rsidRPr="00970794">
        <w:rPr>
          <w:rFonts w:ascii="Times New Roman" w:eastAsia="標楷體" w:hAnsi="Times New Roman" w:cs="Times New Roman"/>
          <w:b/>
          <w:bCs/>
          <w:sz w:val="28"/>
          <w:szCs w:val="28"/>
        </w:rPr>
        <w:lastRenderedPageBreak/>
        <w:t>件，尚未納入和解案件所反映之訴訟策略、當事人風險評估與案件強弱訊息。此一限制意味著，本研究結果不宜直接推論至所有智慧財產權紛爭，而應限縮於公開裁判書中具備明確裁判結果之案件。</w:t>
      </w:r>
    </w:p>
    <w:p w14:paraId="72A9C34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5.4 </w:t>
      </w:r>
      <w:r w:rsidRPr="00970794">
        <w:rPr>
          <w:rFonts w:ascii="Times New Roman" w:eastAsia="標楷體" w:hAnsi="Times New Roman" w:cs="Times New Roman"/>
          <w:b/>
          <w:bCs/>
          <w:sz w:val="28"/>
          <w:szCs w:val="28"/>
        </w:rPr>
        <w:t>後續研究建議</w:t>
      </w:r>
    </w:p>
    <w:p w14:paraId="75B5CCD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未來研究可從三個方向延伸。第一，可針對類別不平衡問題進行更細緻處理，例如導入</w:t>
      </w:r>
      <w:r w:rsidRPr="00970794">
        <w:rPr>
          <w:rFonts w:ascii="Times New Roman" w:eastAsia="標楷體" w:hAnsi="Times New Roman" w:cs="Times New Roman"/>
          <w:b/>
          <w:bCs/>
          <w:sz w:val="28"/>
          <w:szCs w:val="28"/>
        </w:rPr>
        <w:t xml:space="preserve"> class weighting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over-sampling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under-sampling </w:t>
      </w:r>
      <w:r w:rsidRPr="00970794">
        <w:rPr>
          <w:rFonts w:ascii="Times New Roman" w:eastAsia="標楷體" w:hAnsi="Times New Roman" w:cs="Times New Roman"/>
          <w:b/>
          <w:bCs/>
          <w:sz w:val="28"/>
          <w:szCs w:val="28"/>
        </w:rPr>
        <w:t>或</w:t>
      </w:r>
      <w:r w:rsidRPr="00970794">
        <w:rPr>
          <w:rFonts w:ascii="Times New Roman" w:eastAsia="標楷體" w:hAnsi="Times New Roman" w:cs="Times New Roman"/>
          <w:b/>
          <w:bCs/>
          <w:sz w:val="28"/>
          <w:szCs w:val="28"/>
        </w:rPr>
        <w:t xml:space="preserve"> threshold adjustment</w:t>
      </w:r>
      <w:r w:rsidRPr="00970794">
        <w:rPr>
          <w:rFonts w:ascii="Times New Roman" w:eastAsia="標楷體" w:hAnsi="Times New Roman" w:cs="Times New Roman"/>
          <w:b/>
          <w:bCs/>
          <w:sz w:val="28"/>
          <w:szCs w:val="28"/>
        </w:rPr>
        <w:t>，以提升模型對</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類別的辨識能力。由於智慧財產權案件中的勝訴或部分勝訴結果具有重要實務意義，若模型無法辨識此類少數結果，其實務應用價值將受到限制。</w:t>
      </w:r>
    </w:p>
    <w:p w14:paraId="5A7F4D2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第二，後續研究可進一步分析高卡方詞彙、</w:t>
      </w:r>
      <w:r w:rsidRPr="00970794">
        <w:rPr>
          <w:rFonts w:ascii="Times New Roman" w:eastAsia="標楷體" w:hAnsi="Times New Roman" w:cs="Times New Roman"/>
          <w:b/>
          <w:bCs/>
          <w:sz w:val="28"/>
          <w:szCs w:val="28"/>
        </w:rPr>
        <w:t xml:space="preserve">SVM </w:t>
      </w:r>
      <w:r w:rsidRPr="00970794">
        <w:rPr>
          <w:rFonts w:ascii="Times New Roman" w:eastAsia="標楷體" w:hAnsi="Times New Roman" w:cs="Times New Roman"/>
          <w:b/>
          <w:bCs/>
          <w:sz w:val="28"/>
          <w:szCs w:val="28"/>
        </w:rPr>
        <w:t>權重或</w:t>
      </w:r>
      <w:r w:rsidRPr="00970794">
        <w:rPr>
          <w:rFonts w:ascii="Times New Roman" w:eastAsia="標楷體" w:hAnsi="Times New Roman" w:cs="Times New Roman"/>
          <w:b/>
          <w:bCs/>
          <w:sz w:val="28"/>
          <w:szCs w:val="28"/>
        </w:rPr>
        <w:t xml:space="preserve"> MNIR loading</w:t>
      </w:r>
      <w:r w:rsidRPr="00970794">
        <w:rPr>
          <w:rFonts w:ascii="Times New Roman" w:eastAsia="標楷體" w:hAnsi="Times New Roman" w:cs="Times New Roman"/>
          <w:b/>
          <w:bCs/>
          <w:sz w:val="28"/>
          <w:szCs w:val="28"/>
        </w:rPr>
        <w:t>，以確認模型究竟依賴哪些法律詞彙或案件語境進行分類。如此可提升模型可解釋性，也有助於判斷模型是否真正捕捉到法律爭點、請求類型與裁判理由，而非僅學習到表面詞彙關聯。</w:t>
      </w:r>
    </w:p>
    <w:p w14:paraId="60BFF2A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第三，未來可結合傳統稀疏文字模型與語意型模型，例如</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LegalBERT</w:t>
      </w:r>
      <w:proofErr w:type="spellEnd"/>
      <w:r w:rsidRPr="00970794">
        <w:rPr>
          <w:rFonts w:ascii="Times New Roman" w:eastAsia="標楷體" w:hAnsi="Times New Roman" w:cs="Times New Roman"/>
          <w:b/>
          <w:bCs/>
          <w:sz w:val="28"/>
          <w:szCs w:val="28"/>
        </w:rPr>
        <w:t>、</w:t>
      </w:r>
      <w:proofErr w:type="spellStart"/>
      <w:r w:rsidRPr="00970794">
        <w:rPr>
          <w:rFonts w:ascii="Times New Roman" w:eastAsia="標楷體" w:hAnsi="Times New Roman" w:cs="Times New Roman"/>
          <w:b/>
          <w:bCs/>
          <w:sz w:val="28"/>
          <w:szCs w:val="28"/>
        </w:rPr>
        <w:t>Longformer</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或其他適合長文本的語言模型。傳統模型具有計算效率與可解釋性優勢，但語意模型可能更能捕捉法律文本中的上下文關係與長距離推論。後續研究可將二者並列比較，檢驗在中文智慧財產權判決文本中，複雜語意模型是否能真正改善少數類別辨識，而不只是提升整體</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w:t>
      </w:r>
    </w:p>
    <w:p w14:paraId="3ECC41C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5.5 </w:t>
      </w:r>
      <w:r w:rsidRPr="00970794">
        <w:rPr>
          <w:rFonts w:ascii="Times New Roman" w:eastAsia="標楷體" w:hAnsi="Times New Roman" w:cs="Times New Roman"/>
          <w:b/>
          <w:bCs/>
          <w:sz w:val="28"/>
          <w:szCs w:val="28"/>
        </w:rPr>
        <w:t>總結</w:t>
      </w:r>
    </w:p>
    <w:p w14:paraId="3D03BAEB"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整體而言，本研究證實，台灣智慧財產權判決文本中確實存在可供機器學習模型辨識之文字訊號。透過卡方特徵選擇、</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特徵轉換與</w:t>
      </w:r>
      <w:r w:rsidRPr="00970794">
        <w:rPr>
          <w:rFonts w:ascii="Times New Roman" w:eastAsia="標楷體" w:hAnsi="Times New Roman" w:cs="Times New Roman"/>
          <w:b/>
          <w:bCs/>
          <w:sz w:val="28"/>
          <w:szCs w:val="28"/>
        </w:rPr>
        <w:t xml:space="preserve"> SVM </w:t>
      </w:r>
      <w:r w:rsidRPr="00970794">
        <w:rPr>
          <w:rFonts w:ascii="Times New Roman" w:eastAsia="標楷體" w:hAnsi="Times New Roman" w:cs="Times New Roman"/>
          <w:b/>
          <w:bCs/>
          <w:sz w:val="28"/>
          <w:szCs w:val="28"/>
        </w:rPr>
        <w:t>分類模型之比較，本研究發現傳統稀疏文字特徵結合</w:t>
      </w:r>
      <w:r w:rsidRPr="00970794">
        <w:rPr>
          <w:rFonts w:ascii="Times New Roman" w:eastAsia="標楷體" w:hAnsi="Times New Roman" w:cs="Times New Roman"/>
          <w:b/>
          <w:bCs/>
          <w:sz w:val="28"/>
          <w:szCs w:val="28"/>
        </w:rPr>
        <w:t xml:space="preserve"> Direct SVM</w:t>
      </w:r>
      <w:r w:rsidRPr="00970794">
        <w:rPr>
          <w:rFonts w:ascii="Times New Roman" w:eastAsia="標楷體" w:hAnsi="Times New Roman" w:cs="Times New Roman"/>
          <w:b/>
          <w:bCs/>
          <w:sz w:val="28"/>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5326A47C" w14:textId="77777777" w:rsidR="0067454C" w:rsidRDefault="0067454C">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C80FE18" w14:textId="77777777"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4BA0986A" w14:textId="7777777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4"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6B03EF19"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5" w:history="1">
        <w:r w:rsidRPr="009C5A75">
          <w:rPr>
            <w:rStyle w:val="af0"/>
            <w:rFonts w:ascii="Times New Roman" w:eastAsia="標楷體" w:hAnsi="Times New Roman" w:cs="Times New Roman"/>
            <w:sz w:val="28"/>
            <w:szCs w:val="28"/>
          </w:rPr>
          <w:t>https://lawdata.com.tw/tw/doi/?doi=10.3966/181130952013121002001</w:t>
        </w:r>
      </w:hyperlink>
    </w:p>
    <w:p w14:paraId="10F8950F" w14:textId="7777777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6" w:history="1">
        <w:r w:rsidRPr="009C5A75">
          <w:rPr>
            <w:rStyle w:val="af0"/>
            <w:rFonts w:ascii="Times New Roman" w:eastAsia="標楷體" w:hAnsi="Times New Roman" w:cs="Times New Roman"/>
            <w:sz w:val="28"/>
            <w:szCs w:val="28"/>
          </w:rPr>
          <w:t>https://lawdata.com.tw/File/DC/Journal/J441/A00700047_001.pdf</w:t>
        </w:r>
      </w:hyperlink>
    </w:p>
    <w:p w14:paraId="2B7B2768" w14:textId="77777777"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7"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2EA39B25" w14:textId="77777777"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8" w:history="1">
        <w:r w:rsidRPr="009C5A75">
          <w:rPr>
            <w:rStyle w:val="af0"/>
            <w:rFonts w:ascii="Times New Roman" w:eastAsia="標楷體" w:hAnsi="Times New Roman" w:cs="Times New Roman"/>
            <w:sz w:val="28"/>
            <w:szCs w:val="28"/>
          </w:rPr>
          <w:t>https://blog.csdn.net/superY_26/article/details/114844370</w:t>
        </w:r>
      </w:hyperlink>
    </w:p>
    <w:p w14:paraId="5583B687" w14:textId="77777777"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9" w:history="1">
        <w:r w:rsidRPr="009C5A75">
          <w:rPr>
            <w:rStyle w:val="af0"/>
            <w:rFonts w:ascii="Times New Roman" w:eastAsia="標楷體" w:hAnsi="Times New Roman" w:cs="Times New Roman"/>
            <w:sz w:val="28"/>
            <w:szCs w:val="28"/>
          </w:rPr>
          <w:t>https://github.com/ckiplab/ckip-transformers</w:t>
        </w:r>
      </w:hyperlink>
    </w:p>
    <w:p w14:paraId="38FE3BF3" w14:textId="77777777"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0C4EAA21" w14:textId="77777777"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https://www.aeaweb.org/articles?id=10.1257/app.20160390</w:t>
        </w:r>
      </w:hyperlink>
    </w:p>
    <w:p w14:paraId="40E16717" w14:textId="77777777"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https://www.aeaweb.org/articles?id=10.1257/app.20170223</w:t>
        </w:r>
      </w:hyperlink>
    </w:p>
    <w:p w14:paraId="223CB28D" w14:textId="77777777"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https://academic.oup.com/jleo/article/31/1/93/989593</w:t>
        </w:r>
      </w:hyperlink>
    </w:p>
    <w:p w14:paraId="0D9A92DC" w14:textId="77777777"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https://papers.ssrn.com/sol3/papers.cfm?abstract_id=2726903</w:t>
        </w:r>
      </w:hyperlink>
    </w:p>
    <w:p w14:paraId="7E00A7E8" w14:textId="77777777"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https://arxiv.org/abs/2211.00974</w:t>
        </w:r>
      </w:hyperlink>
    </w:p>
    <w:p w14:paraId="7A367301" w14:textId="77777777"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6" w:history="1">
        <w:r w:rsidRPr="00CA65A5">
          <w:rPr>
            <w:rStyle w:val="af0"/>
            <w:rFonts w:ascii="Times New Roman" w:eastAsia="標楷體" w:hAnsi="Times New Roman" w:cs="Times New Roman"/>
            <w:sz w:val="28"/>
            <w:szCs w:val="28"/>
          </w:rPr>
          <w:t>https://arxiv.org/abs/2502.10990</w:t>
        </w:r>
      </w:hyperlink>
    </w:p>
    <w:p w14:paraId="15E6D3CB" w14:textId="77777777"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7" w:history="1">
        <w:r w:rsidRPr="00CA65A5">
          <w:rPr>
            <w:rStyle w:val="af0"/>
            <w:rFonts w:ascii="Times New Roman" w:eastAsia="標楷體" w:hAnsi="Times New Roman" w:cs="Times New Roman"/>
            <w:sz w:val="28"/>
            <w:szCs w:val="28"/>
          </w:rPr>
          <w:t>https://www.mdpi.com/2076-3417/11/21/10361</w:t>
        </w:r>
      </w:hyperlink>
    </w:p>
    <w:p w14:paraId="5357D1E9" w14:textId="77777777"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8" w:history="1">
        <w:r w:rsidRPr="00CA65A5">
          <w:rPr>
            <w:rStyle w:val="af0"/>
            <w:rFonts w:ascii="Times New Roman" w:eastAsia="標楷體" w:hAnsi="Times New Roman" w:cs="Times New Roman"/>
            <w:sz w:val="28"/>
            <w:szCs w:val="28"/>
          </w:rPr>
          <w:t>https://www.mdpi.com/2227-7390/10/5/683</w:t>
        </w:r>
      </w:hyperlink>
    </w:p>
    <w:p w14:paraId="6B1CB634" w14:textId="77777777" w:rsidR="00214D9F"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Aletras</w:t>
      </w:r>
      <w:proofErr w:type="spellEnd"/>
      <w:r w:rsidRPr="0067454C">
        <w:rPr>
          <w:rFonts w:ascii="Times New Roman" w:eastAsia="標楷體" w:hAnsi="Times New Roman" w:cs="Times New Roman"/>
          <w:sz w:val="28"/>
          <w:szCs w:val="28"/>
        </w:rPr>
        <w:t xml:space="preserve">, N., </w:t>
      </w:r>
      <w:proofErr w:type="spellStart"/>
      <w:r w:rsidRPr="0067454C">
        <w:rPr>
          <w:rFonts w:ascii="Times New Roman" w:eastAsia="標楷體" w:hAnsi="Times New Roman" w:cs="Times New Roman"/>
          <w:sz w:val="28"/>
          <w:szCs w:val="28"/>
        </w:rPr>
        <w:t>Tsarapatsanis</w:t>
      </w:r>
      <w:proofErr w:type="spellEnd"/>
      <w:r w:rsidRPr="0067454C">
        <w:rPr>
          <w:rFonts w:ascii="Times New Roman" w:eastAsia="標楷體" w:hAnsi="Times New Roman" w:cs="Times New Roman"/>
          <w:sz w:val="28"/>
          <w:szCs w:val="28"/>
        </w:rPr>
        <w:t xml:space="preserve">, D., </w:t>
      </w:r>
      <w:proofErr w:type="spellStart"/>
      <w:r w:rsidRPr="0067454C">
        <w:rPr>
          <w:rFonts w:ascii="Times New Roman" w:eastAsia="標楷體" w:hAnsi="Times New Roman" w:cs="Times New Roman"/>
          <w:sz w:val="28"/>
          <w:szCs w:val="28"/>
        </w:rPr>
        <w:t>Preoţiuc</w:t>
      </w:r>
      <w:proofErr w:type="spellEnd"/>
      <w:r w:rsidRPr="0067454C">
        <w:rPr>
          <w:rFonts w:ascii="Times New Roman" w:eastAsia="標楷體" w:hAnsi="Times New Roman" w:cs="Times New Roman"/>
          <w:sz w:val="28"/>
          <w:szCs w:val="28"/>
        </w:rPr>
        <w:t xml:space="preserve">-Pietro, D., &amp; Lampos, V. (2016). </w:t>
      </w:r>
      <w:r w:rsidRPr="0067454C">
        <w:rPr>
          <w:rFonts w:ascii="Times New Roman" w:eastAsia="標楷體" w:hAnsi="Times New Roman" w:cs="Times New Roman"/>
          <w:i/>
          <w:iCs/>
          <w:sz w:val="28"/>
          <w:szCs w:val="28"/>
        </w:rPr>
        <w:t>Predicting judicial decisions of the European Court of Human Rights: A natural language processing perspective</w:t>
      </w:r>
      <w:r w:rsidRPr="0067454C">
        <w:rPr>
          <w:rFonts w:ascii="Times New Roman" w:eastAsia="標楷體" w:hAnsi="Times New Roman" w:cs="Times New Roman"/>
          <w:sz w:val="28"/>
          <w:szCs w:val="28"/>
        </w:rPr>
        <w:t xml:space="preserve">. </w:t>
      </w:r>
      <w:proofErr w:type="spellStart"/>
      <w:r w:rsidRPr="0067454C">
        <w:rPr>
          <w:rFonts w:ascii="Times New Roman" w:eastAsia="標楷體" w:hAnsi="Times New Roman" w:cs="Times New Roman"/>
          <w:sz w:val="28"/>
          <w:szCs w:val="28"/>
        </w:rPr>
        <w:t>PeerJ</w:t>
      </w:r>
      <w:proofErr w:type="spellEnd"/>
      <w:r w:rsidRPr="0067454C">
        <w:rPr>
          <w:rFonts w:ascii="Times New Roman" w:eastAsia="標楷體" w:hAnsi="Times New Roman" w:cs="Times New Roman"/>
          <w:sz w:val="28"/>
          <w:szCs w:val="28"/>
        </w:rPr>
        <w:t xml:space="preserve"> Computer Science, 2, e93.</w:t>
      </w:r>
      <w:r>
        <w:rPr>
          <w:rFonts w:ascii="Times New Roman" w:eastAsia="標楷體" w:hAnsi="Times New Roman" w:cs="Times New Roman" w:hint="eastAsia"/>
          <w:sz w:val="28"/>
          <w:szCs w:val="28"/>
        </w:rPr>
        <w:t xml:space="preserve"> </w:t>
      </w:r>
      <w:hyperlink r:id="rId29" w:history="1">
        <w:r w:rsidRPr="00A13BE7">
          <w:rPr>
            <w:rStyle w:val="af0"/>
            <w:rFonts w:ascii="Times New Roman" w:eastAsia="標楷體" w:hAnsi="Times New Roman" w:cs="Times New Roman"/>
            <w:sz w:val="28"/>
            <w:szCs w:val="28"/>
          </w:rPr>
          <w:t>https://peerj.com/articles/cs-93/</w:t>
        </w:r>
      </w:hyperlink>
    </w:p>
    <w:p w14:paraId="4786CB92" w14:textId="77777777" w:rsidR="0067454C"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Surdeanu</w:t>
      </w:r>
      <w:proofErr w:type="spellEnd"/>
      <w:r w:rsidRPr="0067454C">
        <w:rPr>
          <w:rFonts w:ascii="Times New Roman" w:eastAsia="標楷體" w:hAnsi="Times New Roman" w:cs="Times New Roman"/>
          <w:sz w:val="28"/>
          <w:szCs w:val="28"/>
        </w:rPr>
        <w:t xml:space="preserve">, M., </w:t>
      </w:r>
      <w:proofErr w:type="spellStart"/>
      <w:r w:rsidRPr="0067454C">
        <w:rPr>
          <w:rFonts w:ascii="Times New Roman" w:eastAsia="標楷體" w:hAnsi="Times New Roman" w:cs="Times New Roman"/>
          <w:sz w:val="28"/>
          <w:szCs w:val="28"/>
        </w:rPr>
        <w:t>Nallapati</w:t>
      </w:r>
      <w:proofErr w:type="spellEnd"/>
      <w:r w:rsidRPr="0067454C">
        <w:rPr>
          <w:rFonts w:ascii="Times New Roman" w:eastAsia="標楷體" w:hAnsi="Times New Roman" w:cs="Times New Roman"/>
          <w:sz w:val="28"/>
          <w:szCs w:val="28"/>
        </w:rPr>
        <w:t xml:space="preserve">, R., Gregory, G., Walker, J., &amp; Manning, C. D. (2011). </w:t>
      </w:r>
      <w:r w:rsidRPr="0067454C">
        <w:rPr>
          <w:rFonts w:ascii="Times New Roman" w:eastAsia="標楷體" w:hAnsi="Times New Roman" w:cs="Times New Roman"/>
          <w:i/>
          <w:iCs/>
          <w:sz w:val="28"/>
          <w:szCs w:val="28"/>
        </w:rPr>
        <w:t>Risk analysis for intellectual property litigation</w:t>
      </w:r>
      <w:r w:rsidRPr="0067454C">
        <w:rPr>
          <w:rFonts w:ascii="Times New Roman" w:eastAsia="標楷體" w:hAnsi="Times New Roman" w:cs="Times New Roman"/>
          <w:sz w:val="28"/>
          <w:szCs w:val="28"/>
        </w:rPr>
        <w:t>. Proceedings of ICAIL 2011.</w:t>
      </w:r>
      <w:r w:rsidR="00970794">
        <w:rPr>
          <w:rFonts w:ascii="Times New Roman" w:eastAsia="標楷體" w:hAnsi="Times New Roman" w:cs="Times New Roman" w:hint="eastAsia"/>
          <w:sz w:val="28"/>
          <w:szCs w:val="28"/>
        </w:rPr>
        <w:t xml:space="preserve"> </w:t>
      </w:r>
      <w:hyperlink r:id="rId30" w:history="1">
        <w:r w:rsidR="00970794" w:rsidRPr="00A13BE7">
          <w:rPr>
            <w:rStyle w:val="af0"/>
            <w:rFonts w:ascii="Times New Roman" w:eastAsia="標楷體" w:hAnsi="Times New Roman" w:cs="Times New Roman"/>
            <w:sz w:val="28"/>
            <w:szCs w:val="28"/>
          </w:rPr>
          <w:t>https://www.researchgate.net/publication/221539045_Risk_Analysis_for_Intellectual_Property_Litigation</w:t>
        </w:r>
      </w:hyperlink>
    </w:p>
    <w:p w14:paraId="193C826C" w14:textId="777777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Feng, Y., et al. (2022). </w:t>
      </w:r>
      <w:r w:rsidRPr="00970794">
        <w:rPr>
          <w:rFonts w:ascii="Times New Roman" w:eastAsia="標楷體" w:hAnsi="Times New Roman" w:cs="Times New Roman"/>
          <w:i/>
          <w:iCs/>
          <w:sz w:val="28"/>
          <w:szCs w:val="28"/>
        </w:rPr>
        <w:t>Legal judgment prediction: A survey of the state of the art</w:t>
      </w:r>
      <w:r w:rsidRPr="00970794">
        <w:rPr>
          <w:rFonts w:ascii="Times New Roman" w:eastAsia="標楷體" w:hAnsi="Times New Roman" w:cs="Times New Roman"/>
          <w:sz w:val="28"/>
          <w:szCs w:val="28"/>
        </w:rPr>
        <w:t>. IJCAI 2022.</w:t>
      </w:r>
      <w:r>
        <w:rPr>
          <w:rFonts w:ascii="Times New Roman" w:eastAsia="標楷體" w:hAnsi="Times New Roman" w:cs="Times New Roman" w:hint="eastAsia"/>
          <w:sz w:val="28"/>
          <w:szCs w:val="28"/>
        </w:rPr>
        <w:t xml:space="preserve"> </w:t>
      </w:r>
      <w:hyperlink r:id="rId31" w:history="1">
        <w:r w:rsidRPr="00A13BE7">
          <w:rPr>
            <w:rStyle w:val="af0"/>
            <w:rFonts w:ascii="Times New Roman" w:eastAsia="標楷體" w:hAnsi="Times New Roman" w:cs="Times New Roman"/>
            <w:sz w:val="28"/>
            <w:szCs w:val="28"/>
          </w:rPr>
          <w:t>https://www.ijcai.org/proceedings/2022/0765.pdf</w:t>
        </w:r>
      </w:hyperlink>
    </w:p>
    <w:p w14:paraId="41642FAB" w14:textId="777777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Yang, S., et al. (2022). </w:t>
      </w:r>
      <w:r w:rsidRPr="00970794">
        <w:rPr>
          <w:rFonts w:ascii="Times New Roman" w:eastAsia="標楷體" w:hAnsi="Times New Roman" w:cs="Times New Roman"/>
          <w:i/>
          <w:iCs/>
          <w:sz w:val="28"/>
          <w:szCs w:val="28"/>
        </w:rPr>
        <w:t>MVE-FLK: A multi-task legal judgment prediction via multi-view and external feature learning</w:t>
      </w:r>
      <w:r w:rsidRPr="00970794">
        <w:rPr>
          <w:rFonts w:ascii="Times New Roman" w:eastAsia="標楷體" w:hAnsi="Times New Roman" w:cs="Times New Roman"/>
          <w:sz w:val="28"/>
          <w:szCs w:val="28"/>
        </w:rPr>
        <w:t>. Knowledge-Based Systems.</w:t>
      </w:r>
      <w:r>
        <w:rPr>
          <w:rFonts w:ascii="Times New Roman" w:eastAsia="標楷體" w:hAnsi="Times New Roman" w:cs="Times New Roman" w:hint="eastAsia"/>
          <w:sz w:val="28"/>
          <w:szCs w:val="28"/>
        </w:rPr>
        <w:t xml:space="preserve"> </w:t>
      </w:r>
      <w:hyperlink r:id="rId32" w:history="1">
        <w:r w:rsidRPr="00A13BE7">
          <w:rPr>
            <w:rStyle w:val="af0"/>
            <w:rFonts w:ascii="Times New Roman" w:eastAsia="標楷體" w:hAnsi="Times New Roman" w:cs="Times New Roman"/>
            <w:sz w:val="28"/>
            <w:szCs w:val="28"/>
          </w:rPr>
          <w:t>https://www.researchgate.net/publication/357135854_MVE-FLK_A_multi-task_legal_judgment_prediction_via_multi-view_encoder_fusing_legal_keywords</w:t>
        </w:r>
      </w:hyperlink>
    </w:p>
    <w:p w14:paraId="3B858312" w14:textId="77777777" w:rsidR="00970794" w:rsidRPr="0056672B"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Chalkidis, I., </w:t>
      </w:r>
      <w:proofErr w:type="spellStart"/>
      <w:r w:rsidRPr="00970794">
        <w:rPr>
          <w:rFonts w:ascii="Times New Roman" w:eastAsia="標楷體" w:hAnsi="Times New Roman" w:cs="Times New Roman"/>
          <w:sz w:val="28"/>
          <w:szCs w:val="28"/>
        </w:rPr>
        <w:t>Androutsopoulos</w:t>
      </w:r>
      <w:proofErr w:type="spellEnd"/>
      <w:r w:rsidRPr="00970794">
        <w:rPr>
          <w:rFonts w:ascii="Times New Roman" w:eastAsia="標楷體" w:hAnsi="Times New Roman" w:cs="Times New Roman"/>
          <w:sz w:val="28"/>
          <w:szCs w:val="28"/>
        </w:rPr>
        <w:t xml:space="preserve">, I., &amp; </w:t>
      </w:r>
      <w:proofErr w:type="spellStart"/>
      <w:r w:rsidRPr="00970794">
        <w:rPr>
          <w:rFonts w:ascii="Times New Roman" w:eastAsia="標楷體" w:hAnsi="Times New Roman" w:cs="Times New Roman"/>
          <w:sz w:val="28"/>
          <w:szCs w:val="28"/>
        </w:rPr>
        <w:t>Aletras</w:t>
      </w:r>
      <w:proofErr w:type="spellEnd"/>
      <w:r w:rsidRPr="00970794">
        <w:rPr>
          <w:rFonts w:ascii="Times New Roman" w:eastAsia="標楷體" w:hAnsi="Times New Roman" w:cs="Times New Roman"/>
          <w:sz w:val="28"/>
          <w:szCs w:val="28"/>
        </w:rPr>
        <w:t xml:space="preserve">, N. (2019). </w:t>
      </w:r>
      <w:r w:rsidRPr="00970794">
        <w:rPr>
          <w:rFonts w:ascii="Times New Roman" w:eastAsia="標楷體" w:hAnsi="Times New Roman" w:cs="Times New Roman"/>
          <w:i/>
          <w:iCs/>
          <w:sz w:val="28"/>
          <w:szCs w:val="28"/>
        </w:rPr>
        <w:t>Neural legal judgment prediction in English</w:t>
      </w:r>
      <w:r w:rsidRPr="00970794">
        <w:rPr>
          <w:rFonts w:ascii="Times New Roman" w:eastAsia="標楷體" w:hAnsi="Times New Roman" w:cs="Times New Roman"/>
          <w:sz w:val="28"/>
          <w:szCs w:val="28"/>
        </w:rPr>
        <w:t>. ACL 2019.</w:t>
      </w:r>
      <w:r>
        <w:rPr>
          <w:rFonts w:ascii="Times New Roman" w:eastAsia="標楷體" w:hAnsi="Times New Roman" w:cs="Times New Roman" w:hint="eastAsia"/>
          <w:sz w:val="28"/>
          <w:szCs w:val="28"/>
        </w:rPr>
        <w:t xml:space="preserve"> </w:t>
      </w:r>
      <w:hyperlink r:id="rId33" w:history="1">
        <w:r w:rsidRPr="00A13BE7">
          <w:rPr>
            <w:rStyle w:val="af0"/>
            <w:rFonts w:ascii="Times New Roman" w:eastAsia="標楷體" w:hAnsi="Times New Roman" w:cs="Times New Roman"/>
            <w:sz w:val="28"/>
            <w:szCs w:val="28"/>
          </w:rPr>
          <w:t>https://aclanthology.org/P19-1424/</w:t>
        </w:r>
      </w:hyperlink>
    </w:p>
    <w:p w14:paraId="379229C7" w14:textId="04A35904" w:rsidR="0056672B" w:rsidRPr="00A2531A" w:rsidRDefault="0056672B" w:rsidP="0056672B">
      <w:pPr>
        <w:pStyle w:val="a9"/>
        <w:numPr>
          <w:ilvl w:val="0"/>
          <w:numId w:val="10"/>
        </w:numPr>
        <w:outlineLvl w:val="0"/>
        <w:rPr>
          <w:rFonts w:ascii="Times New Roman" w:eastAsia="標楷體" w:hAnsi="Times New Roman" w:cs="Times New Roman"/>
          <w:sz w:val="28"/>
          <w:szCs w:val="28"/>
        </w:rPr>
      </w:pPr>
      <w:r w:rsidRPr="0056672B">
        <w:rPr>
          <w:rFonts w:ascii="Times New Roman" w:eastAsia="標楷體" w:hAnsi="Times New Roman" w:cs="Times New Roman"/>
          <w:sz w:val="28"/>
          <w:szCs w:val="28"/>
        </w:rPr>
        <w:t xml:space="preserve">Taddy, M. (2013). Multinomial inverse regression for text analysis. </w:t>
      </w:r>
      <w:r w:rsidRPr="0056672B">
        <w:rPr>
          <w:rFonts w:ascii="Times New Roman" w:eastAsia="標楷體" w:hAnsi="Times New Roman" w:cs="Times New Roman"/>
          <w:i/>
          <w:iCs/>
          <w:sz w:val="28"/>
          <w:szCs w:val="28"/>
        </w:rPr>
        <w:t>Journal of the American Statistical Association, 108</w:t>
      </w:r>
      <w:r w:rsidRPr="0056672B">
        <w:rPr>
          <w:rFonts w:ascii="Times New Roman" w:eastAsia="標楷體" w:hAnsi="Times New Roman" w:cs="Times New Roman"/>
          <w:sz w:val="28"/>
          <w:szCs w:val="28"/>
        </w:rPr>
        <w:t>(503), 755–770.</w:t>
      </w:r>
      <w:r>
        <w:rPr>
          <w:rFonts w:ascii="Times New Roman" w:eastAsia="標楷體" w:hAnsi="Times New Roman" w:cs="Times New Roman" w:hint="eastAsia"/>
          <w:sz w:val="28"/>
          <w:szCs w:val="28"/>
        </w:rPr>
        <w:t xml:space="preserve"> </w:t>
      </w:r>
      <w:hyperlink r:id="rId34" w:history="1">
        <w:r w:rsidRPr="00C06ABC">
          <w:rPr>
            <w:rStyle w:val="af0"/>
            <w:rFonts w:ascii="Times New Roman" w:eastAsia="標楷體" w:hAnsi="Times New Roman" w:cs="Times New Roman"/>
            <w:sz w:val="28"/>
            <w:szCs w:val="28"/>
          </w:rPr>
          <w:t>https://arxiv.org/pdf/1012.2098</w:t>
        </w:r>
      </w:hyperlink>
    </w:p>
    <w:p w14:paraId="5951D1A3" w14:textId="5C0BC474" w:rsidR="00B164D4" w:rsidRPr="00A2531A" w:rsidRDefault="00A2531A" w:rsidP="008613E4">
      <w:pPr>
        <w:pStyle w:val="a9"/>
        <w:numPr>
          <w:ilvl w:val="0"/>
          <w:numId w:val="10"/>
        </w:numPr>
        <w:outlineLvl w:val="0"/>
        <w:rPr>
          <w:rFonts w:ascii="Times New Roman" w:eastAsia="標楷體" w:hAnsi="Times New Roman" w:cs="Times New Roman"/>
          <w:sz w:val="28"/>
          <w:szCs w:val="28"/>
        </w:rPr>
      </w:pPr>
      <w:r w:rsidRPr="00A2531A">
        <w:rPr>
          <w:rFonts w:ascii="Times New Roman" w:eastAsia="標楷體" w:hAnsi="Times New Roman" w:cs="Times New Roman"/>
          <w:sz w:val="28"/>
          <w:szCs w:val="28"/>
        </w:rPr>
        <w:t>陳秉訓（</w:t>
      </w:r>
      <w:r w:rsidRPr="00A2531A">
        <w:rPr>
          <w:rFonts w:ascii="Times New Roman" w:eastAsia="標楷體" w:hAnsi="Times New Roman" w:cs="Times New Roman"/>
          <w:sz w:val="28"/>
          <w:szCs w:val="28"/>
        </w:rPr>
        <w:t>2020</w:t>
      </w:r>
      <w:r w:rsidRPr="00A2531A">
        <w:rPr>
          <w:rFonts w:ascii="Times New Roman" w:eastAsia="標楷體" w:hAnsi="Times New Roman" w:cs="Times New Roman"/>
          <w:sz w:val="28"/>
          <w:szCs w:val="28"/>
        </w:rPr>
        <w:t>，</w:t>
      </w:r>
      <w:r w:rsidRPr="00A2531A">
        <w:rPr>
          <w:rFonts w:ascii="Times New Roman" w:eastAsia="標楷體" w:hAnsi="Times New Roman" w:cs="Times New Roman"/>
          <w:sz w:val="28"/>
          <w:szCs w:val="28"/>
        </w:rPr>
        <w:t>12</w:t>
      </w:r>
      <w:r w:rsidRPr="00A2531A">
        <w:rPr>
          <w:rFonts w:ascii="Times New Roman" w:eastAsia="標楷體" w:hAnsi="Times New Roman" w:cs="Times New Roman"/>
          <w:sz w:val="28"/>
          <w:szCs w:val="28"/>
        </w:rPr>
        <w:t>月</w:t>
      </w:r>
      <w:r w:rsidRPr="00A2531A">
        <w:rPr>
          <w:rFonts w:ascii="Times New Roman" w:eastAsia="標楷體" w:hAnsi="Times New Roman" w:cs="Times New Roman"/>
          <w:sz w:val="28"/>
          <w:szCs w:val="28"/>
        </w:rPr>
        <w:t>23</w:t>
      </w:r>
      <w:r w:rsidRPr="00A2531A">
        <w:rPr>
          <w:rFonts w:ascii="Times New Roman" w:eastAsia="標楷體" w:hAnsi="Times New Roman" w:cs="Times New Roman"/>
          <w:sz w:val="28"/>
          <w:szCs w:val="28"/>
        </w:rPr>
        <w:t>日）。</w:t>
      </w:r>
      <w:r w:rsidRPr="00A2531A">
        <w:rPr>
          <w:rFonts w:ascii="Times New Roman" w:eastAsia="標楷體" w:hAnsi="Times New Roman" w:cs="Times New Roman"/>
          <w:sz w:val="28"/>
          <w:szCs w:val="28"/>
        </w:rPr>
        <w:t>2020</w:t>
      </w:r>
      <w:r w:rsidRPr="00A2531A">
        <w:rPr>
          <w:rFonts w:ascii="Times New Roman" w:eastAsia="標楷體" w:hAnsi="Times New Roman" w:cs="Times New Roman"/>
          <w:sz w:val="28"/>
          <w:szCs w:val="28"/>
        </w:rPr>
        <w:t>年台灣智財界十大事件回顧。北美智權報。</w:t>
      </w:r>
      <w:hyperlink r:id="rId35" w:tgtFrame="_new" w:history="1">
        <w:r w:rsidRPr="00A2531A">
          <w:rPr>
            <w:rStyle w:val="af0"/>
            <w:rFonts w:ascii="Times New Roman" w:eastAsia="標楷體" w:hAnsi="Times New Roman" w:cs="Times New Roman"/>
            <w:sz w:val="28"/>
            <w:szCs w:val="28"/>
          </w:rPr>
          <w:t>https://naipnews.naipo.com/22251/</w:t>
        </w:r>
      </w:hyperlink>
    </w:p>
    <w:sectPr w:rsidR="00B164D4" w:rsidRPr="00A2531A"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43CE4" w14:textId="77777777" w:rsidR="00396E6E" w:rsidRDefault="00396E6E" w:rsidP="00204DC5">
      <w:pPr>
        <w:spacing w:after="0" w:line="240" w:lineRule="auto"/>
      </w:pPr>
      <w:r>
        <w:separator/>
      </w:r>
    </w:p>
  </w:endnote>
  <w:endnote w:type="continuationSeparator" w:id="0">
    <w:p w14:paraId="0EE557E5" w14:textId="77777777" w:rsidR="00396E6E" w:rsidRDefault="00396E6E"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EE498" w14:textId="77777777" w:rsidR="00396E6E" w:rsidRDefault="00396E6E" w:rsidP="00204DC5">
      <w:pPr>
        <w:spacing w:after="0" w:line="240" w:lineRule="auto"/>
      </w:pPr>
      <w:r>
        <w:separator/>
      </w:r>
    </w:p>
  </w:footnote>
  <w:footnote w:type="continuationSeparator" w:id="0">
    <w:p w14:paraId="1A4B9220" w14:textId="77777777" w:rsidR="00396E6E" w:rsidRDefault="00396E6E"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4809"/>
    <w:rsid w:val="002B6C4C"/>
    <w:rsid w:val="002C1295"/>
    <w:rsid w:val="002C20E2"/>
    <w:rsid w:val="002C6512"/>
    <w:rsid w:val="002D643E"/>
    <w:rsid w:val="002E79BA"/>
    <w:rsid w:val="00310DD0"/>
    <w:rsid w:val="00317561"/>
    <w:rsid w:val="003857B4"/>
    <w:rsid w:val="00396E6E"/>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23799"/>
    <w:rsid w:val="005310E9"/>
    <w:rsid w:val="00556096"/>
    <w:rsid w:val="00564795"/>
    <w:rsid w:val="0056672B"/>
    <w:rsid w:val="0060375F"/>
    <w:rsid w:val="00631A3C"/>
    <w:rsid w:val="00633AF3"/>
    <w:rsid w:val="00641412"/>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D36FB"/>
    <w:rsid w:val="008E5AB0"/>
    <w:rsid w:val="008F2233"/>
    <w:rsid w:val="00902230"/>
    <w:rsid w:val="009032E7"/>
    <w:rsid w:val="009044D2"/>
    <w:rsid w:val="00907877"/>
    <w:rsid w:val="0095337E"/>
    <w:rsid w:val="00970794"/>
    <w:rsid w:val="0098108F"/>
    <w:rsid w:val="009A6180"/>
    <w:rsid w:val="009C2031"/>
    <w:rsid w:val="009D2657"/>
    <w:rsid w:val="009D4756"/>
    <w:rsid w:val="00A0686F"/>
    <w:rsid w:val="00A2531A"/>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33D04"/>
    <w:rsid w:val="00C5051C"/>
    <w:rsid w:val="00C7356B"/>
    <w:rsid w:val="00C840E9"/>
    <w:rsid w:val="00C97F48"/>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F842D"/>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blog.csdn.net/superY_26/article/details/114844370" TargetMode="External"/><Relationship Id="rId26" Type="http://schemas.openxmlformats.org/officeDocument/2006/relationships/hyperlink" Target="https://arxiv.org/abs/2502.10990" TargetMode="External"/><Relationship Id="rId21" Type="http://schemas.openxmlformats.org/officeDocument/2006/relationships/hyperlink" Target="https://www.aeaweb.org/articles?id=10.1257/app.20160390" TargetMode="External"/><Relationship Id="rId34" Type="http://schemas.openxmlformats.org/officeDocument/2006/relationships/hyperlink" Target="https://arxiv.org/pdf/1012.2098"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inklerpartners.com/zh/%E5%BE%9E%E6%95%B8%E6%93%9A%E4%B8%80%E6%8E%A2%E6%99%BA%E6%85%A7%E8%B2%A1%E7%94%A2%E6%B3%95%E9%99%A2%E9%81%8B%E4%BD%9C%E5%AF%A6%E6%B3%81-%E5%B0%88%E9%A1%8C%E4%B8%89-%E6%B0%91%E4%BA%8B/" TargetMode="External"/><Relationship Id="rId25" Type="http://schemas.openxmlformats.org/officeDocument/2006/relationships/hyperlink" Target="https://arxiv.org/abs/2211.00974" TargetMode="External"/><Relationship Id="rId33" Type="http://schemas.openxmlformats.org/officeDocument/2006/relationships/hyperlink" Target="https://aclanthology.org/P19-1424/" TargetMode="External"/><Relationship Id="rId2" Type="http://schemas.openxmlformats.org/officeDocument/2006/relationships/numbering" Target="numbering.xml"/><Relationship Id="rId16" Type="http://schemas.openxmlformats.org/officeDocument/2006/relationships/hyperlink" Target="https://lawdata.com.tw/File/DC/Journal/J441/A00700047_001.pdf" TargetMode="External"/><Relationship Id="rId20" Type="http://schemas.openxmlformats.org/officeDocument/2006/relationships/hyperlink" Target="https://www.researchgate.net/publication/385352804_Natural_Language_Processing_for_the_Legal_Domain_A_Survey_of_Tasks_Datasets_Models_and_Challenges" TargetMode="External"/><Relationship Id="rId29" Type="http://schemas.openxmlformats.org/officeDocument/2006/relationships/hyperlink" Target="https://peerj.com/articles/cs-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papers.ssrn.com/sol3/papers.cfm?abstract_id=2726903" TargetMode="External"/><Relationship Id="rId32" Type="http://schemas.openxmlformats.org/officeDocument/2006/relationships/hyperlink" Target="https://www.researchgate.net/publication/357135854_MVE-FLK_A_multi-task_legal_judgment_prediction_via_multi-view_encoder_fusing_legal_keyword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tw/doi/?doi=10.3966/181130952013121002001" TargetMode="External"/><Relationship Id="rId23" Type="http://schemas.openxmlformats.org/officeDocument/2006/relationships/hyperlink" Target="https://academic.oup.com/jleo/article/31/1/93/989593" TargetMode="External"/><Relationship Id="rId28" Type="http://schemas.openxmlformats.org/officeDocument/2006/relationships/hyperlink" Target="https://www.mdpi.com/2227-7390/10/5/683" TargetMode="External"/><Relationship Id="rId36"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hyperlink" Target="https://github.com/ckiplab/ckip-transformers" TargetMode="External"/><Relationship Id="rId31" Type="http://schemas.openxmlformats.org/officeDocument/2006/relationships/hyperlink" Target="https://www.ijcai.org/proceedings/2022/0765.pdf"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ww.airitilibrary.com/Article/Detail/1018161x-201912-201912300022-201912300022-533-546" TargetMode="External"/><Relationship Id="rId22" Type="http://schemas.openxmlformats.org/officeDocument/2006/relationships/hyperlink" Target="https://www.aeaweb.org/articles?id=10.1257/app.20170223" TargetMode="External"/><Relationship Id="rId27" Type="http://schemas.openxmlformats.org/officeDocument/2006/relationships/hyperlink" Target="https://www.mdpi.com/2076-3417/11/21/10361" TargetMode="External"/><Relationship Id="rId30" Type="http://schemas.openxmlformats.org/officeDocument/2006/relationships/hyperlink" Target="https://www.researchgate.net/publication/221539045_Risk_Analysis_for_Intellectual_Property_Litigation" TargetMode="External"/><Relationship Id="rId35" Type="http://schemas.openxmlformats.org/officeDocument/2006/relationships/hyperlink" Target="https://naipnews.naipo.com/22251/?utm_source=chatgpt.com" TargetMode="External"/><Relationship Id="rId8" Type="http://schemas.openxmlformats.org/officeDocument/2006/relationships/chart" Target="charts/chart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4629</Words>
  <Characters>26388</Characters>
  <Application>Microsoft Office Word</Application>
  <DocSecurity>0</DocSecurity>
  <Lines>219</Lines>
  <Paragraphs>61</Paragraphs>
  <ScaleCrop>false</ScaleCrop>
  <Company/>
  <LinksUpToDate>false</LinksUpToDate>
  <CharactersWithSpaces>30956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21</cp:revision>
  <dcterms:created xsi:type="dcterms:W3CDTF">2026-01-27T06:28:00Z</dcterms:created>
  <dcterms:modified xsi:type="dcterms:W3CDTF">2026-05-09T11:46:00Z</dcterms:modified>
</cp:coreProperties>
</file>