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8210" w14:textId="564DA494" w:rsidR="001871CC" w:rsidRDefault="008C6A9E" w:rsidP="008C6A9E">
      <w:pPr>
        <w:jc w:val="center"/>
        <w:rPr>
          <w:rFonts w:ascii="標楷體" w:eastAsia="標楷體" w:hAnsi="標楷體"/>
          <w:sz w:val="40"/>
          <w:szCs w:val="40"/>
        </w:rPr>
      </w:pPr>
      <w:r w:rsidRPr="008C6A9E">
        <w:rPr>
          <w:rFonts w:ascii="標楷體" w:eastAsia="標楷體" w:hAnsi="標楷體" w:hint="eastAsia"/>
          <w:sz w:val="40"/>
          <w:szCs w:val="40"/>
        </w:rPr>
        <w:t>個人分析摘要</w:t>
      </w:r>
    </w:p>
    <w:p w14:paraId="3EADF0AC" w14:textId="77777777" w:rsidR="00C9049C" w:rsidRPr="00C9049C" w:rsidRDefault="00C9049C" w:rsidP="00C9049C">
      <w:pPr>
        <w:rPr>
          <w:rFonts w:ascii="標楷體" w:eastAsia="標楷體" w:hAnsi="標楷體"/>
          <w:szCs w:val="24"/>
        </w:rPr>
      </w:pPr>
      <w:r w:rsidRPr="00C9049C">
        <w:rPr>
          <w:rFonts w:ascii="標楷體" w:eastAsia="標楷體" w:hAnsi="標楷體"/>
          <w:szCs w:val="24"/>
        </w:rPr>
        <w:t xml:space="preserve">本次個人分析以共同三家公司 </w:t>
      </w:r>
      <w:r w:rsidRPr="00C9049C">
        <w:rPr>
          <w:rFonts w:ascii="標楷體" w:eastAsia="標楷體" w:hAnsi="標楷體"/>
          <w:b/>
          <w:bCs/>
          <w:szCs w:val="24"/>
        </w:rPr>
        <w:t>台積電（2330）</w:t>
      </w:r>
      <w:r w:rsidRPr="00C9049C">
        <w:rPr>
          <w:rFonts w:ascii="標楷體" w:eastAsia="標楷體" w:hAnsi="標楷體"/>
          <w:szCs w:val="24"/>
        </w:rPr>
        <w:t>、</w:t>
      </w:r>
      <w:r w:rsidRPr="00C9049C">
        <w:rPr>
          <w:rFonts w:ascii="標楷體" w:eastAsia="標楷體" w:hAnsi="標楷體"/>
          <w:b/>
          <w:bCs/>
          <w:szCs w:val="24"/>
        </w:rPr>
        <w:t>長榮（2603）</w:t>
      </w:r>
      <w:r w:rsidRPr="00C9049C">
        <w:rPr>
          <w:rFonts w:ascii="標楷體" w:eastAsia="標楷體" w:hAnsi="標楷體"/>
          <w:szCs w:val="24"/>
        </w:rPr>
        <w:t>、</w:t>
      </w:r>
      <w:r w:rsidRPr="00C9049C">
        <w:rPr>
          <w:rFonts w:ascii="標楷體" w:eastAsia="標楷體" w:hAnsi="標楷體"/>
          <w:b/>
          <w:bCs/>
          <w:szCs w:val="24"/>
        </w:rPr>
        <w:t>富邦金（2881）</w:t>
      </w:r>
      <w:r w:rsidRPr="00C9049C">
        <w:rPr>
          <w:rFonts w:ascii="標楷體" w:eastAsia="標楷體" w:hAnsi="標楷體"/>
          <w:szCs w:val="24"/>
        </w:rPr>
        <w:t xml:space="preserve"> 作為基礎投資組合，並加入個人選定的第四家公司 </w:t>
      </w:r>
      <w:r w:rsidRPr="00C9049C">
        <w:rPr>
          <w:rFonts w:ascii="標楷體" w:eastAsia="標楷體" w:hAnsi="標楷體"/>
          <w:b/>
          <w:bCs/>
          <w:szCs w:val="24"/>
        </w:rPr>
        <w:t>所羅門（2359）</w:t>
      </w:r>
      <w:r w:rsidRPr="00C9049C">
        <w:rPr>
          <w:rFonts w:ascii="標楷體" w:eastAsia="標楷體" w:hAnsi="標楷體"/>
          <w:szCs w:val="24"/>
        </w:rPr>
        <w:t>，比較</w:t>
      </w:r>
      <w:proofErr w:type="gramStart"/>
      <w:r w:rsidRPr="00C9049C">
        <w:rPr>
          <w:rFonts w:ascii="標楷體" w:eastAsia="標楷體" w:hAnsi="標楷體"/>
          <w:szCs w:val="24"/>
        </w:rPr>
        <w:t>三</w:t>
      </w:r>
      <w:proofErr w:type="gramEnd"/>
      <w:r w:rsidRPr="00C9049C">
        <w:rPr>
          <w:rFonts w:ascii="標楷體" w:eastAsia="標楷體" w:hAnsi="標楷體"/>
          <w:szCs w:val="24"/>
        </w:rPr>
        <w:t>資產與四資產投資組合的效率前緣變化。本研究使用各公司收盤價計算簡單報酬率，再計算年化預期報酬、年化風險與投資組合效率，並以效率前緣圖、最小變異投資組合（MVP）、最大夏普比率投資組合（Tangency Portfolio / MSR）與權重配置作為判斷依據。</w:t>
      </w:r>
    </w:p>
    <w:p w14:paraId="31F6DDE3" w14:textId="08BFC36D" w:rsidR="00C9049C" w:rsidRPr="00C9049C" w:rsidRDefault="00C9049C" w:rsidP="00C9049C">
      <w:pPr>
        <w:rPr>
          <w:rFonts w:ascii="標楷體" w:eastAsia="標楷體" w:hAnsi="標楷體"/>
          <w:szCs w:val="24"/>
        </w:rPr>
      </w:pPr>
      <w:proofErr w:type="gramStart"/>
      <w:r w:rsidRPr="00C9049C">
        <w:rPr>
          <w:rFonts w:ascii="標楷體" w:eastAsia="標楷體" w:hAnsi="標楷體"/>
          <w:szCs w:val="24"/>
        </w:rPr>
        <w:t>本組共同</w:t>
      </w:r>
      <w:proofErr w:type="gramEnd"/>
      <w:r w:rsidRPr="00C9049C">
        <w:rPr>
          <w:rFonts w:ascii="標楷體" w:eastAsia="標楷體" w:hAnsi="標楷體"/>
          <w:szCs w:val="24"/>
        </w:rPr>
        <w:t>三家公司分別來自不同產業，具有一定的產業分散基礎。**台積電（2330）代表半導體與科技產業，營運表現容易受到全球晶片需求、AI、高效能運算與科技景氣循環影響；**長榮（2603）**代表航運產業，與全球貿易量、海運運價、油價及景氣循環高度相關；富邦金（2881）**則屬於金融控股產業，受利率環境、資本市場表現與金融景氣影響。三家公司雖然皆為台股重要標的，但產業屬性不同，因此適合作為效率前緣分析的共同基礎組合。</w:t>
      </w:r>
    </w:p>
    <w:p w14:paraId="66AB1A6A" w14:textId="77777777" w:rsidR="00C9049C" w:rsidRPr="00C9049C" w:rsidRDefault="00C9049C" w:rsidP="00C9049C">
      <w:pPr>
        <w:rPr>
          <w:rFonts w:ascii="標楷體" w:eastAsia="標楷體" w:hAnsi="標楷體"/>
          <w:szCs w:val="24"/>
        </w:rPr>
      </w:pPr>
      <w:r w:rsidRPr="00C9049C">
        <w:rPr>
          <w:rFonts w:ascii="標楷體" w:eastAsia="標楷體" w:hAnsi="標楷體"/>
          <w:szCs w:val="24"/>
        </w:rPr>
        <w:t xml:space="preserve">本研究加入的第四家公司為 </w:t>
      </w:r>
      <w:r w:rsidRPr="00C9049C">
        <w:rPr>
          <w:rFonts w:ascii="標楷體" w:eastAsia="標楷體" w:hAnsi="標楷體"/>
          <w:b/>
          <w:bCs/>
          <w:szCs w:val="24"/>
        </w:rPr>
        <w:t>所羅門（2359）</w:t>
      </w:r>
      <w:r w:rsidRPr="00C9049C">
        <w:rPr>
          <w:rFonts w:ascii="標楷體" w:eastAsia="標楷體" w:hAnsi="標楷體"/>
          <w:szCs w:val="24"/>
        </w:rPr>
        <w:t>。所羅門的業務特性與原本三家公司不同，主要涉及電子零組件、自動化設備與 AI 視覺應用等相關領域。相較於台積電的半導體製造、長榮的航運運輸，以及富邦金的金融服務，所羅門提供了不同的產業暴露來源，因此加入投資組合後，有機會降低與原本三家公司報酬率的同步波動，進一步改善投資組合的風險分散效果。</w:t>
      </w:r>
    </w:p>
    <w:p w14:paraId="4D214340" w14:textId="77777777" w:rsidR="00C9049C" w:rsidRDefault="00C9049C" w:rsidP="00C9049C">
      <w:pPr>
        <w:rPr>
          <w:rFonts w:ascii="標楷體" w:eastAsia="標楷體" w:hAnsi="標楷體"/>
          <w:szCs w:val="24"/>
        </w:rPr>
      </w:pPr>
      <w:r w:rsidRPr="00C9049C">
        <w:rPr>
          <w:rFonts w:ascii="標楷體" w:eastAsia="標楷體" w:hAnsi="標楷體"/>
          <w:szCs w:val="24"/>
        </w:rPr>
        <w:t xml:space="preserve">從效率前緣與最小變異投資組合結果來看，三家公司投資組合的 MVP 預期報酬為 </w:t>
      </w:r>
      <w:r w:rsidRPr="00C9049C">
        <w:rPr>
          <w:rFonts w:ascii="標楷體" w:eastAsia="標楷體" w:hAnsi="標楷體"/>
          <w:b/>
          <w:bCs/>
          <w:szCs w:val="24"/>
        </w:rPr>
        <w:t>42.28%</w:t>
      </w:r>
      <w:r w:rsidRPr="00C9049C">
        <w:rPr>
          <w:rFonts w:ascii="標楷體" w:eastAsia="標楷體" w:hAnsi="標楷體"/>
          <w:szCs w:val="24"/>
        </w:rPr>
        <w:t xml:space="preserve">，風險為 </w:t>
      </w:r>
      <w:r w:rsidRPr="00C9049C">
        <w:rPr>
          <w:rFonts w:ascii="標楷體" w:eastAsia="標楷體" w:hAnsi="標楷體"/>
          <w:b/>
          <w:bCs/>
          <w:szCs w:val="24"/>
        </w:rPr>
        <w:t>22.17%</w:t>
      </w:r>
      <w:r w:rsidRPr="00C9049C">
        <w:rPr>
          <w:rFonts w:ascii="標楷體" w:eastAsia="標楷體" w:hAnsi="標楷體"/>
          <w:szCs w:val="24"/>
        </w:rPr>
        <w:t xml:space="preserve">，Sharpe Ratio 為 </w:t>
      </w:r>
      <w:r w:rsidRPr="00C9049C">
        <w:rPr>
          <w:rFonts w:ascii="標楷體" w:eastAsia="標楷體" w:hAnsi="標楷體"/>
          <w:b/>
          <w:bCs/>
          <w:szCs w:val="24"/>
        </w:rPr>
        <w:t>1.91</w:t>
      </w:r>
      <w:r w:rsidRPr="00C9049C">
        <w:rPr>
          <w:rFonts w:ascii="標楷體" w:eastAsia="標楷體" w:hAnsi="標楷體"/>
          <w:szCs w:val="24"/>
        </w:rPr>
        <w:t xml:space="preserve">；加入所羅門後，四家公司 MVP 預期報酬提高至 </w:t>
      </w:r>
      <w:r w:rsidRPr="00C9049C">
        <w:rPr>
          <w:rFonts w:ascii="標楷體" w:eastAsia="標楷體" w:hAnsi="標楷體"/>
          <w:b/>
          <w:bCs/>
          <w:szCs w:val="24"/>
        </w:rPr>
        <w:t>51.69%</w:t>
      </w:r>
      <w:r w:rsidRPr="00C9049C">
        <w:rPr>
          <w:rFonts w:ascii="標楷體" w:eastAsia="標楷體" w:hAnsi="標楷體"/>
          <w:szCs w:val="24"/>
        </w:rPr>
        <w:t xml:space="preserve">，風險下降至 </w:t>
      </w:r>
      <w:r w:rsidRPr="00C9049C">
        <w:rPr>
          <w:rFonts w:ascii="標楷體" w:eastAsia="標楷體" w:hAnsi="標楷體"/>
          <w:b/>
          <w:bCs/>
          <w:szCs w:val="24"/>
        </w:rPr>
        <w:t>21.57%</w:t>
      </w:r>
      <w:r w:rsidRPr="00C9049C">
        <w:rPr>
          <w:rFonts w:ascii="標楷體" w:eastAsia="標楷體" w:hAnsi="標楷體"/>
          <w:szCs w:val="24"/>
        </w:rPr>
        <w:t xml:space="preserve">，Sharpe Ratio 提升至 </w:t>
      </w:r>
      <w:r w:rsidRPr="00C9049C">
        <w:rPr>
          <w:rFonts w:ascii="標楷體" w:eastAsia="標楷體" w:hAnsi="標楷體"/>
          <w:b/>
          <w:bCs/>
          <w:szCs w:val="24"/>
        </w:rPr>
        <w:t>2.40</w:t>
      </w:r>
      <w:r w:rsidRPr="00C9049C">
        <w:rPr>
          <w:rFonts w:ascii="標楷體" w:eastAsia="標楷體" w:hAnsi="標楷體"/>
          <w:szCs w:val="24"/>
        </w:rPr>
        <w:t>。這表示加入所羅門後，投資組合不僅降低最低風險，也提高預期報酬與單位風險報酬，符合效率前緣向左上方改善的解讀。也就是說，在本研究樣本期間與模型設定下，所羅門具有提升投資組合效率的效果。</w:t>
      </w:r>
    </w:p>
    <w:p w14:paraId="4B6B9796" w14:textId="77777777" w:rsidR="00C9049C" w:rsidRPr="00C9049C" w:rsidRDefault="00C9049C" w:rsidP="00C9049C">
      <w:pPr>
        <w:rPr>
          <w:rFonts w:ascii="標楷體" w:eastAsia="標楷體" w:hAnsi="標楷體"/>
          <w:szCs w:val="24"/>
        </w:rPr>
      </w:pPr>
      <w:r w:rsidRPr="00C9049C">
        <w:rPr>
          <w:rFonts w:ascii="標楷體" w:eastAsia="標楷體" w:hAnsi="標楷體"/>
          <w:szCs w:val="24"/>
        </w:rPr>
        <w:t>從效率前緣圖觀察，紅色虛線代表原本由台積電、長榮與富邦金組成的三資產效率前緣，藍色實線則代表加入所羅門（2359）後的四資產效率前緣。圖中可以看出，四資產效率前緣在多數有效區段相較三資產效率前緣更靠近左上方，代表加入所羅門後，投資組合的可行集合出現改善。也就是說，在相同風險水準下，四資產投資組合可以取得較高的預期報酬；而在相同預期報酬水準下，四資產投資組合也有機會承擔較低的風險。</w:t>
      </w:r>
    </w:p>
    <w:p w14:paraId="79A325AA" w14:textId="77777777" w:rsidR="00C9049C" w:rsidRPr="00C9049C" w:rsidRDefault="00C9049C" w:rsidP="00C9049C">
      <w:pPr>
        <w:rPr>
          <w:rFonts w:ascii="標楷體" w:eastAsia="標楷體" w:hAnsi="標楷體"/>
          <w:szCs w:val="24"/>
        </w:rPr>
      </w:pPr>
      <w:r w:rsidRPr="00C9049C">
        <w:rPr>
          <w:rFonts w:ascii="標楷體" w:eastAsia="標楷體" w:hAnsi="標楷體"/>
          <w:szCs w:val="24"/>
        </w:rPr>
        <w:t xml:space="preserve">以最小變異投資組合的位置來看，三資產 MVP 的風險為 </w:t>
      </w:r>
      <w:r w:rsidRPr="00C9049C">
        <w:rPr>
          <w:rFonts w:ascii="標楷體" w:eastAsia="標楷體" w:hAnsi="標楷體"/>
          <w:b/>
          <w:bCs/>
          <w:szCs w:val="24"/>
        </w:rPr>
        <w:t>22.17%</w:t>
      </w:r>
      <w:r w:rsidRPr="00C9049C">
        <w:rPr>
          <w:rFonts w:ascii="標楷體" w:eastAsia="標楷體" w:hAnsi="標楷體"/>
          <w:szCs w:val="24"/>
        </w:rPr>
        <w:t xml:space="preserve">、預期報酬為 </w:t>
      </w:r>
      <w:r w:rsidRPr="00C9049C">
        <w:rPr>
          <w:rFonts w:ascii="標楷體" w:eastAsia="標楷體" w:hAnsi="標楷體"/>
          <w:b/>
          <w:bCs/>
          <w:szCs w:val="24"/>
        </w:rPr>
        <w:t>42.28%</w:t>
      </w:r>
      <w:r w:rsidRPr="00C9049C">
        <w:rPr>
          <w:rFonts w:ascii="標楷體" w:eastAsia="標楷體" w:hAnsi="標楷體"/>
          <w:szCs w:val="24"/>
        </w:rPr>
        <w:t xml:space="preserve">；加入所羅門後，四資產 MVP 的風險下降至 </w:t>
      </w:r>
      <w:r w:rsidRPr="00C9049C">
        <w:rPr>
          <w:rFonts w:ascii="標楷體" w:eastAsia="標楷體" w:hAnsi="標楷體"/>
          <w:b/>
          <w:bCs/>
          <w:szCs w:val="24"/>
        </w:rPr>
        <w:t>21.57%</w:t>
      </w:r>
      <w:r w:rsidRPr="00C9049C">
        <w:rPr>
          <w:rFonts w:ascii="標楷體" w:eastAsia="標楷體" w:hAnsi="標楷體"/>
          <w:szCs w:val="24"/>
        </w:rPr>
        <w:t xml:space="preserve">，預期報酬提高至 </w:t>
      </w:r>
      <w:r w:rsidRPr="00C9049C">
        <w:rPr>
          <w:rFonts w:ascii="標楷體" w:eastAsia="標楷體" w:hAnsi="標楷體"/>
          <w:b/>
          <w:bCs/>
          <w:szCs w:val="24"/>
        </w:rPr>
        <w:t>51.69%</w:t>
      </w:r>
      <w:r w:rsidRPr="00C9049C">
        <w:rPr>
          <w:rFonts w:ascii="標楷體" w:eastAsia="標楷體" w:hAnsi="標楷體"/>
          <w:szCs w:val="24"/>
        </w:rPr>
        <w:t>。這代表四資產 MVP 相較三資產 MVP 呈現「向左且向上」的改善，也就是同時達到降低風險與提高報酬的效果。這種結果符合效率前緣判斷中「左上移動代表投資效率提升」的解讀方式。</w:t>
      </w:r>
    </w:p>
    <w:p w14:paraId="02E8D23D" w14:textId="77777777" w:rsidR="00C9049C" w:rsidRPr="00C9049C" w:rsidRDefault="00C9049C" w:rsidP="00C9049C">
      <w:pPr>
        <w:rPr>
          <w:rFonts w:ascii="標楷體" w:eastAsia="標楷體" w:hAnsi="標楷體"/>
          <w:szCs w:val="24"/>
        </w:rPr>
      </w:pPr>
      <w:proofErr w:type="gramStart"/>
      <w:r w:rsidRPr="00C9049C">
        <w:rPr>
          <w:rFonts w:ascii="標楷體" w:eastAsia="標楷體" w:hAnsi="標楷體"/>
          <w:szCs w:val="24"/>
        </w:rPr>
        <w:t>此外，</w:t>
      </w:r>
      <w:proofErr w:type="gramEnd"/>
      <w:r w:rsidRPr="00C9049C">
        <w:rPr>
          <w:rFonts w:ascii="標楷體" w:eastAsia="標楷體" w:hAnsi="標楷體"/>
          <w:szCs w:val="24"/>
        </w:rPr>
        <w:t xml:space="preserve">從圖形整體趨勢來看，四資產效率前緣不只是單一點改善，而是在有效前緣的區段中也呈現較佳表現。特別是在風險約 </w:t>
      </w:r>
      <w:r w:rsidRPr="00C9049C">
        <w:rPr>
          <w:rFonts w:ascii="標楷體" w:eastAsia="標楷體" w:hAnsi="標楷體"/>
          <w:b/>
          <w:bCs/>
          <w:szCs w:val="24"/>
        </w:rPr>
        <w:t>0.22 至 0.24</w:t>
      </w:r>
      <w:r w:rsidRPr="00C9049C">
        <w:rPr>
          <w:rFonts w:ascii="標楷體" w:eastAsia="標楷體" w:hAnsi="標楷體"/>
          <w:szCs w:val="24"/>
        </w:rPr>
        <w:t xml:space="preserve"> 的區間內，加</w:t>
      </w:r>
      <w:r w:rsidRPr="00C9049C">
        <w:rPr>
          <w:rFonts w:ascii="標楷體" w:eastAsia="標楷體" w:hAnsi="標楷體"/>
          <w:szCs w:val="24"/>
        </w:rPr>
        <w:lastRenderedPageBreak/>
        <w:t>入所羅門後的四資產效率前緣相較三資產組合更能提供較高報酬，顯示所羅門的加入擴大了投資人的選擇空間。若投資人偏好較低風險，四資產 MVP 提供比三資產 MVP 更低風險且更高報酬的組合；若投資人願意承擔較高風險，四資產效率前緣也能提供更高的預期報酬上限。</w:t>
      </w:r>
    </w:p>
    <w:p w14:paraId="33987DA5" w14:textId="433F67FC" w:rsidR="00C9049C" w:rsidRPr="00C9049C" w:rsidRDefault="00C9049C" w:rsidP="00C9049C">
      <w:pPr>
        <w:rPr>
          <w:rFonts w:ascii="標楷體" w:eastAsia="標楷體" w:hAnsi="標楷體" w:hint="eastAsia"/>
          <w:szCs w:val="24"/>
        </w:rPr>
      </w:pPr>
      <w:r w:rsidRPr="00C9049C">
        <w:rPr>
          <w:rFonts w:ascii="標楷體" w:eastAsia="標楷體" w:hAnsi="標楷體"/>
          <w:szCs w:val="24"/>
        </w:rPr>
        <w:t>因此，效率前緣圖的結果顯示，所羅門（2359）作為</w:t>
      </w:r>
      <w:proofErr w:type="gramStart"/>
      <w:r w:rsidRPr="00C9049C">
        <w:rPr>
          <w:rFonts w:ascii="標楷體" w:eastAsia="標楷體" w:hAnsi="標楷體"/>
          <w:szCs w:val="24"/>
        </w:rPr>
        <w:t>第四家標的</w:t>
      </w:r>
      <w:proofErr w:type="gramEnd"/>
      <w:r w:rsidRPr="00C9049C">
        <w:rPr>
          <w:rFonts w:ascii="標楷體" w:eastAsia="標楷體" w:hAnsi="標楷體"/>
          <w:szCs w:val="24"/>
        </w:rPr>
        <w:t>具有明顯的投資組合改善效果。其加入後，效率前緣呈現左上方移動，表示投資人可以在相同風險下獲得更高報酬，或在相同報酬下承擔較低風險。這也支持本研究的結論：所羅門不只是增加一檔股票，而是能有效改善原本三家公司投資組合的風險</w:t>
      </w:r>
      <w:proofErr w:type="gramStart"/>
      <w:r w:rsidRPr="00C9049C">
        <w:rPr>
          <w:rFonts w:ascii="標楷體" w:eastAsia="標楷體" w:hAnsi="標楷體"/>
          <w:szCs w:val="24"/>
        </w:rPr>
        <w:t>—</w:t>
      </w:r>
      <w:proofErr w:type="gramEnd"/>
      <w:r w:rsidRPr="00C9049C">
        <w:rPr>
          <w:rFonts w:ascii="標楷體" w:eastAsia="標楷體" w:hAnsi="標楷體"/>
          <w:szCs w:val="24"/>
        </w:rPr>
        <w:t>報酬結構。</w:t>
      </w:r>
    </w:p>
    <w:p w14:paraId="101DD9ED" w14:textId="77777777" w:rsidR="00C9049C" w:rsidRPr="00C9049C" w:rsidRDefault="00C9049C" w:rsidP="00C9049C">
      <w:pPr>
        <w:rPr>
          <w:rFonts w:ascii="標楷體" w:eastAsia="標楷體" w:hAnsi="標楷體"/>
          <w:szCs w:val="24"/>
        </w:rPr>
      </w:pPr>
      <w:r w:rsidRPr="00C9049C">
        <w:rPr>
          <w:rFonts w:ascii="標楷體" w:eastAsia="標楷體" w:hAnsi="標楷體"/>
          <w:szCs w:val="24"/>
        </w:rPr>
        <w:t xml:space="preserve">進一步觀察代表性有效投資組合，也就是最大夏普比率投資組合或切點投資組合（Tangency Portfolio），三資產組合的預期報酬約為 </w:t>
      </w:r>
      <w:r w:rsidRPr="00C9049C">
        <w:rPr>
          <w:rFonts w:ascii="標楷體" w:eastAsia="標楷體" w:hAnsi="標楷體"/>
          <w:b/>
          <w:bCs/>
          <w:szCs w:val="24"/>
        </w:rPr>
        <w:t>0.56</w:t>
      </w:r>
      <w:r w:rsidRPr="00C9049C">
        <w:rPr>
          <w:rFonts w:ascii="標楷體" w:eastAsia="標楷體" w:hAnsi="標楷體"/>
          <w:szCs w:val="24"/>
        </w:rPr>
        <w:t xml:space="preserve">，風險約為 </w:t>
      </w:r>
      <w:r w:rsidRPr="00C9049C">
        <w:rPr>
          <w:rFonts w:ascii="標楷體" w:eastAsia="標楷體" w:hAnsi="標楷體"/>
          <w:b/>
          <w:bCs/>
          <w:szCs w:val="24"/>
        </w:rPr>
        <w:t>0.25</w:t>
      </w:r>
      <w:r w:rsidRPr="00C9049C">
        <w:rPr>
          <w:rFonts w:ascii="標楷體" w:eastAsia="標楷體" w:hAnsi="標楷體"/>
          <w:szCs w:val="24"/>
        </w:rPr>
        <w:t xml:space="preserve">，Sharpe Ratio 約為 </w:t>
      </w:r>
      <w:r w:rsidRPr="00C9049C">
        <w:rPr>
          <w:rFonts w:ascii="標楷體" w:eastAsia="標楷體" w:hAnsi="標楷體"/>
          <w:b/>
          <w:bCs/>
          <w:szCs w:val="24"/>
        </w:rPr>
        <w:t>2.14</w:t>
      </w:r>
      <w:r w:rsidRPr="00C9049C">
        <w:rPr>
          <w:rFonts w:ascii="標楷體" w:eastAsia="標楷體" w:hAnsi="標楷體"/>
          <w:szCs w:val="24"/>
        </w:rPr>
        <w:t xml:space="preserve">；加入所羅門後，四資產組合的預期報酬提升至約 </w:t>
      </w:r>
      <w:r w:rsidRPr="00C9049C">
        <w:rPr>
          <w:rFonts w:ascii="標楷體" w:eastAsia="標楷體" w:hAnsi="標楷體"/>
          <w:b/>
          <w:bCs/>
          <w:szCs w:val="24"/>
        </w:rPr>
        <w:t>0.93</w:t>
      </w:r>
      <w:r w:rsidRPr="00C9049C">
        <w:rPr>
          <w:rFonts w:ascii="標楷體" w:eastAsia="標楷體" w:hAnsi="標楷體"/>
          <w:szCs w:val="24"/>
        </w:rPr>
        <w:t xml:space="preserve">，風險小幅上升至約 </w:t>
      </w:r>
      <w:r w:rsidRPr="00C9049C">
        <w:rPr>
          <w:rFonts w:ascii="標楷體" w:eastAsia="標楷體" w:hAnsi="標楷體"/>
          <w:b/>
          <w:bCs/>
          <w:szCs w:val="24"/>
        </w:rPr>
        <w:t>0.29</w:t>
      </w:r>
      <w:r w:rsidRPr="00C9049C">
        <w:rPr>
          <w:rFonts w:ascii="標楷體" w:eastAsia="標楷體" w:hAnsi="標楷體"/>
          <w:szCs w:val="24"/>
        </w:rPr>
        <w:t xml:space="preserve">，但 Sharpe Ratio 大幅提高至約 </w:t>
      </w:r>
      <w:r w:rsidRPr="00C9049C">
        <w:rPr>
          <w:rFonts w:ascii="標楷體" w:eastAsia="標楷體" w:hAnsi="標楷體"/>
          <w:b/>
          <w:bCs/>
          <w:szCs w:val="24"/>
        </w:rPr>
        <w:t>3.17</w:t>
      </w:r>
      <w:r w:rsidRPr="00C9049C">
        <w:rPr>
          <w:rFonts w:ascii="標楷體" w:eastAsia="標楷體" w:hAnsi="標楷體"/>
          <w:szCs w:val="24"/>
        </w:rPr>
        <w:t>。此結果代表，雖然四資產切點投資組合承擔了較高風險，但其預期報酬提升幅度更大，因此單位風險所能取得的報酬明顯優於</w:t>
      </w:r>
      <w:proofErr w:type="gramStart"/>
      <w:r w:rsidRPr="00C9049C">
        <w:rPr>
          <w:rFonts w:ascii="標楷體" w:eastAsia="標楷體" w:hAnsi="標楷體"/>
          <w:szCs w:val="24"/>
        </w:rPr>
        <w:t>三</w:t>
      </w:r>
      <w:proofErr w:type="gramEnd"/>
      <w:r w:rsidRPr="00C9049C">
        <w:rPr>
          <w:rFonts w:ascii="標楷體" w:eastAsia="標楷體" w:hAnsi="標楷體"/>
          <w:szCs w:val="24"/>
        </w:rPr>
        <w:t>資產組合。從績效長條圖可以看出，加入所羅門後，四資產組合在 Expected Return 與 Sharpe Ratio 上皆明顯高於</w:t>
      </w:r>
      <w:proofErr w:type="gramStart"/>
      <w:r w:rsidRPr="00C9049C">
        <w:rPr>
          <w:rFonts w:ascii="標楷體" w:eastAsia="標楷體" w:hAnsi="標楷體"/>
          <w:szCs w:val="24"/>
        </w:rPr>
        <w:t>三</w:t>
      </w:r>
      <w:proofErr w:type="gramEnd"/>
      <w:r w:rsidRPr="00C9049C">
        <w:rPr>
          <w:rFonts w:ascii="標楷體" w:eastAsia="標楷體" w:hAnsi="標楷體"/>
          <w:szCs w:val="24"/>
        </w:rPr>
        <w:t>資產組合，代表所羅門對提高投資效率具有正面貢獻。</w:t>
      </w:r>
    </w:p>
    <w:p w14:paraId="643E0D3F" w14:textId="77777777" w:rsidR="00C9049C" w:rsidRPr="00C9049C" w:rsidRDefault="00C9049C" w:rsidP="00C9049C">
      <w:pPr>
        <w:rPr>
          <w:rFonts w:ascii="標楷體" w:eastAsia="標楷體" w:hAnsi="標楷體"/>
          <w:szCs w:val="24"/>
        </w:rPr>
      </w:pPr>
      <w:r w:rsidRPr="00C9049C">
        <w:rPr>
          <w:rFonts w:ascii="標楷體" w:eastAsia="標楷體" w:hAnsi="標楷體"/>
          <w:szCs w:val="24"/>
        </w:rPr>
        <w:t xml:space="preserve">從權重配置來看，三資產切點投資組合中，台積電占 </w:t>
      </w:r>
      <w:r w:rsidRPr="00C9049C">
        <w:rPr>
          <w:rFonts w:ascii="標楷體" w:eastAsia="標楷體" w:hAnsi="標楷體"/>
          <w:b/>
          <w:bCs/>
          <w:szCs w:val="24"/>
        </w:rPr>
        <w:t>49.8%</w:t>
      </w:r>
      <w:r w:rsidRPr="00C9049C">
        <w:rPr>
          <w:rFonts w:ascii="標楷體" w:eastAsia="標楷體" w:hAnsi="標楷體"/>
          <w:szCs w:val="24"/>
        </w:rPr>
        <w:t xml:space="preserve">、長榮占 </w:t>
      </w:r>
      <w:r w:rsidRPr="00C9049C">
        <w:rPr>
          <w:rFonts w:ascii="標楷體" w:eastAsia="標楷體" w:hAnsi="標楷體"/>
          <w:b/>
          <w:bCs/>
          <w:szCs w:val="24"/>
        </w:rPr>
        <w:t>20.7%</w:t>
      </w:r>
      <w:r w:rsidRPr="00C9049C">
        <w:rPr>
          <w:rFonts w:ascii="標楷體" w:eastAsia="標楷體" w:hAnsi="標楷體"/>
          <w:szCs w:val="24"/>
        </w:rPr>
        <w:t xml:space="preserve">、富邦金占 </w:t>
      </w:r>
      <w:r w:rsidRPr="00C9049C">
        <w:rPr>
          <w:rFonts w:ascii="標楷體" w:eastAsia="標楷體" w:hAnsi="標楷體"/>
          <w:b/>
          <w:bCs/>
          <w:szCs w:val="24"/>
        </w:rPr>
        <w:t>29.6%</w:t>
      </w:r>
      <w:r w:rsidRPr="00C9049C">
        <w:rPr>
          <w:rFonts w:ascii="標楷體" w:eastAsia="標楷體" w:hAnsi="標楷體"/>
          <w:szCs w:val="24"/>
        </w:rPr>
        <w:t xml:space="preserve">，其中台積電比重最高，表示在三家公司組合中，台積電是追求最大 Sharpe Ratio 時的重要報酬來源。加入所羅門後，四資產切點投資組合的權重分配變為台積電 </w:t>
      </w:r>
      <w:r w:rsidRPr="00C9049C">
        <w:rPr>
          <w:rFonts w:ascii="標楷體" w:eastAsia="標楷體" w:hAnsi="標楷體"/>
          <w:b/>
          <w:bCs/>
          <w:szCs w:val="24"/>
        </w:rPr>
        <w:t>30.6%</w:t>
      </w:r>
      <w:r w:rsidRPr="00C9049C">
        <w:rPr>
          <w:rFonts w:ascii="標楷體" w:eastAsia="標楷體" w:hAnsi="標楷體"/>
          <w:szCs w:val="24"/>
        </w:rPr>
        <w:t xml:space="preserve">、長榮 </w:t>
      </w:r>
      <w:r w:rsidRPr="00C9049C">
        <w:rPr>
          <w:rFonts w:ascii="標楷體" w:eastAsia="標楷體" w:hAnsi="標楷體"/>
          <w:b/>
          <w:bCs/>
          <w:szCs w:val="24"/>
        </w:rPr>
        <w:t>11.5%</w:t>
      </w:r>
      <w:r w:rsidRPr="00C9049C">
        <w:rPr>
          <w:rFonts w:ascii="標楷體" w:eastAsia="標楷體" w:hAnsi="標楷體"/>
          <w:szCs w:val="24"/>
        </w:rPr>
        <w:t xml:space="preserve">、富邦金 </w:t>
      </w:r>
      <w:r w:rsidRPr="00C9049C">
        <w:rPr>
          <w:rFonts w:ascii="標楷體" w:eastAsia="標楷體" w:hAnsi="標楷體"/>
          <w:b/>
          <w:bCs/>
          <w:szCs w:val="24"/>
        </w:rPr>
        <w:t>25.3%</w:t>
      </w:r>
      <w:r w:rsidRPr="00C9049C">
        <w:rPr>
          <w:rFonts w:ascii="標楷體" w:eastAsia="標楷體" w:hAnsi="標楷體"/>
          <w:szCs w:val="24"/>
        </w:rPr>
        <w:t xml:space="preserve">、所羅門 </w:t>
      </w:r>
      <w:r w:rsidRPr="00C9049C">
        <w:rPr>
          <w:rFonts w:ascii="標楷體" w:eastAsia="標楷體" w:hAnsi="標楷體"/>
          <w:b/>
          <w:bCs/>
          <w:szCs w:val="24"/>
        </w:rPr>
        <w:t>32.6%</w:t>
      </w:r>
      <w:r w:rsidRPr="00C9049C">
        <w:rPr>
          <w:rFonts w:ascii="標楷體" w:eastAsia="標楷體" w:hAnsi="標楷體"/>
          <w:szCs w:val="24"/>
        </w:rPr>
        <w:t>。可以發現，所羅門成為四資產組合中權重最高的標的，同時也使台積電與長榮的比重下降。這代表所羅門在四資產投資組合中不只是少量分散標的，而是對提升整體投資效率具有重要影響。</w:t>
      </w:r>
    </w:p>
    <w:p w14:paraId="3B8F13E9" w14:textId="77777777" w:rsidR="00C9049C" w:rsidRPr="00C9049C" w:rsidRDefault="00C9049C" w:rsidP="00C9049C">
      <w:pPr>
        <w:rPr>
          <w:rFonts w:ascii="標楷體" w:eastAsia="標楷體" w:hAnsi="標楷體"/>
          <w:szCs w:val="24"/>
        </w:rPr>
      </w:pPr>
      <w:r w:rsidRPr="00C9049C">
        <w:rPr>
          <w:rFonts w:ascii="標楷體" w:eastAsia="標楷體" w:hAnsi="標楷體"/>
          <w:szCs w:val="24"/>
        </w:rPr>
        <w:t>由</w:t>
      </w:r>
      <w:proofErr w:type="gramStart"/>
      <w:r w:rsidRPr="00C9049C">
        <w:rPr>
          <w:rFonts w:ascii="標楷體" w:eastAsia="標楷體" w:hAnsi="標楷體"/>
          <w:szCs w:val="24"/>
        </w:rPr>
        <w:t>權重圓餅圖也</w:t>
      </w:r>
      <w:proofErr w:type="gramEnd"/>
      <w:r w:rsidRPr="00C9049C">
        <w:rPr>
          <w:rFonts w:ascii="標楷體" w:eastAsia="標楷體" w:hAnsi="標楷體"/>
          <w:szCs w:val="24"/>
        </w:rPr>
        <w:t>可以看出，加入所羅門後，投資組合配置變得更加多元。原本</w:t>
      </w:r>
      <w:proofErr w:type="gramStart"/>
      <w:r w:rsidRPr="00C9049C">
        <w:rPr>
          <w:rFonts w:ascii="標楷體" w:eastAsia="標楷體" w:hAnsi="標楷體"/>
          <w:szCs w:val="24"/>
        </w:rPr>
        <w:t>三</w:t>
      </w:r>
      <w:proofErr w:type="gramEnd"/>
      <w:r w:rsidRPr="00C9049C">
        <w:rPr>
          <w:rFonts w:ascii="標楷體" w:eastAsia="標楷體" w:hAnsi="標楷體"/>
          <w:szCs w:val="24"/>
        </w:rPr>
        <w:t>資產組合較集中於台積電，而四資產組合則分散至台積電、富邦金與所羅門三個主要標的，長榮比重則下降。這樣的配置變化顯示，所羅門提供了新的報酬來源，使投資組合不必過度依賴原本三家公司中的單一標的，進而提升整體配置效率。</w:t>
      </w:r>
    </w:p>
    <w:p w14:paraId="7AFBAC4E" w14:textId="77777777" w:rsidR="00C9049C" w:rsidRPr="00C9049C" w:rsidRDefault="00C9049C" w:rsidP="00C9049C">
      <w:pPr>
        <w:rPr>
          <w:rFonts w:ascii="標楷體" w:eastAsia="標楷體" w:hAnsi="標楷體"/>
          <w:szCs w:val="24"/>
        </w:rPr>
      </w:pPr>
      <w:r w:rsidRPr="00C9049C">
        <w:rPr>
          <w:rFonts w:ascii="標楷體" w:eastAsia="標楷體" w:hAnsi="標楷體"/>
          <w:szCs w:val="24"/>
        </w:rPr>
        <w:t>綜合而言，所羅門（2359）作為第四家公司，對原本由台積電、長榮與富邦金組成的三家公司投資組合具有明顯改善效果。從 MVP 結果來看，加入所羅門後同時達到</w:t>
      </w:r>
      <w:r w:rsidRPr="00C9049C">
        <w:rPr>
          <w:rFonts w:ascii="標楷體" w:eastAsia="標楷體" w:hAnsi="標楷體"/>
          <w:b/>
          <w:bCs/>
          <w:szCs w:val="24"/>
        </w:rPr>
        <w:t>降低風險與提高報酬</w:t>
      </w:r>
      <w:r w:rsidRPr="00C9049C">
        <w:rPr>
          <w:rFonts w:ascii="標楷體" w:eastAsia="標楷體" w:hAnsi="標楷體"/>
          <w:szCs w:val="24"/>
        </w:rPr>
        <w:t xml:space="preserve">；從 Tangency Portfolio 結果來看，加入所羅門後 Sharpe Ratio 由約 </w:t>
      </w:r>
      <w:r w:rsidRPr="00C9049C">
        <w:rPr>
          <w:rFonts w:ascii="標楷體" w:eastAsia="標楷體" w:hAnsi="標楷體"/>
          <w:b/>
          <w:bCs/>
          <w:szCs w:val="24"/>
        </w:rPr>
        <w:t>2.14</w:t>
      </w:r>
      <w:r w:rsidRPr="00C9049C">
        <w:rPr>
          <w:rFonts w:ascii="標楷體" w:eastAsia="標楷體" w:hAnsi="標楷體"/>
          <w:szCs w:val="24"/>
        </w:rPr>
        <w:t xml:space="preserve"> 提升至約 </w:t>
      </w:r>
      <w:r w:rsidRPr="00C9049C">
        <w:rPr>
          <w:rFonts w:ascii="標楷體" w:eastAsia="標楷體" w:hAnsi="標楷體"/>
          <w:b/>
          <w:bCs/>
          <w:szCs w:val="24"/>
        </w:rPr>
        <w:t>3.17</w:t>
      </w:r>
      <w:r w:rsidRPr="00C9049C">
        <w:rPr>
          <w:rFonts w:ascii="標楷體" w:eastAsia="標楷體" w:hAnsi="標楷體"/>
          <w:szCs w:val="24"/>
        </w:rPr>
        <w:t xml:space="preserve">，顯示單位風險報酬明顯改善；從權重配置來看，所羅門在四資產切點投資組合中占 </w:t>
      </w:r>
      <w:r w:rsidRPr="00C9049C">
        <w:rPr>
          <w:rFonts w:ascii="標楷體" w:eastAsia="標楷體" w:hAnsi="標楷體"/>
          <w:b/>
          <w:bCs/>
          <w:szCs w:val="24"/>
        </w:rPr>
        <w:t>32.6%</w:t>
      </w:r>
      <w:r w:rsidRPr="00C9049C">
        <w:rPr>
          <w:rFonts w:ascii="標楷體" w:eastAsia="標楷體" w:hAnsi="標楷體"/>
          <w:szCs w:val="24"/>
        </w:rPr>
        <w:t>，成為重要配置標的。因此，在本研究樣本期間與模型設定下，所羅門可以視為具有效率改善效果的</w:t>
      </w:r>
      <w:proofErr w:type="gramStart"/>
      <w:r w:rsidRPr="00C9049C">
        <w:rPr>
          <w:rFonts w:ascii="標楷體" w:eastAsia="標楷體" w:hAnsi="標楷體"/>
          <w:szCs w:val="24"/>
        </w:rPr>
        <w:t>第四家標的</w:t>
      </w:r>
      <w:proofErr w:type="gramEnd"/>
      <w:r w:rsidRPr="00C9049C">
        <w:rPr>
          <w:rFonts w:ascii="標楷體" w:eastAsia="標楷體" w:hAnsi="標楷體"/>
          <w:szCs w:val="24"/>
        </w:rPr>
        <w:t>，其加入使投資組合在報酬、風險分散與整體效率上皆有正向表現。</w:t>
      </w:r>
    </w:p>
    <w:p w14:paraId="7BAFA8B7" w14:textId="28A4D634" w:rsidR="008C6A9E" w:rsidRPr="00C9049C" w:rsidRDefault="00C9049C" w:rsidP="00C9049C">
      <w:pPr>
        <w:rPr>
          <w:rFonts w:ascii="標楷體" w:eastAsia="標楷體" w:hAnsi="標楷體"/>
          <w:szCs w:val="24"/>
        </w:rPr>
      </w:pPr>
      <w:r>
        <w:rPr>
          <w:noProof/>
        </w:rPr>
        <w:lastRenderedPageBreak/>
        <w:drawing>
          <wp:inline distT="0" distB="0" distL="0" distR="0" wp14:anchorId="31EC3307" wp14:editId="2A2E1493">
            <wp:extent cx="5274310" cy="3228340"/>
            <wp:effectExtent l="0" t="0" r="2540" b="0"/>
            <wp:docPr id="1302331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5397">
        <w:drawing>
          <wp:inline distT="0" distB="0" distL="0" distR="0" wp14:anchorId="45FBCA74" wp14:editId="17FC395D">
            <wp:extent cx="5274310" cy="5227955"/>
            <wp:effectExtent l="0" t="0" r="2540" b="0"/>
            <wp:docPr id="4697706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70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C4BDD" wp14:editId="3512229D">
            <wp:extent cx="5274310" cy="3627120"/>
            <wp:effectExtent l="0" t="0" r="2540" b="0"/>
            <wp:docPr id="68676047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A53F8" wp14:editId="38CBBF6C">
            <wp:extent cx="5274310" cy="2463165"/>
            <wp:effectExtent l="0" t="0" r="2540" b="0"/>
            <wp:docPr id="80835713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582" cy="246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6A9E" w:rsidRPr="00C904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9E"/>
    <w:rsid w:val="001871CC"/>
    <w:rsid w:val="002259C9"/>
    <w:rsid w:val="002453E0"/>
    <w:rsid w:val="002B494A"/>
    <w:rsid w:val="003B15EF"/>
    <w:rsid w:val="00617E55"/>
    <w:rsid w:val="008C6A9E"/>
    <w:rsid w:val="00A1287A"/>
    <w:rsid w:val="00AD02AD"/>
    <w:rsid w:val="00C9049C"/>
    <w:rsid w:val="00D621C3"/>
    <w:rsid w:val="00EF3FBD"/>
    <w:rsid w:val="00F2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5B5D"/>
  <w15:chartTrackingRefBased/>
  <w15:docId w15:val="{3AF1668E-A178-4E6F-B7FA-2FCF4671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6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婷伃 蔡</dc:creator>
  <cp:keywords/>
  <dc:description/>
  <cp:lastModifiedBy>家聰 朱</cp:lastModifiedBy>
  <cp:revision>2</cp:revision>
  <cp:lastPrinted>2026-05-01T08:09:00Z</cp:lastPrinted>
  <dcterms:created xsi:type="dcterms:W3CDTF">2026-05-01T08:12:00Z</dcterms:created>
  <dcterms:modified xsi:type="dcterms:W3CDTF">2026-05-01T08:12:00Z</dcterms:modified>
</cp:coreProperties>
</file>