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45A8" w14:textId="22C6181A" w:rsidR="0013712F" w:rsidRPr="0013712F" w:rsidRDefault="0013712F" w:rsidP="0013712F">
      <w:pPr>
        <w:rPr>
          <w:rFonts w:asciiTheme="minorEastAsia" w:hAnsiTheme="minorEastAsia"/>
        </w:rPr>
      </w:pPr>
    </w:p>
    <w:p w14:paraId="30558066" w14:textId="5B2BA7D6" w:rsidR="0013712F" w:rsidRPr="0013712F" w:rsidRDefault="0013712F" w:rsidP="0013712F">
      <w:pPr>
        <w:rPr>
          <w:rFonts w:asciiTheme="minorEastAsia" w:hAnsiTheme="minorEastAsia"/>
          <w:b/>
          <w:bCs/>
        </w:rPr>
      </w:pPr>
      <w:r w:rsidRPr="0013712F">
        <w:rPr>
          <w:rFonts w:asciiTheme="minorEastAsia" w:hAnsiTheme="minorEastAsia"/>
          <w:b/>
          <w:bCs/>
        </w:rPr>
        <w:t>金融數據分析 期中報告：共同三家設定說明</w:t>
      </w:r>
    </w:p>
    <w:p w14:paraId="19A772BB" w14:textId="77777777" w:rsidR="0013712F" w:rsidRPr="0013712F" w:rsidRDefault="0013712F" w:rsidP="0013712F">
      <w:pPr>
        <w:rPr>
          <w:rFonts w:asciiTheme="minorEastAsia" w:hAnsiTheme="minorEastAsia"/>
        </w:rPr>
      </w:pPr>
      <w:r w:rsidRPr="0013712F">
        <w:rPr>
          <w:rFonts w:asciiTheme="minorEastAsia" w:hAnsiTheme="minorEastAsia"/>
        </w:rPr>
        <w:t>組員： 黃柏栩 (411136004)、朱家聰 (411136066)</w:t>
      </w:r>
    </w:p>
    <w:p w14:paraId="47E93086" w14:textId="77777777" w:rsidR="0013712F" w:rsidRPr="0013712F" w:rsidRDefault="0013712F" w:rsidP="0013712F">
      <w:pPr>
        <w:rPr>
          <w:rFonts w:asciiTheme="minorEastAsia" w:hAnsiTheme="minorEastAsia"/>
        </w:rPr>
      </w:pPr>
      <w:r w:rsidRPr="0013712F">
        <w:rPr>
          <w:rFonts w:asciiTheme="minorEastAsia" w:hAnsiTheme="minorEastAsia"/>
        </w:rPr>
        <w:t>共同三家標的： 台積電 (2330)、長榮 (2603)、富邦金 (2881)</w:t>
      </w:r>
    </w:p>
    <w:p w14:paraId="57F74E2F" w14:textId="77777777" w:rsidR="0013712F" w:rsidRPr="0013712F" w:rsidRDefault="0013712F" w:rsidP="0013712F">
      <w:pPr>
        <w:rPr>
          <w:rFonts w:asciiTheme="minorEastAsia" w:hAnsiTheme="minorEastAsia"/>
        </w:rPr>
      </w:pPr>
      <w:r w:rsidRPr="0013712F">
        <w:rPr>
          <w:rFonts w:asciiTheme="minorEastAsia" w:hAnsiTheme="minorEastAsia"/>
        </w:rPr>
        <w:t>共同三家選取依據與產業代表性說明</w:t>
      </w:r>
    </w:p>
    <w:p w14:paraId="247CAFFF" w14:textId="77777777" w:rsidR="0013712F" w:rsidRPr="0013712F" w:rsidRDefault="0013712F" w:rsidP="0013712F">
      <w:pPr>
        <w:rPr>
          <w:rFonts w:asciiTheme="minorEastAsia" w:hAnsiTheme="minorEastAsia"/>
          <w:b/>
          <w:bCs/>
        </w:rPr>
      </w:pPr>
      <w:r w:rsidRPr="0013712F">
        <w:rPr>
          <w:rFonts w:asciiTheme="minorEastAsia" w:hAnsiTheme="minorEastAsia"/>
          <w:b/>
          <w:bCs/>
        </w:rPr>
        <w:t>1. 科技與半導體產業代表：台積電 (2330)</w:t>
      </w:r>
    </w:p>
    <w:p w14:paraId="5E7895D6" w14:textId="34D2B454" w:rsidR="0013712F" w:rsidRPr="0013712F" w:rsidRDefault="0013712F" w:rsidP="0013712F">
      <w:pPr>
        <w:numPr>
          <w:ilvl w:val="0"/>
          <w:numId w:val="1"/>
        </w:numPr>
        <w:rPr>
          <w:rFonts w:asciiTheme="minorEastAsia" w:hAnsiTheme="minorEastAsia"/>
        </w:rPr>
      </w:pPr>
      <w:r w:rsidRPr="0013712F">
        <w:rPr>
          <w:rFonts w:asciiTheme="minorEastAsia" w:hAnsiTheme="minorEastAsia"/>
        </w:rPr>
        <w:t>台積電為台灣股市市值最大的權值股，更是全球晶圓代工的龍頭，代表了台灣最強勢的電子與半導體產業。</w:t>
      </w:r>
    </w:p>
    <w:p w14:paraId="53192887" w14:textId="18E6295E" w:rsidR="0013712F" w:rsidRPr="0013712F" w:rsidRDefault="0013712F" w:rsidP="0013712F">
      <w:pPr>
        <w:numPr>
          <w:ilvl w:val="0"/>
          <w:numId w:val="1"/>
        </w:numPr>
        <w:rPr>
          <w:rFonts w:asciiTheme="minorEastAsia" w:hAnsiTheme="minorEastAsia"/>
        </w:rPr>
      </w:pPr>
      <w:r w:rsidRPr="0013712F">
        <w:rPr>
          <w:rFonts w:asciiTheme="minorEastAsia" w:hAnsiTheme="minorEastAsia"/>
          <w:b/>
          <w:bCs/>
        </w:rPr>
        <w:t>風險報酬特性：</w:t>
      </w:r>
      <w:r w:rsidRPr="0013712F">
        <w:rPr>
          <w:rFonts w:asciiTheme="minorEastAsia" w:hAnsiTheme="minorEastAsia"/>
        </w:rPr>
        <w:t xml:space="preserve"> 營運表現與股價高度連動於全球科技景氣循環、AI (人工智慧) 需求浪潮、高效能運算及外資資金動向。將其納入，能確保投資組合捕捉到台灣市場最具爆發力與長線成長動能的科技產業報酬。</w:t>
      </w:r>
    </w:p>
    <w:p w14:paraId="0734B191" w14:textId="77777777" w:rsidR="0013712F" w:rsidRPr="0013712F" w:rsidRDefault="0013712F" w:rsidP="0013712F">
      <w:pPr>
        <w:rPr>
          <w:rFonts w:asciiTheme="minorEastAsia" w:hAnsiTheme="minorEastAsia"/>
          <w:b/>
          <w:bCs/>
        </w:rPr>
      </w:pPr>
      <w:r w:rsidRPr="0013712F">
        <w:rPr>
          <w:rFonts w:asciiTheme="minorEastAsia" w:hAnsiTheme="minorEastAsia"/>
          <w:b/>
          <w:bCs/>
        </w:rPr>
        <w:t>2. 傳統航運與全球貿易代表：長榮 (2603)</w:t>
      </w:r>
    </w:p>
    <w:p w14:paraId="0B8CB815" w14:textId="125CD076" w:rsidR="0013712F" w:rsidRPr="0013712F" w:rsidRDefault="0013712F" w:rsidP="0013712F">
      <w:pPr>
        <w:numPr>
          <w:ilvl w:val="0"/>
          <w:numId w:val="2"/>
        </w:numPr>
        <w:rPr>
          <w:rFonts w:asciiTheme="minorEastAsia" w:hAnsiTheme="minorEastAsia"/>
        </w:rPr>
      </w:pPr>
      <w:r w:rsidRPr="0013712F">
        <w:rPr>
          <w:rFonts w:asciiTheme="minorEastAsia" w:hAnsiTheme="minorEastAsia"/>
        </w:rPr>
        <w:t>長榮海運是台灣航運類股的指標企業。航運業的景氣循環邏輯與科技股完全不同，是極佳的異質性資產。</w:t>
      </w:r>
    </w:p>
    <w:p w14:paraId="307EBE25" w14:textId="77777777" w:rsidR="0013712F" w:rsidRPr="0013712F" w:rsidRDefault="0013712F" w:rsidP="0013712F">
      <w:pPr>
        <w:numPr>
          <w:ilvl w:val="0"/>
          <w:numId w:val="2"/>
        </w:numPr>
        <w:rPr>
          <w:rFonts w:asciiTheme="minorEastAsia" w:hAnsiTheme="minorEastAsia"/>
        </w:rPr>
      </w:pPr>
      <w:r w:rsidRPr="0013712F">
        <w:rPr>
          <w:rFonts w:asciiTheme="minorEastAsia" w:hAnsiTheme="minorEastAsia"/>
          <w:b/>
          <w:bCs/>
        </w:rPr>
        <w:t>風險報酬特性：</w:t>
      </w:r>
      <w:r w:rsidRPr="0013712F">
        <w:rPr>
          <w:rFonts w:asciiTheme="minorEastAsia" w:hAnsiTheme="minorEastAsia"/>
        </w:rPr>
        <w:t xml:space="preserve"> 其營運深受全球實體貿易總量、海運運價指數 (如 SCFI)、國際油價波動及地緣政治等總體經濟因素影響。將其納入，可讓投資組合涵蓋與科技業相關性較低</w:t>
      </w:r>
      <w:proofErr w:type="gramStart"/>
      <w:r w:rsidRPr="0013712F">
        <w:rPr>
          <w:rFonts w:asciiTheme="minorEastAsia" w:hAnsiTheme="minorEastAsia"/>
        </w:rPr>
        <w:t>的傳產動能</w:t>
      </w:r>
      <w:proofErr w:type="gramEnd"/>
      <w:r w:rsidRPr="0013712F">
        <w:rPr>
          <w:rFonts w:asciiTheme="minorEastAsia" w:hAnsiTheme="minorEastAsia"/>
        </w:rPr>
        <w:t>，增加組合對全球實體經濟變化的敏感度。</w:t>
      </w:r>
    </w:p>
    <w:p w14:paraId="095153FB" w14:textId="77777777" w:rsidR="0013712F" w:rsidRPr="0013712F" w:rsidRDefault="0013712F" w:rsidP="0013712F">
      <w:pPr>
        <w:rPr>
          <w:rFonts w:asciiTheme="minorEastAsia" w:hAnsiTheme="minorEastAsia"/>
          <w:b/>
          <w:bCs/>
        </w:rPr>
      </w:pPr>
      <w:r w:rsidRPr="0013712F">
        <w:rPr>
          <w:rFonts w:asciiTheme="minorEastAsia" w:hAnsiTheme="minorEastAsia"/>
          <w:b/>
          <w:bCs/>
        </w:rPr>
        <w:t>3. 金融服務與資本市場代表：富邦金 (2881)</w:t>
      </w:r>
    </w:p>
    <w:p w14:paraId="100F830D" w14:textId="0DB5FF75" w:rsidR="0013712F" w:rsidRPr="0013712F" w:rsidRDefault="0013712F" w:rsidP="0013712F">
      <w:pPr>
        <w:numPr>
          <w:ilvl w:val="0"/>
          <w:numId w:val="3"/>
        </w:numPr>
        <w:rPr>
          <w:rFonts w:asciiTheme="minorEastAsia" w:hAnsiTheme="minorEastAsia"/>
        </w:rPr>
      </w:pPr>
      <w:proofErr w:type="gramStart"/>
      <w:r w:rsidRPr="0013712F">
        <w:rPr>
          <w:rFonts w:asciiTheme="minorEastAsia" w:hAnsiTheme="minorEastAsia"/>
        </w:rPr>
        <w:t>富邦金控是</w:t>
      </w:r>
      <w:proofErr w:type="gramEnd"/>
      <w:r w:rsidRPr="0013712F">
        <w:rPr>
          <w:rFonts w:asciiTheme="minorEastAsia" w:hAnsiTheme="minorEastAsia"/>
        </w:rPr>
        <w:t>台灣獲利能力與市值皆名列前茅的金融機構，業務橫跨壽險、銀行與證券，能全面代表台灣的金融控股產業。</w:t>
      </w:r>
    </w:p>
    <w:p w14:paraId="6AB6CD8C" w14:textId="77777777" w:rsidR="0013712F" w:rsidRDefault="0013712F" w:rsidP="0013712F">
      <w:pPr>
        <w:numPr>
          <w:ilvl w:val="0"/>
          <w:numId w:val="3"/>
        </w:numPr>
        <w:rPr>
          <w:rFonts w:asciiTheme="minorEastAsia" w:hAnsiTheme="minorEastAsia"/>
        </w:rPr>
      </w:pPr>
      <w:r w:rsidRPr="0013712F">
        <w:rPr>
          <w:rFonts w:asciiTheme="minorEastAsia" w:hAnsiTheme="minorEastAsia"/>
          <w:b/>
          <w:bCs/>
        </w:rPr>
        <w:t>風險報酬特性：</w:t>
      </w:r>
      <w:r w:rsidRPr="0013712F">
        <w:rPr>
          <w:rFonts w:asciiTheme="minorEastAsia" w:hAnsiTheme="minorEastAsia"/>
        </w:rPr>
        <w:t xml:space="preserve"> 金融股的表現通常與全球利率環境 (升/降息循環)、總體經濟穩定度及資本市場榮枯息息相關。由於其具備相對穩定的配息與較低的長期波動度，在投資組合中通常扮演穩固底盤、提供穩定現金流與防禦性的重要角色。</w:t>
      </w:r>
    </w:p>
    <w:p w14:paraId="4A21CD33" w14:textId="77777777" w:rsidR="0013712F" w:rsidRPr="0013712F" w:rsidRDefault="0013712F" w:rsidP="0013712F">
      <w:pPr>
        <w:ind w:left="720"/>
        <w:rPr>
          <w:rFonts w:asciiTheme="minorEastAsia" w:hAnsiTheme="minorEastAsia"/>
        </w:rPr>
      </w:pPr>
    </w:p>
    <w:p w14:paraId="7AA8061F" w14:textId="77777777" w:rsidR="0013712F" w:rsidRDefault="0013712F" w:rsidP="0013712F">
      <w:pPr>
        <w:ind w:left="720"/>
        <w:rPr>
          <w:rFonts w:asciiTheme="minorEastAsia" w:hAnsiTheme="minorEastAsia"/>
          <w:b/>
          <w:bCs/>
        </w:rPr>
      </w:pPr>
    </w:p>
    <w:p w14:paraId="13EE3163" w14:textId="1AFFC169" w:rsidR="0013712F" w:rsidRPr="0013712F" w:rsidRDefault="0013712F" w:rsidP="0013712F">
      <w:pPr>
        <w:rPr>
          <w:rFonts w:asciiTheme="minorEastAsia" w:hAnsiTheme="minorEastAsia"/>
        </w:rPr>
      </w:pPr>
      <w:r w:rsidRPr="0013712F">
        <w:rPr>
          <w:rFonts w:asciiTheme="minorEastAsia" w:hAnsiTheme="minorEastAsia"/>
          <w:b/>
          <w:bCs/>
        </w:rPr>
        <w:lastRenderedPageBreak/>
        <w:t>總結</w:t>
      </w:r>
    </w:p>
    <w:p w14:paraId="3D9138B9" w14:textId="214A4535" w:rsidR="0013712F" w:rsidRPr="0013712F" w:rsidRDefault="0013712F" w:rsidP="0013712F">
      <w:pPr>
        <w:rPr>
          <w:rFonts w:asciiTheme="minorEastAsia" w:hAnsiTheme="minorEastAsia"/>
        </w:rPr>
      </w:pPr>
      <w:proofErr w:type="gramStart"/>
      <w:r w:rsidRPr="0013712F">
        <w:rPr>
          <w:rFonts w:asciiTheme="minorEastAsia" w:hAnsiTheme="minorEastAsia"/>
        </w:rPr>
        <w:t>本組挑選</w:t>
      </w:r>
      <w:proofErr w:type="gramEnd"/>
      <w:r w:rsidRPr="0013712F">
        <w:rPr>
          <w:rFonts w:asciiTheme="minorEastAsia" w:hAnsiTheme="minorEastAsia"/>
        </w:rPr>
        <w:t xml:space="preserve">「科技 (2330) + </w:t>
      </w:r>
      <w:proofErr w:type="gramStart"/>
      <w:r w:rsidRPr="0013712F">
        <w:rPr>
          <w:rFonts w:asciiTheme="minorEastAsia" w:hAnsiTheme="minorEastAsia"/>
        </w:rPr>
        <w:t>傳產航運</w:t>
      </w:r>
      <w:proofErr w:type="gramEnd"/>
      <w:r w:rsidRPr="0013712F">
        <w:rPr>
          <w:rFonts w:asciiTheme="minorEastAsia" w:hAnsiTheme="minorEastAsia"/>
        </w:rPr>
        <w:t xml:space="preserve"> (2603) + 金融 (2881)」</w:t>
      </w:r>
      <w:proofErr w:type="gramStart"/>
      <w:r w:rsidRPr="0013712F">
        <w:rPr>
          <w:rFonts w:asciiTheme="minorEastAsia" w:hAnsiTheme="minorEastAsia"/>
        </w:rPr>
        <w:t>這三檔分屬</w:t>
      </w:r>
      <w:proofErr w:type="gramEnd"/>
      <w:r w:rsidRPr="0013712F">
        <w:rPr>
          <w:rFonts w:asciiTheme="minorEastAsia" w:hAnsiTheme="minorEastAsia"/>
        </w:rPr>
        <w:t>不同領域的龍頭股，成功建立了一個具備高度產業分散性的「共同三家基礎組合」。</w:t>
      </w:r>
    </w:p>
    <w:p w14:paraId="0739DEC3" w14:textId="5E8A5C8C" w:rsidR="0013712F" w:rsidRPr="0013712F" w:rsidRDefault="0013712F" w:rsidP="0013712F">
      <w:pPr>
        <w:rPr>
          <w:rFonts w:asciiTheme="minorEastAsia" w:hAnsiTheme="minorEastAsia"/>
        </w:rPr>
      </w:pPr>
      <w:r w:rsidRPr="0013712F">
        <w:rPr>
          <w:rFonts w:asciiTheme="minorEastAsia" w:hAnsiTheme="minorEastAsia"/>
        </w:rPr>
        <w:t>這樣的設定，確保了在後續加入各自的「第四家差異標的」時，能夠在一個客觀、且涵蓋廣泛市場特性的</w:t>
      </w:r>
      <w:proofErr w:type="gramStart"/>
      <w:r w:rsidRPr="0013712F">
        <w:rPr>
          <w:rFonts w:asciiTheme="minorEastAsia" w:hAnsiTheme="minorEastAsia"/>
        </w:rPr>
        <w:t>基準線上</w:t>
      </w:r>
      <w:proofErr w:type="gramEnd"/>
      <w:r w:rsidRPr="0013712F">
        <w:rPr>
          <w:rFonts w:asciiTheme="minorEastAsia" w:hAnsiTheme="minorEastAsia"/>
        </w:rPr>
        <w:t>，精</w:t>
      </w:r>
      <w:proofErr w:type="gramStart"/>
      <w:r w:rsidRPr="0013712F">
        <w:rPr>
          <w:rFonts w:asciiTheme="minorEastAsia" w:hAnsiTheme="minorEastAsia"/>
        </w:rPr>
        <w:t>準</w:t>
      </w:r>
      <w:proofErr w:type="gramEnd"/>
      <w:r w:rsidRPr="0013712F">
        <w:rPr>
          <w:rFonts w:asciiTheme="minorEastAsia" w:hAnsiTheme="minorEastAsia"/>
        </w:rPr>
        <w:t>比較並衡量</w:t>
      </w:r>
      <w:proofErr w:type="gramStart"/>
      <w:r w:rsidRPr="0013712F">
        <w:rPr>
          <w:rFonts w:asciiTheme="minorEastAsia" w:hAnsiTheme="minorEastAsia"/>
        </w:rPr>
        <w:t>第四家標的</w:t>
      </w:r>
      <w:proofErr w:type="gramEnd"/>
      <w:r w:rsidRPr="0013712F">
        <w:rPr>
          <w:rFonts w:asciiTheme="minorEastAsia" w:hAnsiTheme="minorEastAsia"/>
        </w:rPr>
        <w:t>對投資組合效率前緣帶來的真實改善效果。</w:t>
      </w:r>
    </w:p>
    <w:p w14:paraId="2B41F253" w14:textId="77777777" w:rsidR="009A0D1C" w:rsidRPr="0013712F" w:rsidRDefault="009A0D1C"/>
    <w:sectPr w:rsidR="009A0D1C" w:rsidRPr="0013712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C3425"/>
    <w:multiLevelType w:val="multilevel"/>
    <w:tmpl w:val="471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627D0"/>
    <w:multiLevelType w:val="multilevel"/>
    <w:tmpl w:val="2892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956CD"/>
    <w:multiLevelType w:val="multilevel"/>
    <w:tmpl w:val="733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864763">
    <w:abstractNumId w:val="1"/>
  </w:num>
  <w:num w:numId="2" w16cid:durableId="1194727514">
    <w:abstractNumId w:val="2"/>
  </w:num>
  <w:num w:numId="3" w16cid:durableId="49233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2F"/>
    <w:rsid w:val="000459FB"/>
    <w:rsid w:val="0013712F"/>
    <w:rsid w:val="002434CB"/>
    <w:rsid w:val="00255033"/>
    <w:rsid w:val="003961C0"/>
    <w:rsid w:val="00540CAF"/>
    <w:rsid w:val="006E4ECC"/>
    <w:rsid w:val="0096590E"/>
    <w:rsid w:val="009A0D1C"/>
    <w:rsid w:val="00D505A4"/>
    <w:rsid w:val="00DE57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CB19"/>
  <w15:chartTrackingRefBased/>
  <w15:docId w15:val="{CA939125-25BC-4557-B2C7-59B3CCA8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712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3712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3712F"/>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13712F"/>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13712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3712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3712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712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3712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3712F"/>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13712F"/>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13712F"/>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13712F"/>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13712F"/>
    <w:rPr>
      <w:rFonts w:eastAsiaTheme="majorEastAsia" w:cstheme="majorBidi"/>
      <w:color w:val="2F5496" w:themeColor="accent1" w:themeShade="BF"/>
    </w:rPr>
  </w:style>
  <w:style w:type="character" w:customStyle="1" w:styleId="60">
    <w:name w:val="標題 6 字元"/>
    <w:basedOn w:val="a0"/>
    <w:link w:val="6"/>
    <w:uiPriority w:val="9"/>
    <w:semiHidden/>
    <w:rsid w:val="0013712F"/>
    <w:rPr>
      <w:rFonts w:eastAsiaTheme="majorEastAsia" w:cstheme="majorBidi"/>
      <w:color w:val="595959" w:themeColor="text1" w:themeTint="A6"/>
    </w:rPr>
  </w:style>
  <w:style w:type="character" w:customStyle="1" w:styleId="70">
    <w:name w:val="標題 7 字元"/>
    <w:basedOn w:val="a0"/>
    <w:link w:val="7"/>
    <w:uiPriority w:val="9"/>
    <w:semiHidden/>
    <w:rsid w:val="0013712F"/>
    <w:rPr>
      <w:rFonts w:eastAsiaTheme="majorEastAsia" w:cstheme="majorBidi"/>
      <w:color w:val="595959" w:themeColor="text1" w:themeTint="A6"/>
    </w:rPr>
  </w:style>
  <w:style w:type="character" w:customStyle="1" w:styleId="80">
    <w:name w:val="標題 8 字元"/>
    <w:basedOn w:val="a0"/>
    <w:link w:val="8"/>
    <w:uiPriority w:val="9"/>
    <w:semiHidden/>
    <w:rsid w:val="0013712F"/>
    <w:rPr>
      <w:rFonts w:eastAsiaTheme="majorEastAsia" w:cstheme="majorBidi"/>
      <w:color w:val="272727" w:themeColor="text1" w:themeTint="D8"/>
    </w:rPr>
  </w:style>
  <w:style w:type="character" w:customStyle="1" w:styleId="90">
    <w:name w:val="標題 9 字元"/>
    <w:basedOn w:val="a0"/>
    <w:link w:val="9"/>
    <w:uiPriority w:val="9"/>
    <w:semiHidden/>
    <w:rsid w:val="0013712F"/>
    <w:rPr>
      <w:rFonts w:eastAsiaTheme="majorEastAsia" w:cstheme="majorBidi"/>
      <w:color w:val="272727" w:themeColor="text1" w:themeTint="D8"/>
    </w:rPr>
  </w:style>
  <w:style w:type="paragraph" w:styleId="a3">
    <w:name w:val="Title"/>
    <w:basedOn w:val="a"/>
    <w:next w:val="a"/>
    <w:link w:val="a4"/>
    <w:uiPriority w:val="10"/>
    <w:qFormat/>
    <w:rsid w:val="001371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37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71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371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712F"/>
    <w:pPr>
      <w:spacing w:before="160"/>
      <w:jc w:val="center"/>
    </w:pPr>
    <w:rPr>
      <w:i/>
      <w:iCs/>
      <w:color w:val="404040" w:themeColor="text1" w:themeTint="BF"/>
    </w:rPr>
  </w:style>
  <w:style w:type="character" w:customStyle="1" w:styleId="a8">
    <w:name w:val="引文 字元"/>
    <w:basedOn w:val="a0"/>
    <w:link w:val="a7"/>
    <w:uiPriority w:val="29"/>
    <w:rsid w:val="0013712F"/>
    <w:rPr>
      <w:i/>
      <w:iCs/>
      <w:color w:val="404040" w:themeColor="text1" w:themeTint="BF"/>
    </w:rPr>
  </w:style>
  <w:style w:type="paragraph" w:styleId="a9">
    <w:name w:val="List Paragraph"/>
    <w:basedOn w:val="a"/>
    <w:uiPriority w:val="34"/>
    <w:qFormat/>
    <w:rsid w:val="0013712F"/>
    <w:pPr>
      <w:ind w:left="720"/>
      <w:contextualSpacing/>
    </w:pPr>
  </w:style>
  <w:style w:type="character" w:styleId="aa">
    <w:name w:val="Intense Emphasis"/>
    <w:basedOn w:val="a0"/>
    <w:uiPriority w:val="21"/>
    <w:qFormat/>
    <w:rsid w:val="0013712F"/>
    <w:rPr>
      <w:i/>
      <w:iCs/>
      <w:color w:val="2F5496" w:themeColor="accent1" w:themeShade="BF"/>
    </w:rPr>
  </w:style>
  <w:style w:type="paragraph" w:styleId="ab">
    <w:name w:val="Intense Quote"/>
    <w:basedOn w:val="a"/>
    <w:next w:val="a"/>
    <w:link w:val="ac"/>
    <w:uiPriority w:val="30"/>
    <w:qFormat/>
    <w:rsid w:val="00137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13712F"/>
    <w:rPr>
      <w:i/>
      <w:iCs/>
      <w:color w:val="2F5496" w:themeColor="accent1" w:themeShade="BF"/>
    </w:rPr>
  </w:style>
  <w:style w:type="character" w:styleId="ad">
    <w:name w:val="Intense Reference"/>
    <w:basedOn w:val="a0"/>
    <w:uiPriority w:val="32"/>
    <w:qFormat/>
    <w:rsid w:val="00137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柏栩 黃</dc:creator>
  <cp:keywords/>
  <dc:description/>
  <cp:lastModifiedBy>家聰 朱</cp:lastModifiedBy>
  <cp:revision>2</cp:revision>
  <dcterms:created xsi:type="dcterms:W3CDTF">2026-05-01T09:51:00Z</dcterms:created>
  <dcterms:modified xsi:type="dcterms:W3CDTF">2026-05-01T09:51:00Z</dcterms:modified>
</cp:coreProperties>
</file>