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D80F" w14:textId="1549054F" w:rsidR="00A8432E" w:rsidRDefault="00A8432E" w:rsidP="00A8432E">
      <w:pPr>
        <w:jc w:val="center"/>
        <w:rPr>
          <w:rFonts w:ascii="標楷體" w:eastAsia="標楷體" w:hAnsi="標楷體"/>
          <w:sz w:val="28"/>
          <w:szCs w:val="28"/>
        </w:rPr>
      </w:pPr>
      <w:r w:rsidRPr="00A8432E">
        <w:rPr>
          <w:rFonts w:ascii="標楷體" w:eastAsia="標楷體" w:hAnsi="標楷體" w:hint="eastAsia"/>
          <w:sz w:val="28"/>
          <w:szCs w:val="28"/>
        </w:rPr>
        <w:t>第一組-</w:t>
      </w:r>
      <w:r w:rsidRPr="00A8432E">
        <w:rPr>
          <w:rFonts w:ascii="標楷體" w:eastAsia="標楷體" w:hAnsi="標楷體"/>
          <w:sz w:val="28"/>
          <w:szCs w:val="28"/>
        </w:rPr>
        <w:t>共同三家基礎標的選取依據說明</w:t>
      </w:r>
    </w:p>
    <w:p w14:paraId="12F0F2AC" w14:textId="329F3F63" w:rsidR="00A8432E" w:rsidRDefault="00A8432E" w:rsidP="00A8432E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組員: </w:t>
      </w:r>
      <w:proofErr w:type="gramStart"/>
      <w:r>
        <w:rPr>
          <w:rFonts w:ascii="標楷體" w:eastAsia="標楷體" w:hAnsi="標楷體" w:hint="eastAsia"/>
        </w:rPr>
        <w:t>財金碩</w:t>
      </w:r>
      <w:proofErr w:type="gramEnd"/>
      <w:r>
        <w:rPr>
          <w:rFonts w:ascii="標楷體" w:eastAsia="標楷體" w:hAnsi="標楷體" w:hint="eastAsia"/>
        </w:rPr>
        <w:t>二 611336023 羅錦嘉</w:t>
      </w:r>
    </w:p>
    <w:p w14:paraId="5F6135CB" w14:textId="18AEF434" w:rsidR="00A8432E" w:rsidRDefault="00A8432E" w:rsidP="00A8432E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</w:t>
      </w:r>
      <w:proofErr w:type="gramStart"/>
      <w:r>
        <w:rPr>
          <w:rFonts w:ascii="標楷體" w:eastAsia="標楷體" w:hAnsi="標楷體" w:hint="eastAsia"/>
        </w:rPr>
        <w:t>財金碩</w:t>
      </w:r>
      <w:proofErr w:type="gramEnd"/>
      <w:r>
        <w:rPr>
          <w:rFonts w:ascii="標楷體" w:eastAsia="標楷體" w:hAnsi="標楷體" w:hint="eastAsia"/>
        </w:rPr>
        <w:t>二 611336038 李秉</w:t>
      </w:r>
      <w:proofErr w:type="gramStart"/>
      <w:r>
        <w:rPr>
          <w:rFonts w:ascii="標楷體" w:eastAsia="標楷體" w:hAnsi="標楷體" w:hint="eastAsia"/>
        </w:rPr>
        <w:t>諺</w:t>
      </w:r>
      <w:proofErr w:type="gramEnd"/>
    </w:p>
    <w:p w14:paraId="07A3C33B" w14:textId="68E5D878" w:rsidR="00A8432E" w:rsidRDefault="00A8432E" w:rsidP="00A8432E">
      <w:pPr>
        <w:jc w:val="both"/>
        <w:rPr>
          <w:rFonts w:ascii="標楷體" w:eastAsia="標楷體" w:hAnsi="標楷體" w:hint="eastAsia"/>
        </w:rPr>
      </w:pPr>
      <w:r w:rsidRPr="00A8432E">
        <w:rPr>
          <w:rFonts w:ascii="標楷體" w:eastAsia="標楷體" w:hAnsi="標楷體"/>
        </w:rPr>
        <w:pict w14:anchorId="22E5E744">
          <v:rect id="_x0000_i1034" style="width:0;height:1.5pt" o:hralign="center" o:hrstd="t" o:hr="t" fillcolor="#a0a0a0" stroked="f"/>
        </w:pict>
      </w:r>
    </w:p>
    <w:p w14:paraId="42EB5AB2" w14:textId="77777777" w:rsidR="00A8432E" w:rsidRPr="00A8432E" w:rsidRDefault="00A8432E" w:rsidP="00A8432E">
      <w:pPr>
        <w:jc w:val="both"/>
        <w:rPr>
          <w:rFonts w:ascii="標楷體" w:eastAsia="標楷體" w:hAnsi="標楷體"/>
          <w:b/>
          <w:bCs/>
        </w:rPr>
      </w:pPr>
      <w:r w:rsidRPr="00A8432E">
        <w:rPr>
          <w:rFonts w:ascii="標楷體" w:eastAsia="標楷體" w:hAnsi="標楷體"/>
          <w:b/>
          <w:bCs/>
        </w:rPr>
        <w:t>一、 共同基礎投資組合標的清單</w:t>
      </w:r>
    </w:p>
    <w:p w14:paraId="5A03428B" w14:textId="7C371D2D" w:rsidR="00A8432E" w:rsidRPr="00A8432E" w:rsidRDefault="00A8432E" w:rsidP="00A8432E">
      <w:p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</w:rPr>
        <w:t>本小組經共同討論後，決議選取以下</w:t>
      </w:r>
      <w:r>
        <w:rPr>
          <w:rFonts w:ascii="標楷體" w:eastAsia="標楷體" w:hAnsi="標楷體" w:hint="eastAsia"/>
        </w:rPr>
        <w:t>2024年</w:t>
      </w:r>
      <w:r w:rsidRPr="00A8432E">
        <w:rPr>
          <w:rFonts w:ascii="標楷體" w:eastAsia="標楷體" w:hAnsi="標楷體"/>
        </w:rPr>
        <w:t>三檔台灣股市上市標的，作為本次效率前緣分析之「基礎投資組合（Control Group）」：</w:t>
      </w:r>
    </w:p>
    <w:p w14:paraId="4A1CAD35" w14:textId="77777777" w:rsidR="00A8432E" w:rsidRPr="00A8432E" w:rsidRDefault="00A8432E" w:rsidP="00A8432E">
      <w:pPr>
        <w:numPr>
          <w:ilvl w:val="0"/>
          <w:numId w:val="1"/>
        </w:num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台達電 (2308)</w:t>
      </w:r>
      <w:r w:rsidRPr="00A8432E">
        <w:rPr>
          <w:rFonts w:ascii="標楷體" w:eastAsia="標楷體" w:hAnsi="標楷體"/>
        </w:rPr>
        <w:t xml:space="preserve"> － 產業類別：電子零組件業 / 科技類股</w:t>
      </w:r>
    </w:p>
    <w:p w14:paraId="492D9482" w14:textId="77777777" w:rsidR="00A8432E" w:rsidRPr="00A8432E" w:rsidRDefault="00A8432E" w:rsidP="00A8432E">
      <w:pPr>
        <w:numPr>
          <w:ilvl w:val="0"/>
          <w:numId w:val="1"/>
        </w:num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富邦金 (2881)</w:t>
      </w:r>
      <w:r w:rsidRPr="00A8432E">
        <w:rPr>
          <w:rFonts w:ascii="標楷體" w:eastAsia="標楷體" w:hAnsi="標楷體"/>
        </w:rPr>
        <w:t xml:space="preserve"> － 產業類別：金融保險業</w:t>
      </w:r>
    </w:p>
    <w:p w14:paraId="74A7194A" w14:textId="77777777" w:rsidR="00A8432E" w:rsidRPr="00A8432E" w:rsidRDefault="00A8432E" w:rsidP="00A8432E">
      <w:pPr>
        <w:numPr>
          <w:ilvl w:val="0"/>
          <w:numId w:val="1"/>
        </w:num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長榮 (2603)</w:t>
      </w:r>
      <w:r w:rsidRPr="00A8432E">
        <w:rPr>
          <w:rFonts w:ascii="標楷體" w:eastAsia="標楷體" w:hAnsi="標楷體"/>
        </w:rPr>
        <w:t xml:space="preserve"> － 產業類別：航運業 / 景氣循環股</w:t>
      </w:r>
    </w:p>
    <w:p w14:paraId="1F274108" w14:textId="77777777" w:rsidR="00A8432E" w:rsidRPr="00A8432E" w:rsidRDefault="00A8432E" w:rsidP="00A8432E">
      <w:pPr>
        <w:jc w:val="both"/>
        <w:rPr>
          <w:rFonts w:ascii="標楷體" w:eastAsia="標楷體" w:hAnsi="標楷體"/>
          <w:b/>
          <w:bCs/>
        </w:rPr>
      </w:pPr>
      <w:r w:rsidRPr="00A8432E">
        <w:rPr>
          <w:rFonts w:ascii="標楷體" w:eastAsia="標楷體" w:hAnsi="標楷體"/>
          <w:b/>
          <w:bCs/>
        </w:rPr>
        <w:t>二、 選取依據與投資策略邏輯</w:t>
      </w:r>
    </w:p>
    <w:p w14:paraId="3FF68ACD" w14:textId="77777777" w:rsidR="00A8432E" w:rsidRPr="00A8432E" w:rsidRDefault="00A8432E" w:rsidP="00A8432E">
      <w:p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</w:rPr>
        <w:t>本小組選取上述三檔標的之核心邏輯，主要基於「跨產業風險分散」</w:t>
      </w:r>
      <w:r w:rsidRPr="00A8432E">
        <w:rPr>
          <w:rFonts w:ascii="標楷體" w:eastAsia="標楷體" w:hAnsi="標楷體"/>
          <w:b/>
          <w:bCs/>
        </w:rPr>
        <w:t>與</w:t>
      </w:r>
      <w:r w:rsidRPr="00A8432E">
        <w:rPr>
          <w:rFonts w:ascii="標楷體" w:eastAsia="標楷體" w:hAnsi="標楷體"/>
        </w:rPr>
        <w:t>「資產特性互補」兩大原則，詳細說明如下：</w:t>
      </w:r>
    </w:p>
    <w:p w14:paraId="7037AB78" w14:textId="77777777" w:rsidR="00A8432E" w:rsidRPr="00A8432E" w:rsidRDefault="00A8432E" w:rsidP="00A8432E">
      <w:p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1. 嚴格的跨產業配置，最大化消除「非系統性風險」</w:t>
      </w:r>
      <w:r w:rsidRPr="00A8432E">
        <w:rPr>
          <w:rFonts w:ascii="標楷體" w:eastAsia="標楷體" w:hAnsi="標楷體"/>
        </w:rPr>
        <w:t xml:space="preserve"> 根據 Markowitz 的現代投資組合理論（MPT），當投資組合中的資產相關係數（Correlation Coefficient）越低時，風險分散的效果越好。我們刻意避開了高度集中的單一產業（例如全選半導體或全選金融），而是橫跨了</w:t>
      </w:r>
      <w:r w:rsidRPr="00A8432E">
        <w:rPr>
          <w:rFonts w:ascii="標楷體" w:eastAsia="標楷體" w:hAnsi="標楷體"/>
          <w:b/>
          <w:bCs/>
        </w:rPr>
        <w:t>科技製造、金融服務、傳統航運</w:t>
      </w:r>
      <w:r w:rsidRPr="00A8432E">
        <w:rPr>
          <w:rFonts w:ascii="標楷體" w:eastAsia="標楷體" w:hAnsi="標楷體"/>
        </w:rPr>
        <w:t>三個截然不同的經濟板塊。這樣的配置能有效降低</w:t>
      </w:r>
      <w:proofErr w:type="gramStart"/>
      <w:r w:rsidRPr="00A8432E">
        <w:rPr>
          <w:rFonts w:ascii="標楷體" w:eastAsia="標楷體" w:hAnsi="標楷體"/>
        </w:rPr>
        <w:t>資產間的共</w:t>
      </w:r>
      <w:proofErr w:type="gramEnd"/>
      <w:r w:rsidRPr="00A8432E">
        <w:rPr>
          <w:rFonts w:ascii="標楷體" w:eastAsia="標楷體" w:hAnsi="標楷體"/>
        </w:rPr>
        <w:t>變異數（Covariance），在面對單一產業的利空打擊時，能大幅降低投資組合的非系統性風險。</w:t>
      </w:r>
    </w:p>
    <w:p w14:paraId="22BA01FF" w14:textId="77777777" w:rsidR="00A8432E" w:rsidRPr="00A8432E" w:rsidRDefault="00A8432E" w:rsidP="00A8432E">
      <w:p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2. 標的在投資組合中的角色定位明確</w:t>
      </w:r>
      <w:r w:rsidRPr="00A8432E">
        <w:rPr>
          <w:rFonts w:ascii="標楷體" w:eastAsia="標楷體" w:hAnsi="標楷體"/>
        </w:rPr>
        <w:t xml:space="preserve"> 這三家公司不僅是各產業的龍頭（具備極佳的市場代表性與流動性），它們在風險與報酬的貢獻上也扮演著不同角色：</w:t>
      </w:r>
    </w:p>
    <w:p w14:paraId="54EB6096" w14:textId="77777777" w:rsidR="00A8432E" w:rsidRPr="00A8432E" w:rsidRDefault="00A8432E" w:rsidP="00A8432E">
      <w:pPr>
        <w:numPr>
          <w:ilvl w:val="0"/>
          <w:numId w:val="2"/>
        </w:num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t>富邦金 (2881) － 組合的「防禦與穩健基石」：</w:t>
      </w:r>
      <w:r w:rsidRPr="00A8432E">
        <w:rPr>
          <w:rFonts w:ascii="標楷體" w:eastAsia="標楷體" w:hAnsi="標楷體"/>
        </w:rPr>
        <w:t xml:space="preserve"> 作為國內</w:t>
      </w:r>
      <w:proofErr w:type="gramStart"/>
      <w:r w:rsidRPr="00A8432E">
        <w:rPr>
          <w:rFonts w:ascii="標楷體" w:eastAsia="標楷體" w:hAnsi="標楷體"/>
        </w:rPr>
        <w:t>大型金控</w:t>
      </w:r>
      <w:proofErr w:type="gramEnd"/>
      <w:r w:rsidRPr="00A8432E">
        <w:rPr>
          <w:rFonts w:ascii="標楷體" w:eastAsia="標楷體" w:hAnsi="標楷體"/>
        </w:rPr>
        <w:t>，其獲利與配息相對穩定。在量化數據上，金融股的波動率（標準差）通常較低，能為整體投資組合提供下檔保護，發揮穩定變異數的作用。</w:t>
      </w:r>
    </w:p>
    <w:p w14:paraId="5955BF22" w14:textId="0117956D" w:rsidR="00A8432E" w:rsidRPr="00A8432E" w:rsidRDefault="00A8432E" w:rsidP="00A8432E">
      <w:pPr>
        <w:numPr>
          <w:ilvl w:val="0"/>
          <w:numId w:val="2"/>
        </w:numPr>
        <w:jc w:val="both"/>
        <w:rPr>
          <w:rFonts w:ascii="標楷體" w:eastAsia="標楷體" w:hAnsi="標楷體" w:hint="eastAsia"/>
        </w:rPr>
      </w:pPr>
      <w:r w:rsidRPr="00A8432E">
        <w:rPr>
          <w:rFonts w:ascii="標楷體" w:eastAsia="標楷體" w:hAnsi="標楷體"/>
          <w:b/>
          <w:bCs/>
        </w:rPr>
        <w:t>台達電 (2308) － 組合的「長期成長引擎」：</w:t>
      </w:r>
      <w:r w:rsidRPr="00A8432E">
        <w:rPr>
          <w:rFonts w:ascii="標楷體" w:eastAsia="標楷體" w:hAnsi="標楷體"/>
        </w:rPr>
        <w:t xml:space="preserve"> 受惠於全球 AI 伺服器、電動車與</w:t>
      </w:r>
      <w:proofErr w:type="gramStart"/>
      <w:r w:rsidRPr="00A8432E">
        <w:rPr>
          <w:rFonts w:ascii="標楷體" w:eastAsia="標楷體" w:hAnsi="標楷體"/>
        </w:rPr>
        <w:t>綠能減碳</w:t>
      </w:r>
      <w:proofErr w:type="gramEnd"/>
      <w:r w:rsidRPr="00A8432E">
        <w:rPr>
          <w:rFonts w:ascii="標楷體" w:eastAsia="標楷體" w:hAnsi="標楷體"/>
        </w:rPr>
        <w:t>趨勢，台達電具備強健的長期基本面與成長動能。它在承擔適度風險的同時，能為投資組合帶來穩定的資本利得期望值。</w:t>
      </w:r>
      <w:r>
        <w:rPr>
          <w:rFonts w:ascii="標楷體" w:eastAsia="標楷體" w:hAnsi="標楷體"/>
        </w:rPr>
        <w:br w:type="page"/>
      </w:r>
    </w:p>
    <w:p w14:paraId="4B376E78" w14:textId="77777777" w:rsidR="00A8432E" w:rsidRPr="00A8432E" w:rsidRDefault="00A8432E" w:rsidP="00A8432E">
      <w:pPr>
        <w:numPr>
          <w:ilvl w:val="0"/>
          <w:numId w:val="2"/>
        </w:numPr>
        <w:jc w:val="both"/>
        <w:rPr>
          <w:rFonts w:ascii="標楷體" w:eastAsia="標楷體" w:hAnsi="標楷體"/>
        </w:rPr>
      </w:pPr>
      <w:r w:rsidRPr="00A8432E">
        <w:rPr>
          <w:rFonts w:ascii="標楷體" w:eastAsia="標楷體" w:hAnsi="標楷體"/>
          <w:b/>
          <w:bCs/>
        </w:rPr>
        <w:lastRenderedPageBreak/>
        <w:t>長榮 (2603) － 組合的「爆發力與超額報酬來源」：</w:t>
      </w:r>
      <w:r w:rsidRPr="00A8432E">
        <w:rPr>
          <w:rFonts w:ascii="標楷體" w:eastAsia="標楷體" w:hAnsi="標楷體"/>
        </w:rPr>
        <w:t xml:space="preserve"> 航運股屬於標準的景氣循環股，其股價波動度（風險）極大。然而，在高風險的背後，它在特定時期能提供極高的歷史報酬率與</w:t>
      </w:r>
      <w:proofErr w:type="gramStart"/>
      <w:r w:rsidRPr="00A8432E">
        <w:rPr>
          <w:rFonts w:ascii="標楷體" w:eastAsia="標楷體" w:hAnsi="標楷體"/>
        </w:rPr>
        <w:t>殖</w:t>
      </w:r>
      <w:proofErr w:type="gramEnd"/>
      <w:r w:rsidRPr="00A8432E">
        <w:rPr>
          <w:rFonts w:ascii="標楷體" w:eastAsia="標楷體" w:hAnsi="標楷體"/>
        </w:rPr>
        <w:t>利率。將其納入組合，可測試高波動資產在不同權重配置下，對效率前緣曲線（向右上方延伸）的影響。</w:t>
      </w:r>
    </w:p>
    <w:p w14:paraId="610B9287" w14:textId="77777777" w:rsidR="00A8432E" w:rsidRPr="00A8432E" w:rsidRDefault="00A8432E" w:rsidP="00A8432E">
      <w:pPr>
        <w:rPr>
          <w:rFonts w:ascii="標楷體" w:eastAsia="標楷體" w:hAnsi="標楷體"/>
          <w:b/>
          <w:bCs/>
        </w:rPr>
      </w:pPr>
      <w:r w:rsidRPr="00A8432E">
        <w:rPr>
          <w:rFonts w:ascii="標楷體" w:eastAsia="標楷體" w:hAnsi="標楷體"/>
          <w:b/>
          <w:bCs/>
        </w:rPr>
        <w:t>三、 後續實驗目標與比較基準</w:t>
      </w:r>
    </w:p>
    <w:p w14:paraId="14013D3B" w14:textId="77777777" w:rsidR="00A8432E" w:rsidRPr="00A8432E" w:rsidRDefault="00A8432E" w:rsidP="00A8432E">
      <w:pPr>
        <w:rPr>
          <w:rFonts w:ascii="標楷體" w:eastAsia="標楷體" w:hAnsi="標楷體"/>
        </w:rPr>
      </w:pPr>
      <w:r w:rsidRPr="00A8432E">
        <w:rPr>
          <w:rFonts w:ascii="標楷體" w:eastAsia="標楷體" w:hAnsi="標楷體"/>
        </w:rPr>
        <w:t>我們建立此「2308、2881、2603」三資產組合的目的，是為後續的量化實驗建立一條「標準效率前緣基準線 (Baseline Efficient Frontier)」。</w:t>
      </w:r>
    </w:p>
    <w:p w14:paraId="0E96C166" w14:textId="139C614F" w:rsidR="00A8432E" w:rsidRPr="00A8432E" w:rsidRDefault="00A8432E" w:rsidP="00A8432E">
      <w:pPr>
        <w:rPr>
          <w:rFonts w:ascii="標楷體" w:eastAsia="標楷體" w:hAnsi="標楷體"/>
        </w:rPr>
      </w:pPr>
      <w:r w:rsidRPr="00A8432E">
        <w:rPr>
          <w:rFonts w:ascii="標楷體" w:eastAsia="標楷體" w:hAnsi="標楷體"/>
        </w:rPr>
        <w:t>在此</w:t>
      </w:r>
      <w:proofErr w:type="gramStart"/>
      <w:r w:rsidRPr="00A8432E">
        <w:rPr>
          <w:rFonts w:ascii="標楷體" w:eastAsia="標楷體" w:hAnsi="標楷體"/>
        </w:rPr>
        <w:t>一</w:t>
      </w:r>
      <w:proofErr w:type="gramEnd"/>
      <w:r w:rsidRPr="00A8432E">
        <w:rPr>
          <w:rFonts w:ascii="標楷體" w:eastAsia="標楷體" w:hAnsi="標楷體"/>
        </w:rPr>
        <w:t>穩固的跨產業基礎上，</w:t>
      </w:r>
      <w:proofErr w:type="gramStart"/>
      <w:r w:rsidRPr="00A8432E">
        <w:rPr>
          <w:rFonts w:ascii="標楷體" w:eastAsia="標楷體" w:hAnsi="標楷體"/>
        </w:rPr>
        <w:t>本組三位</w:t>
      </w:r>
      <w:proofErr w:type="gramEnd"/>
      <w:r w:rsidRPr="00A8432E">
        <w:rPr>
          <w:rFonts w:ascii="標楷體" w:eastAsia="標楷體" w:hAnsi="標楷體"/>
        </w:rPr>
        <w:t>組員將分別投入各自選定的</w:t>
      </w:r>
      <w:proofErr w:type="gramStart"/>
      <w:r w:rsidRPr="00A8432E">
        <w:rPr>
          <w:rFonts w:ascii="標楷體" w:eastAsia="標楷體" w:hAnsi="標楷體"/>
        </w:rPr>
        <w:t>第四家標的（</w:t>
      </w:r>
      <w:proofErr w:type="gramEnd"/>
      <w:r w:rsidRPr="00A8432E">
        <w:rPr>
          <w:rFonts w:ascii="標楷體" w:eastAsia="標楷體" w:hAnsi="標楷體"/>
        </w:rPr>
        <w:t>如：生技醫療股 6446</w:t>
      </w:r>
      <w:proofErr w:type="gramStart"/>
      <w:r>
        <w:rPr>
          <w:rFonts w:ascii="標楷體" w:eastAsia="標楷體" w:hAnsi="標楷體" w:hint="eastAsia"/>
        </w:rPr>
        <w:t>藥華藥</w:t>
      </w:r>
      <w:proofErr w:type="gramEnd"/>
      <w:r w:rsidRPr="00A8432E">
        <w:rPr>
          <w:rFonts w:ascii="標楷體" w:eastAsia="標楷體" w:hAnsi="標楷體"/>
        </w:rPr>
        <w:t>、電信防禦股 4904</w:t>
      </w:r>
      <w:r>
        <w:rPr>
          <w:rFonts w:ascii="標楷體" w:eastAsia="標楷體" w:hAnsi="標楷體" w:hint="eastAsia"/>
        </w:rPr>
        <w:t>遠傳</w:t>
      </w:r>
      <w:r w:rsidRPr="00A8432E">
        <w:rPr>
          <w:rFonts w:ascii="標楷體" w:eastAsia="標楷體" w:hAnsi="標楷體"/>
        </w:rPr>
        <w:t xml:space="preserve"> 等</w:t>
      </w:r>
      <w:proofErr w:type="gramStart"/>
      <w:r w:rsidRPr="00A8432E">
        <w:rPr>
          <w:rFonts w:ascii="標楷體" w:eastAsia="標楷體" w:hAnsi="標楷體"/>
        </w:rPr>
        <w:t>）</w:t>
      </w:r>
      <w:proofErr w:type="gramEnd"/>
      <w:r w:rsidRPr="00A8432E">
        <w:rPr>
          <w:rFonts w:ascii="標楷體" w:eastAsia="標楷體" w:hAnsi="標楷體"/>
        </w:rPr>
        <w:t>。我們預期透過程式計算得出不同</w:t>
      </w:r>
      <w:proofErr w:type="gramStart"/>
      <w:r w:rsidRPr="00A8432E">
        <w:rPr>
          <w:rFonts w:ascii="標楷體" w:eastAsia="標楷體" w:hAnsi="標楷體"/>
        </w:rPr>
        <w:t>權重下的</w:t>
      </w:r>
      <w:proofErr w:type="gramEnd"/>
      <w:r w:rsidRPr="00A8432E">
        <w:rPr>
          <w:rFonts w:ascii="標楷體" w:eastAsia="標楷體" w:hAnsi="標楷體"/>
        </w:rPr>
        <w:t xml:space="preserve">期望報酬率 </w:t>
      </w:r>
      <w:r>
        <w:rPr>
          <w:rFonts w:ascii="標楷體" w:eastAsia="標楷體" w:hAnsi="標楷體" w:hint="eastAsia"/>
        </w:rPr>
        <w:t>E(</w:t>
      </w:r>
      <w:r w:rsidRPr="00A8432E">
        <w:rPr>
          <w:rFonts w:ascii="標楷體" w:eastAsia="標楷體" w:hAnsi="標楷體"/>
        </w:rPr>
        <w:t>Rp) 與投資組合標準差，並藉由比較「三資產」與「四資產」的</w:t>
      </w:r>
      <w:r w:rsidRPr="00A8432E">
        <w:rPr>
          <w:rFonts w:ascii="標楷體" w:eastAsia="標楷體" w:hAnsi="標楷體"/>
          <w:b/>
          <w:bCs/>
        </w:rPr>
        <w:t>最大報酬風險比（變異係數的倒數）</w:t>
      </w:r>
      <w:r w:rsidRPr="00A8432E">
        <w:rPr>
          <w:rFonts w:ascii="標楷體" w:eastAsia="標楷體" w:hAnsi="標楷體"/>
        </w:rPr>
        <w:t>，來科學化地驗證：加入哪一種特性的第四家資產，最能使效率前緣向左上方移動，達到最佳的投資組合優化效果。</w:t>
      </w:r>
    </w:p>
    <w:p w14:paraId="1C4FEED8" w14:textId="77777777" w:rsidR="00A8432E" w:rsidRPr="00A8432E" w:rsidRDefault="00A8432E" w:rsidP="00A8432E">
      <w:pPr>
        <w:rPr>
          <w:rFonts w:ascii="標楷體" w:eastAsia="標楷體" w:hAnsi="標楷體" w:hint="eastAsia"/>
        </w:rPr>
      </w:pPr>
    </w:p>
    <w:sectPr w:rsidR="00A8432E" w:rsidRPr="00A843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50F79"/>
    <w:multiLevelType w:val="multilevel"/>
    <w:tmpl w:val="80F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010F8"/>
    <w:multiLevelType w:val="multilevel"/>
    <w:tmpl w:val="7E0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C0218"/>
    <w:multiLevelType w:val="multilevel"/>
    <w:tmpl w:val="07C2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25699"/>
    <w:multiLevelType w:val="multilevel"/>
    <w:tmpl w:val="CD78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638087">
    <w:abstractNumId w:val="2"/>
  </w:num>
  <w:num w:numId="2" w16cid:durableId="147406696">
    <w:abstractNumId w:val="1"/>
  </w:num>
  <w:num w:numId="3" w16cid:durableId="1706446593">
    <w:abstractNumId w:val="3"/>
  </w:num>
  <w:num w:numId="4" w16cid:durableId="184080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2E"/>
    <w:rsid w:val="000773A8"/>
    <w:rsid w:val="00497499"/>
    <w:rsid w:val="00A8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757A"/>
  <w15:chartTrackingRefBased/>
  <w15:docId w15:val="{94DFD381-BF8E-4C97-9098-0E0D3B7A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4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3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3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3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3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3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3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43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43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43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43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43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43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4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3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4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4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3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43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秉諺 李</dc:creator>
  <cp:keywords/>
  <dc:description/>
  <cp:lastModifiedBy>秉諺 李</cp:lastModifiedBy>
  <cp:revision>2</cp:revision>
  <dcterms:created xsi:type="dcterms:W3CDTF">2026-05-01T03:36:00Z</dcterms:created>
  <dcterms:modified xsi:type="dcterms:W3CDTF">2026-05-01T03:44:00Z</dcterms:modified>
</cp:coreProperties>
</file>