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金融數據分析　個人分析摘要</w:t>
      </w:r>
    </w:p>
    <w:p/>
    <w:p>
      <w:pPr>
        <w:jc w:val="center"/>
      </w:pPr>
      <w:r>
        <w:rPr>
          <w:b/>
          <w:sz w:val="24"/>
        </w:rPr>
        <w:t>課程名稱：</w:t>
      </w:r>
      <w:r>
        <w:rPr>
          <w:sz w:val="24"/>
        </w:rPr>
        <w:t>金融數據分析</w:t>
      </w:r>
    </w:p>
    <w:p>
      <w:pPr>
        <w:jc w:val="center"/>
      </w:pPr>
      <w:r>
        <w:rPr>
          <w:b/>
          <w:sz w:val="24"/>
        </w:rPr>
        <w:t>姓名：</w:t>
      </w:r>
      <w:r>
        <w:rPr>
          <w:sz w:val="24"/>
        </w:rPr>
        <w:t>孔亭諭</w:t>
      </w:r>
    </w:p>
    <w:p>
      <w:pPr>
        <w:jc w:val="center"/>
      </w:pPr>
      <w:r>
        <w:rPr>
          <w:b/>
          <w:sz w:val="24"/>
        </w:rPr>
        <w:t>學號：</w:t>
      </w:r>
      <w:r>
        <w:rPr>
          <w:sz w:val="24"/>
        </w:rPr>
        <w:t>611436002</w:t>
      </w:r>
    </w:p>
    <w:p>
      <w:pPr>
        <w:jc w:val="center"/>
      </w:pPr>
      <w:r>
        <w:rPr>
          <w:b/>
          <w:sz w:val="24"/>
        </w:rPr>
        <w:t>第四家標的：</w:t>
      </w:r>
      <w:r>
        <w:rPr>
          <w:sz w:val="24"/>
        </w:rPr>
        <w:t>GLD（SPDR 黃金 ETF）</w:t>
      </w:r>
    </w:p>
    <w:p>
      <w:pPr>
        <w:jc w:val="center"/>
      </w:pPr>
      <w:r>
        <w:rPr>
          <w:b/>
          <w:sz w:val="24"/>
        </w:rPr>
        <w:t>繳交日期：</w:t>
      </w:r>
      <w:r>
        <w:rPr>
          <w:sz w:val="24"/>
        </w:rPr>
        <w:t>2026 年 05 月 01 日</w:t>
      </w:r>
    </w:p>
    <w:p>
      <w:br w:type="page"/>
    </w:p>
    <w:p>
      <w:pPr>
        <w:pStyle w:val="Heading1"/>
      </w:pPr>
      <w:r>
        <w:rPr>
          <w:b/>
          <w:sz w:val="28"/>
        </w:rPr>
        <w:t>一、研究動機與第四家標的選取理由</w:t>
      </w:r>
    </w:p>
    <w:p>
      <w:pPr>
        <w:spacing w:after="120"/>
      </w:pPr>
      <w:r>
        <w:rPr>
          <w:sz w:val="24"/>
        </w:rPr>
        <w:t>本次個人分析以 Apple Inc.（AAPL）、JPMorgan Chase（JPM）、ExxonMobil（XOM）為共同三家基礎標的，三者分屬科技、金融、能源產業，具備中等程度的分散化基礎。個人選擇 SPDR 黃金 ETF（GLD）作為第四家標的，選取理由如下：</w:t>
      </w:r>
    </w:p>
    <w:p/>
    <w:p>
      <w:pPr>
        <w:spacing w:after="80"/>
        <w:ind w:left="360"/>
      </w:pPr>
      <w:r>
        <w:rPr>
          <w:b/>
          <w:sz w:val="24"/>
        </w:rPr>
        <w:t>1. 避險資產特性：</w:t>
      </w:r>
      <w:r>
        <w:rPr>
          <w:sz w:val="24"/>
        </w:rPr>
        <w:t>黃金長期被視為全球性避險資產，在股票市場系統性下跌時往往具有保值甚至增值效果，預期能有效降低以股票為主的投資組合整體風險。</w:t>
      </w:r>
    </w:p>
    <w:p>
      <w:pPr>
        <w:spacing w:after="80"/>
        <w:ind w:left="360"/>
      </w:pPr>
      <w:r>
        <w:rPr>
          <w:b/>
          <w:sz w:val="24"/>
        </w:rPr>
        <w:t>2. 低相關性驗證：</w:t>
      </w:r>
      <w:r>
        <w:rPr>
          <w:sz w:val="24"/>
        </w:rPr>
        <w:t>由相關係數矩陣可知，GLD 與 AAPL、JPM、XOM 的相關係數分別為 0.23、0.02、-0.08，其中與 XOM 呈負相關，代表在能源股下跌時黃金往往反向運動，分散效果顯著。三者相關係數均為四種候選第四家標的中最低。</w:t>
      </w:r>
    </w:p>
    <w:p>
      <w:pPr>
        <w:spacing w:after="80"/>
        <w:ind w:left="360"/>
      </w:pPr>
      <w:r>
        <w:rPr>
          <w:b/>
          <w:sz w:val="24"/>
        </w:rPr>
        <w:t>3. 資料完整性：</w:t>
      </w:r>
      <w:r>
        <w:rPr>
          <w:sz w:val="24"/>
        </w:rPr>
        <w:t>GLD 為美國最大黃金 ETF，流動性高，yfinance 平台 2020 年至 2024 年資料完整，59 筆月報酬率無缺值。</w:t>
      </w:r>
    </w:p>
    <w:p>
      <w:pPr>
        <w:spacing w:after="80"/>
        <w:ind w:left="360"/>
      </w:pPr>
      <w:r>
        <w:rPr>
          <w:b/>
          <w:sz w:val="24"/>
        </w:rPr>
        <w:t>4. 通膨對沖潛力：</w:t>
      </w:r>
      <w:r>
        <w:rPr>
          <w:sz w:val="24"/>
        </w:rPr>
        <w:t>研究期間（2020–2024 年）涵蓋疫情後通膨爆發期，黃金作為傳統抗通膨資產，在此環境下預期具有額外的避險價值。</w:t>
      </w:r>
    </w:p>
    <w:p/>
    <w:p>
      <w:pPr>
        <w:pStyle w:val="Heading1"/>
      </w:pPr>
      <w:r>
        <w:rPr>
          <w:b/>
          <w:sz w:val="28"/>
        </w:rPr>
        <w:t>二、資料說明</w:t>
      </w:r>
    </w:p>
    <w:p>
      <w:pPr>
        <w:spacing w:after="120"/>
      </w:pPr>
      <w:r>
        <w:rPr>
          <w:sz w:val="24"/>
        </w:rPr>
        <w:t>資料透過 Python yfinance 套件自 Yahoo Finance 平台抓取（auto_adjust=True），資料期間為 2020 年 1 月至 2024 年 12 月，月資料，共 60 個月價格、59 筆有效報酬率，採簡單報酬率計算。</w:t>
      </w:r>
    </w:p>
    <w:p/>
    <w:tbl>
      <w:tblPr>
        <w:tblStyle w:val="TableGrid"/>
        <w:tblW w:type="auto" w:w="0"/>
        <w:tblLook w:firstColumn="1" w:firstRow="1" w:lastColumn="0" w:lastRow="0" w:noHBand="0" w:noVBand="1" w:val="04A0"/>
      </w:tblPr>
      <w:tblGrid>
        <w:gridCol w:w="2161"/>
        <w:gridCol w:w="2161"/>
        <w:gridCol w:w="2161"/>
        <w:gridCol w:w="2161"/>
      </w:tblGrid>
      <w:tr>
        <w:tc>
          <w:tcPr>
            <w:tcW w:type="dxa" w:w="1728"/>
            <w:shd w:val="clear" w:color="auto" w:fill="BDD7EE"/>
          </w:tcPr>
          <w:p>
            <w:pPr>
              <w:jc w:val="center"/>
            </w:pPr>
            <w:r>
              <w:rPr>
                <w:b/>
                <w:sz w:val="21"/>
              </w:rPr>
              <w:t>標的</w:t>
            </w:r>
          </w:p>
        </w:tc>
        <w:tc>
          <w:tcPr>
            <w:tcW w:type="dxa" w:w="2304"/>
            <w:shd w:val="clear" w:color="auto" w:fill="BDD7EE"/>
          </w:tcPr>
          <w:p>
            <w:pPr>
              <w:jc w:val="center"/>
            </w:pPr>
            <w:r>
              <w:rPr>
                <w:b/>
                <w:sz w:val="21"/>
              </w:rPr>
              <w:t>月平均報酬率</w:t>
            </w:r>
          </w:p>
        </w:tc>
        <w:tc>
          <w:tcPr>
            <w:tcW w:type="dxa" w:w="2016"/>
            <w:shd w:val="clear" w:color="auto" w:fill="BDD7EE"/>
          </w:tcPr>
          <w:p>
            <w:pPr>
              <w:jc w:val="center"/>
            </w:pPr>
            <w:r>
              <w:rPr>
                <w:b/>
                <w:sz w:val="21"/>
              </w:rPr>
              <w:t>月標準差</w:t>
            </w:r>
          </w:p>
        </w:tc>
        <w:tc>
          <w:tcPr>
            <w:tcW w:type="dxa" w:w="4032"/>
            <w:shd w:val="clear" w:color="auto" w:fill="BDD7EE"/>
          </w:tcPr>
          <w:p>
            <w:pPr>
              <w:jc w:val="center"/>
            </w:pPr>
            <w:r>
              <w:rPr>
                <w:b/>
                <w:sz w:val="21"/>
              </w:rPr>
              <w:t>資產類別</w:t>
            </w:r>
          </w:p>
        </w:tc>
      </w:tr>
      <w:tr>
        <w:tc>
          <w:tcPr>
            <w:tcW w:type="dxa" w:w="1728"/>
          </w:tcPr>
          <w:p>
            <w:pPr>
              <w:jc w:val="center"/>
            </w:pPr>
            <w:r>
              <w:rPr>
                <w:sz w:val="21"/>
              </w:rPr>
              <w:t>AAPL</w:t>
            </w:r>
          </w:p>
        </w:tc>
        <w:tc>
          <w:tcPr>
            <w:tcW w:type="dxa" w:w="2304"/>
          </w:tcPr>
          <w:p>
            <w:pPr>
              <w:jc w:val="center"/>
            </w:pPr>
            <w:r>
              <w:rPr>
                <w:sz w:val="21"/>
              </w:rPr>
              <w:t>2.40%</w:t>
            </w:r>
          </w:p>
        </w:tc>
        <w:tc>
          <w:tcPr>
            <w:tcW w:type="dxa" w:w="2016"/>
          </w:tcPr>
          <w:p>
            <w:pPr>
              <w:jc w:val="center"/>
            </w:pPr>
            <w:r>
              <w:rPr>
                <w:sz w:val="21"/>
              </w:rPr>
              <w:t>8.41%</w:t>
            </w:r>
          </w:p>
        </w:tc>
        <w:tc>
          <w:tcPr>
            <w:tcW w:type="dxa" w:w="4032"/>
          </w:tcPr>
          <w:p>
            <w:pPr>
              <w:jc w:val="center"/>
            </w:pPr>
            <w:r>
              <w:rPr>
                <w:sz w:val="21"/>
              </w:rPr>
              <w:t>科技股（共同基準）</w:t>
            </w:r>
          </w:p>
        </w:tc>
      </w:tr>
      <w:tr>
        <w:tc>
          <w:tcPr>
            <w:tcW w:type="dxa" w:w="1728"/>
          </w:tcPr>
          <w:p>
            <w:pPr>
              <w:jc w:val="center"/>
            </w:pPr>
            <w:r>
              <w:rPr>
                <w:sz w:val="21"/>
              </w:rPr>
              <w:t>JPM</w:t>
            </w:r>
          </w:p>
        </w:tc>
        <w:tc>
          <w:tcPr>
            <w:tcW w:type="dxa" w:w="2304"/>
          </w:tcPr>
          <w:p>
            <w:pPr>
              <w:jc w:val="center"/>
            </w:pPr>
            <w:r>
              <w:rPr>
                <w:sz w:val="21"/>
              </w:rPr>
              <w:t>1.58%</w:t>
            </w:r>
          </w:p>
        </w:tc>
        <w:tc>
          <w:tcPr>
            <w:tcW w:type="dxa" w:w="2016"/>
          </w:tcPr>
          <w:p>
            <w:pPr>
              <w:jc w:val="center"/>
            </w:pPr>
            <w:r>
              <w:rPr>
                <w:sz w:val="21"/>
              </w:rPr>
              <w:t>8.12%</w:t>
            </w:r>
          </w:p>
        </w:tc>
        <w:tc>
          <w:tcPr>
            <w:tcW w:type="dxa" w:w="4032"/>
          </w:tcPr>
          <w:p>
            <w:pPr>
              <w:jc w:val="center"/>
            </w:pPr>
            <w:r>
              <w:rPr>
                <w:sz w:val="21"/>
              </w:rPr>
              <w:t>金融股（共同基準）</w:t>
            </w:r>
          </w:p>
        </w:tc>
      </w:tr>
      <w:tr>
        <w:tc>
          <w:tcPr>
            <w:tcW w:type="dxa" w:w="1728"/>
          </w:tcPr>
          <w:p>
            <w:pPr>
              <w:jc w:val="center"/>
            </w:pPr>
            <w:r>
              <w:rPr>
                <w:sz w:val="21"/>
              </w:rPr>
              <w:t>XOM</w:t>
            </w:r>
          </w:p>
        </w:tc>
        <w:tc>
          <w:tcPr>
            <w:tcW w:type="dxa" w:w="2304"/>
          </w:tcPr>
          <w:p>
            <w:pPr>
              <w:jc w:val="center"/>
            </w:pPr>
            <w:r>
              <w:rPr>
                <w:sz w:val="21"/>
              </w:rPr>
              <w:t>1.81%</w:t>
            </w:r>
          </w:p>
        </w:tc>
        <w:tc>
          <w:tcPr>
            <w:tcW w:type="dxa" w:w="2016"/>
          </w:tcPr>
          <w:p>
            <w:pPr>
              <w:jc w:val="center"/>
            </w:pPr>
            <w:r>
              <w:rPr>
                <w:sz w:val="21"/>
              </w:rPr>
              <w:t>9.73%</w:t>
            </w:r>
          </w:p>
        </w:tc>
        <w:tc>
          <w:tcPr>
            <w:tcW w:type="dxa" w:w="4032"/>
          </w:tcPr>
          <w:p>
            <w:pPr>
              <w:jc w:val="center"/>
            </w:pPr>
            <w:r>
              <w:rPr>
                <w:sz w:val="21"/>
              </w:rPr>
              <w:t>能源股（共同基準）</w:t>
            </w:r>
          </w:p>
        </w:tc>
      </w:tr>
      <w:tr>
        <w:tc>
          <w:tcPr>
            <w:tcW w:type="dxa" w:w="1728"/>
          </w:tcPr>
          <w:p>
            <w:pPr>
              <w:jc w:val="center"/>
            </w:pPr>
            <w:r>
              <w:rPr>
                <w:sz w:val="21"/>
              </w:rPr>
              <w:t>GLD</w:t>
            </w:r>
          </w:p>
        </w:tc>
        <w:tc>
          <w:tcPr>
            <w:tcW w:type="dxa" w:w="2304"/>
          </w:tcPr>
          <w:p>
            <w:pPr>
              <w:jc w:val="center"/>
            </w:pPr>
            <w:r>
              <w:rPr>
                <w:sz w:val="21"/>
              </w:rPr>
              <w:t>0.91%</w:t>
            </w:r>
          </w:p>
        </w:tc>
        <w:tc>
          <w:tcPr>
            <w:tcW w:type="dxa" w:w="2016"/>
          </w:tcPr>
          <w:p>
            <w:pPr>
              <w:jc w:val="center"/>
            </w:pPr>
            <w:r>
              <w:rPr>
                <w:sz w:val="21"/>
              </w:rPr>
              <w:t>4.16%</w:t>
            </w:r>
          </w:p>
        </w:tc>
        <w:tc>
          <w:tcPr>
            <w:tcW w:type="dxa" w:w="4032"/>
          </w:tcPr>
          <w:p>
            <w:pPr>
              <w:jc w:val="center"/>
            </w:pPr>
            <w:r>
              <w:rPr>
                <w:sz w:val="21"/>
              </w:rPr>
              <w:t>黃金 ETF（個人第四家）</w:t>
            </w:r>
          </w:p>
        </w:tc>
      </w:tr>
    </w:tbl>
    <w:p/>
    <w:p>
      <w:pPr>
        <w:pStyle w:val="Heading1"/>
      </w:pPr>
      <w:r>
        <w:rPr>
          <w:b/>
          <w:sz w:val="28"/>
        </w:rPr>
        <w:t>三、GLD 與三家基準之相關係數分析</w:t>
      </w:r>
    </w:p>
    <w:p>
      <w:pPr>
        <w:spacing w:after="120"/>
      </w:pPr>
      <w:r>
        <w:rPr>
          <w:sz w:val="24"/>
        </w:rPr>
        <w:t>以下為 GLD 與三家基準標的之相關係數，係自同一份月報酬率資料集計算：</w:t>
      </w:r>
    </w:p>
    <w:p/>
    <w:tbl>
      <w:tblPr>
        <w:tblStyle w:val="TableGrid"/>
        <w:tblW w:type="auto" w:w="0"/>
        <w:tblLook w:firstColumn="1" w:firstRow="1" w:lastColumn="0" w:lastRow="0" w:noHBand="0" w:noVBand="1" w:val="04A0"/>
      </w:tblPr>
      <w:tblGrid>
        <w:gridCol w:w="2882"/>
        <w:gridCol w:w="2882"/>
        <w:gridCol w:w="2882"/>
      </w:tblGrid>
      <w:tr>
        <w:tc>
          <w:tcPr>
            <w:tcW w:type="dxa" w:w="2880"/>
            <w:shd w:val="clear" w:color="auto" w:fill="BDD7EE"/>
          </w:tcPr>
          <w:p>
            <w:pPr>
              <w:jc w:val="center"/>
            </w:pPr>
            <w:r>
              <w:rPr>
                <w:b/>
                <w:sz w:val="21"/>
              </w:rPr>
              <w:t>標的組合</w:t>
            </w:r>
          </w:p>
        </w:tc>
        <w:tc>
          <w:tcPr>
            <w:tcW w:type="dxa" w:w="2160"/>
            <w:shd w:val="clear" w:color="auto" w:fill="BDD7EE"/>
          </w:tcPr>
          <w:p>
            <w:pPr>
              <w:jc w:val="center"/>
            </w:pPr>
            <w:r>
              <w:rPr>
                <w:b/>
                <w:sz w:val="21"/>
              </w:rPr>
              <w:t>相關係數</w:t>
            </w:r>
          </w:p>
        </w:tc>
        <w:tc>
          <w:tcPr>
            <w:tcW w:type="dxa" w:w="5040"/>
            <w:shd w:val="clear" w:color="auto" w:fill="BDD7EE"/>
          </w:tcPr>
          <w:p>
            <w:pPr>
              <w:jc w:val="center"/>
            </w:pPr>
            <w:r>
              <w:rPr>
                <w:b/>
                <w:sz w:val="21"/>
              </w:rPr>
              <w:t>解讀</w:t>
            </w:r>
          </w:p>
        </w:tc>
      </w:tr>
      <w:tr>
        <w:tc>
          <w:tcPr>
            <w:tcW w:type="dxa" w:w="2880"/>
          </w:tcPr>
          <w:p>
            <w:pPr>
              <w:jc w:val="center"/>
            </w:pPr>
            <w:r>
              <w:rPr>
                <w:sz w:val="21"/>
              </w:rPr>
              <w:t>GLD vs AAPL</w:t>
            </w:r>
          </w:p>
        </w:tc>
        <w:tc>
          <w:tcPr>
            <w:tcW w:type="dxa" w:w="2160"/>
          </w:tcPr>
          <w:p>
            <w:pPr>
              <w:jc w:val="center"/>
            </w:pPr>
            <w:r>
              <w:rPr>
                <w:sz w:val="21"/>
              </w:rPr>
              <w:t>0.23</w:t>
            </w:r>
          </w:p>
        </w:tc>
        <w:tc>
          <w:tcPr>
            <w:tcW w:type="dxa" w:w="5040"/>
          </w:tcPr>
          <w:p>
            <w:pPr>
              <w:jc w:val="center"/>
            </w:pPr>
            <w:r>
              <w:rPr>
                <w:sz w:val="21"/>
              </w:rPr>
              <w:t>低度正相關，分散效果明顯</w:t>
            </w:r>
          </w:p>
        </w:tc>
      </w:tr>
      <w:tr>
        <w:tc>
          <w:tcPr>
            <w:tcW w:type="dxa" w:w="2880"/>
          </w:tcPr>
          <w:p>
            <w:pPr>
              <w:jc w:val="center"/>
            </w:pPr>
            <w:r>
              <w:rPr>
                <w:sz w:val="21"/>
              </w:rPr>
              <w:t>GLD vs JPM</w:t>
            </w:r>
          </w:p>
        </w:tc>
        <w:tc>
          <w:tcPr>
            <w:tcW w:type="dxa" w:w="2160"/>
          </w:tcPr>
          <w:p>
            <w:pPr>
              <w:jc w:val="center"/>
            </w:pPr>
            <w:r>
              <w:rPr>
                <w:sz w:val="21"/>
              </w:rPr>
              <w:t>0.02</w:t>
            </w:r>
          </w:p>
        </w:tc>
        <w:tc>
          <w:tcPr>
            <w:tcW w:type="dxa" w:w="5040"/>
          </w:tcPr>
          <w:p>
            <w:pPr>
              <w:jc w:val="center"/>
            </w:pPr>
            <w:r>
              <w:rPr>
                <w:sz w:val="21"/>
              </w:rPr>
              <w:t>近乎零相關，分散效果極佳</w:t>
            </w:r>
          </w:p>
        </w:tc>
      </w:tr>
      <w:tr>
        <w:tc>
          <w:tcPr>
            <w:tcW w:type="dxa" w:w="2880"/>
          </w:tcPr>
          <w:p>
            <w:pPr>
              <w:jc w:val="center"/>
            </w:pPr>
            <w:r>
              <w:rPr>
                <w:sz w:val="21"/>
              </w:rPr>
              <w:t>GLD vs XOM</w:t>
            </w:r>
          </w:p>
        </w:tc>
        <w:tc>
          <w:tcPr>
            <w:tcW w:type="dxa" w:w="2160"/>
          </w:tcPr>
          <w:p>
            <w:pPr>
              <w:jc w:val="center"/>
            </w:pPr>
            <w:r>
              <w:rPr>
                <w:sz w:val="21"/>
              </w:rPr>
              <w:t>-0.08</w:t>
            </w:r>
          </w:p>
        </w:tc>
        <w:tc>
          <w:tcPr>
            <w:tcW w:type="dxa" w:w="5040"/>
          </w:tcPr>
          <w:p>
            <w:pPr>
              <w:jc w:val="center"/>
            </w:pPr>
            <w:r>
              <w:rPr>
                <w:sz w:val="21"/>
              </w:rPr>
              <w:t>負相關，具對沖效果</w:t>
            </w:r>
          </w:p>
        </w:tc>
      </w:tr>
    </w:tbl>
    <w:p/>
    <w:p>
      <w:pPr>
        <w:spacing w:after="120"/>
      </w:pPr>
      <w:r>
        <w:rPr>
          <w:sz w:val="24"/>
        </w:rPr>
        <w:t>GLD 與三家基準的相關係數均低於 0.25，其中與 JPM 幾乎無相關（0.02），與 XOM 呈負相關（-0.08）。這使得加入 GLD 後，共變異數矩陣中的跨資產共變異項大幅降低，從數學上有效壓縮投資組合整體變異數，提供顯著的分散化效益。</w:t>
      </w:r>
    </w:p>
    <w:p/>
    <w:p>
      <w:pPr>
        <w:pStyle w:val="Heading1"/>
      </w:pPr>
      <w:r>
        <w:rPr>
          <w:b/>
          <w:sz w:val="28"/>
        </w:rPr>
        <w:t>四、三家 vs 四家效率前緣比較結果</w:t>
      </w:r>
    </w:p>
    <w:p>
      <w:pPr>
        <w:pStyle w:val="Heading2"/>
      </w:pPr>
      <w:r>
        <w:rPr>
          <w:b/>
          <w:sz w:val="24"/>
        </w:rPr>
        <w:t>（一）MVP 數值比較</w:t>
      </w:r>
    </w:p>
    <w:tbl>
      <w:tblPr>
        <w:tblStyle w:val="TableGrid"/>
        <w:tblW w:type="auto" w:w="0"/>
        <w:tblLook w:firstColumn="1" w:firstRow="1" w:lastColumn="0" w:lastRow="0" w:noHBand="0" w:noVBand="1" w:val="04A0"/>
      </w:tblPr>
      <w:tblGrid>
        <w:gridCol w:w="2161"/>
        <w:gridCol w:w="2161"/>
        <w:gridCol w:w="2161"/>
        <w:gridCol w:w="2161"/>
      </w:tblGrid>
      <w:tr>
        <w:tc>
          <w:tcPr>
            <w:tcW w:type="dxa" w:w="2880"/>
            <w:shd w:val="clear" w:color="auto" w:fill="BDD7EE"/>
          </w:tcPr>
          <w:p>
            <w:pPr>
              <w:jc w:val="center"/>
            </w:pPr>
            <w:r>
              <w:rPr>
                <w:b/>
                <w:sz w:val="21"/>
              </w:rPr>
              <w:t>指標</w:t>
            </w:r>
          </w:p>
        </w:tc>
        <w:tc>
          <w:tcPr>
            <w:tcW w:type="dxa" w:w="2592"/>
            <w:shd w:val="clear" w:color="auto" w:fill="BDD7EE"/>
          </w:tcPr>
          <w:p>
            <w:pPr>
              <w:jc w:val="center"/>
            </w:pPr>
            <w:r>
              <w:rPr>
                <w:b/>
                <w:sz w:val="21"/>
              </w:rPr>
              <w:t>三家基準 MVP</w:t>
            </w:r>
          </w:p>
        </w:tc>
        <w:tc>
          <w:tcPr>
            <w:tcW w:type="dxa" w:w="3168"/>
            <w:shd w:val="clear" w:color="auto" w:fill="BDD7EE"/>
          </w:tcPr>
          <w:p>
            <w:pPr>
              <w:jc w:val="center"/>
            </w:pPr>
            <w:r>
              <w:rPr>
                <w:b/>
                <w:sz w:val="21"/>
              </w:rPr>
              <w:t>四家 MVP（含 GLD）</w:t>
            </w:r>
          </w:p>
        </w:tc>
        <w:tc>
          <w:tcPr>
            <w:tcW w:type="dxa" w:w="1440"/>
            <w:shd w:val="clear" w:color="auto" w:fill="BDD7EE"/>
          </w:tcPr>
          <w:p>
            <w:pPr>
              <w:jc w:val="center"/>
            </w:pPr>
            <w:r>
              <w:rPr>
                <w:b/>
                <w:sz w:val="21"/>
              </w:rPr>
              <w:t>變化</w:t>
            </w:r>
          </w:p>
        </w:tc>
      </w:tr>
      <w:tr>
        <w:tc>
          <w:tcPr>
            <w:tcW w:type="dxa" w:w="2880"/>
          </w:tcPr>
          <w:p>
            <w:pPr>
              <w:jc w:val="center"/>
            </w:pPr>
            <w:r>
              <w:rPr>
                <w:sz w:val="21"/>
              </w:rPr>
              <w:t>月平均報酬率</w:t>
            </w:r>
          </w:p>
        </w:tc>
        <w:tc>
          <w:tcPr>
            <w:tcW w:type="dxa" w:w="2592"/>
          </w:tcPr>
          <w:p>
            <w:pPr>
              <w:jc w:val="center"/>
            </w:pPr>
            <w:r>
              <w:rPr>
                <w:sz w:val="21"/>
              </w:rPr>
              <w:t>0.0200</w:t>
            </w:r>
          </w:p>
        </w:tc>
        <w:tc>
          <w:tcPr>
            <w:tcW w:type="dxa" w:w="3168"/>
          </w:tcPr>
          <w:p>
            <w:pPr>
              <w:jc w:val="center"/>
            </w:pPr>
            <w:r>
              <w:rPr>
                <w:sz w:val="21"/>
              </w:rPr>
              <w:t>0.0114</w:t>
            </w:r>
          </w:p>
        </w:tc>
        <w:tc>
          <w:tcPr>
            <w:tcW w:type="dxa" w:w="1440"/>
          </w:tcPr>
          <w:p>
            <w:pPr>
              <w:jc w:val="center"/>
            </w:pPr>
            <w:r>
              <w:rPr>
                <w:sz w:val="21"/>
              </w:rPr>
              <w:t>-43.16%</w:t>
            </w:r>
          </w:p>
        </w:tc>
      </w:tr>
      <w:tr>
        <w:tc>
          <w:tcPr>
            <w:tcW w:type="dxa" w:w="2880"/>
          </w:tcPr>
          <w:p>
            <w:pPr>
              <w:jc w:val="center"/>
            </w:pPr>
            <w:r>
              <w:rPr>
                <w:sz w:val="21"/>
              </w:rPr>
              <w:t>月標準差（風險）</w:t>
            </w:r>
          </w:p>
        </w:tc>
        <w:tc>
          <w:tcPr>
            <w:tcW w:type="dxa" w:w="2592"/>
          </w:tcPr>
          <w:p>
            <w:pPr>
              <w:jc w:val="center"/>
            </w:pPr>
            <w:r>
              <w:rPr>
                <w:sz w:val="21"/>
              </w:rPr>
              <w:t>0.0646</w:t>
            </w:r>
          </w:p>
        </w:tc>
        <w:tc>
          <w:tcPr>
            <w:tcW w:type="dxa" w:w="3168"/>
          </w:tcPr>
          <w:p>
            <w:pPr>
              <w:jc w:val="center"/>
            </w:pPr>
            <w:r>
              <w:rPr>
                <w:sz w:val="21"/>
              </w:rPr>
              <w:t>0.0360</w:t>
            </w:r>
          </w:p>
        </w:tc>
        <w:tc>
          <w:tcPr>
            <w:tcW w:type="dxa" w:w="1440"/>
          </w:tcPr>
          <w:p>
            <w:pPr>
              <w:jc w:val="center"/>
            </w:pPr>
            <w:r>
              <w:rPr>
                <w:sz w:val="21"/>
              </w:rPr>
              <w:t>↓ 44.32%</w:t>
            </w:r>
          </w:p>
        </w:tc>
      </w:tr>
    </w:tbl>
    <w:p/>
    <w:p>
      <w:pPr>
        <w:pStyle w:val="Heading2"/>
      </w:pPr>
      <w:r>
        <w:rPr>
          <w:b/>
          <w:sz w:val="24"/>
        </w:rPr>
        <w:t>（二）效率前緣圖</w:t>
      </w:r>
    </w:p>
    <w:p>
      <w:pPr>
        <w:spacing w:after="120"/>
      </w:pPr>
      <w:r>
        <w:rPr>
          <w:sz w:val="24"/>
        </w:rPr>
        <w:t>下圖呈現加入 GLD 前後之效率前緣比較。紅色實線為含 GLD 之四家效率前緣，藍色虛線為三家基準效率前緣。</w:t>
      </w:r>
    </w:p>
    <w:p/>
    <w:p>
      <w:pPr>
        <w:jc w:val="center"/>
      </w:pPr>
      <w:r>
        <w:drawing>
          <wp:inline xmlns:a="http://schemas.openxmlformats.org/drawingml/2006/main" xmlns:pic="http://schemas.openxmlformats.org/drawingml/2006/picture">
            <wp:extent cx="5029200" cy="3751741"/>
            <wp:docPr id="1" name="Picture 1"/>
            <wp:cNvGraphicFramePr>
              <a:graphicFrameLocks noChangeAspect="1"/>
            </wp:cNvGraphicFramePr>
            <a:graphic>
              <a:graphicData uri="http://schemas.openxmlformats.org/drawingml/2006/picture">
                <pic:pic>
                  <pic:nvPicPr>
                    <pic:cNvPr id="0" name="frontier_gld.png"/>
                    <pic:cNvPicPr/>
                  </pic:nvPicPr>
                  <pic:blipFill>
                    <a:blip r:embed="rId9"/>
                    <a:stretch>
                      <a:fillRect/>
                    </a:stretch>
                  </pic:blipFill>
                  <pic:spPr>
                    <a:xfrm>
                      <a:off x="0" y="0"/>
                      <a:ext cx="5029200" cy="3751741"/>
                    </a:xfrm>
                    <a:prstGeom prst="rect"/>
                  </pic:spPr>
                </pic:pic>
              </a:graphicData>
            </a:graphic>
          </wp:inline>
        </w:drawing>
      </w:r>
    </w:p>
    <w:p/>
    <w:p>
      <w:pPr>
        <w:pStyle w:val="Heading2"/>
      </w:pPr>
      <w:r>
        <w:rPr>
          <w:b/>
          <w:sz w:val="24"/>
        </w:rPr>
        <w:t>（三）圖形解讀</w:t>
      </w:r>
    </w:p>
    <w:p>
      <w:pPr>
        <w:spacing w:after="80"/>
        <w:ind w:left="360"/>
      </w:pPr>
      <w:r>
        <w:rPr>
          <w:b/>
          <w:sz w:val="24"/>
        </w:rPr>
        <w:t>1. MVP 大幅左移：</w:t>
      </w:r>
      <w:r>
        <w:rPr>
          <w:sz w:val="24"/>
        </w:rPr>
        <w:t>加入 GLD 後，MVP 由（0.0646, 0.0200）移至（0.0360, 0.0114），月標準差下降 44.32%。這是四種第四家標的中風險下降幅度最大的，反映 GLD 低相關性帶來的強力分散效果。</w:t>
      </w:r>
    </w:p>
    <w:p>
      <w:pPr>
        <w:spacing w:after="80"/>
        <w:ind w:left="360"/>
      </w:pPr>
      <w:r>
        <w:rPr>
          <w:b/>
          <w:sz w:val="24"/>
        </w:rPr>
        <w:t>2. 低風險區段全面優於基準：</w:t>
      </w:r>
      <w:r>
        <w:rPr>
          <w:sz w:val="24"/>
        </w:rPr>
        <w:t>觀察圖形可見，在月標準差 0.036 至約 0.07 的低至中等風險區間，含 GLD 的紅色前緣整體位於三家基準藍色虛線的左上方，代表在相同風險水準下可達到更高預期報酬，或在相同預期報酬下承擔更低風險。</w:t>
      </w:r>
    </w:p>
    <w:p>
      <w:pPr>
        <w:spacing w:after="80"/>
        <w:ind w:left="360"/>
      </w:pPr>
      <w:r>
        <w:rPr>
          <w:b/>
          <w:sz w:val="24"/>
        </w:rPr>
        <w:t>3. MVP 報酬下降的原因：</w:t>
      </w:r>
      <w:r>
        <w:rPr>
          <w:sz w:val="24"/>
        </w:rPr>
        <w:t>MVP 月均報酬率由 0.0200 降至 0.0114（降幅 43.16%），主因在於 MVP 最佳化配置中 GLD 權重高達 74.28%，而 GLD 本身月均報酬率（0.91%）低於三家基準平均。此為加重配置低報酬避險資產的必然結果，並非 GLD 拖累了報酬，而是 MVP 點的定義決定了在最保守配置下報酬自然降低。</w:t>
      </w:r>
    </w:p>
    <w:p>
      <w:pPr>
        <w:spacing w:after="80"/>
        <w:ind w:left="360"/>
      </w:pPr>
      <w:r>
        <w:rPr>
          <w:b/>
          <w:sz w:val="24"/>
        </w:rPr>
        <w:t>4. 整體效率前緣改善判定：</w:t>
      </w:r>
      <w:r>
        <w:rPr>
          <w:sz w:val="24"/>
        </w:rPr>
        <w:t>綜合 MVP 風險下降幅度（44.32%）與低風險區段的整體外移，判定加入 GLD 後投資組合的效率前緣獲得顯著改善，GLD 具有投資效率。</w:t>
      </w:r>
    </w:p>
    <w:p/>
    <w:p>
      <w:pPr>
        <w:pStyle w:val="Heading1"/>
      </w:pPr>
      <w:r>
        <w:rPr>
          <w:b/>
          <w:sz w:val="28"/>
        </w:rPr>
        <w:t>五、結論</w:t>
      </w:r>
    </w:p>
    <w:p>
      <w:pPr>
        <w:spacing w:after="120"/>
      </w:pPr>
      <w:r>
        <w:rPr>
          <w:sz w:val="24"/>
        </w:rPr>
        <w:t>加入 GLD 後，四資產投資組合的效率前緣在低風險至中等風險區間明顯優於三家基準，MVP 風險下降 44.32%，為四種第四家候選標的（GLD、TLT、VNQ、DJP）中改善幅度最大者。</w:t>
      </w:r>
    </w:p>
    <w:p>
      <w:pPr>
        <w:spacing w:after="120"/>
      </w:pPr>
      <w:r>
        <w:rPr>
          <w:sz w:val="24"/>
        </w:rPr>
        <w:t>雖然 MVP 月均報酬率由 0.0200 下降至 0.0114，但此為最小變異配置下必然的報酬取捨，而非效率前緣整體退步的訊號。從效率前緣形狀整體來看，GLD 帶來的是「以相同風險換取更高報酬」的效率改善，而非單純的報酬壓縮。</w:t>
      </w:r>
    </w:p>
    <w:p>
      <w:pPr>
        <w:spacing w:after="120"/>
      </w:pPr>
      <w:r>
        <w:rPr>
          <w:sz w:val="24"/>
        </w:rPr>
        <w:t>GLD 低相關性結構（GLD-AAPL：0.23，GLD-JPM：0.02，GLD-XOM：-0.08）是其成為最有效分散化工具的根本原因，數學上有效降低共變異數矩陣的跨資產共變異項，使整體組合變異數大幅下降。判定 GLD 為具有顯著投資效率的第四家標的。</w:t>
      </w:r>
    </w:p>
    <w:p/>
    <w:p>
      <w:pPr>
        <w:pStyle w:val="Heading1"/>
      </w:pPr>
      <w:r>
        <w:rPr>
          <w:b/>
          <w:sz w:val="28"/>
        </w:rPr>
        <w:t>六、方法限制與反思</w:t>
      </w:r>
    </w:p>
    <w:p>
      <w:pPr>
        <w:spacing w:after="80"/>
        <w:ind w:left="360"/>
      </w:pPr>
      <w:r>
        <w:rPr>
          <w:b/>
          <w:sz w:val="24"/>
        </w:rPr>
        <w:t>1. 未納入夏普比率最佳化：</w:t>
      </w:r>
      <w:r>
        <w:rPr>
          <w:sz w:val="24"/>
        </w:rPr>
        <w:t>本分析以 MVP 風險下降幅度為主要指標，未納入無風險利率計算夏普比率（Sharpe Ratio）或找出切點投資組合（Tangency Portfolio）。引入現行無風險利率（約 5% 年化）後，最佳持有組合可能與 MVP 有所不同。</w:t>
      </w:r>
    </w:p>
    <w:p>
      <w:pPr>
        <w:spacing w:after="80"/>
        <w:ind w:left="360"/>
      </w:pPr>
      <w:r>
        <w:rPr>
          <w:b/>
          <w:sz w:val="24"/>
        </w:rPr>
        <w:t>2. 樣本期間的特殊性：</w:t>
      </w:r>
      <w:r>
        <w:rPr>
          <w:sz w:val="24"/>
        </w:rPr>
        <w:t>研究期間（2020–2024 年）涵蓋疫情衝擊與聯準會史上最激進的升息周期，黃金在此通膨環境下表現優異，可能使 GLD 的歷史改善效果高於長期平均水準，未來若進入低通膨環境，改善幅度可能縮小。</w:t>
      </w:r>
    </w:p>
    <w:p>
      <w:pPr>
        <w:spacing w:after="80"/>
        <w:ind w:left="360"/>
      </w:pPr>
      <w:r>
        <w:rPr>
          <w:b/>
          <w:sz w:val="24"/>
        </w:rPr>
        <w:t>3. 允許放空的假設：</w:t>
      </w:r>
      <w:r>
        <w:rPr>
          <w:sz w:val="24"/>
        </w:rPr>
        <w:t>本分析允許放空（weights 無上下限限制），效率前緣為理論最優解。MVP 配置中 GLD 權重達 74.28%，實務上投資組合配置如此集中並不常見，且放空操作需額外負擔借券成本。</w:t>
      </w:r>
    </w:p>
    <w:p>
      <w:pPr>
        <w:spacing w:after="80"/>
        <w:ind w:left="360"/>
      </w:pPr>
      <w:r>
        <w:rPr>
          <w:b/>
          <w:sz w:val="24"/>
        </w:rPr>
        <w:t>4. 未考慮交易成本與流動性：</w:t>
      </w:r>
      <w:r>
        <w:rPr>
          <w:sz w:val="24"/>
        </w:rPr>
        <w:t>月頻率調倉的交易成本未納入模型，實際可達成的報酬略低於理論曲線，在高換手率策略下此影響更為顯著。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