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C1A5" w14:textId="7C848530" w:rsidR="007C5A24" w:rsidRPr="00FB563C" w:rsidRDefault="00290021" w:rsidP="00FB563C">
      <w:pPr>
        <w:jc w:val="center"/>
        <w:rPr>
          <w:rFonts w:ascii="Times New Roman" w:eastAsia="微軟正黑體" w:hAnsi="Times New Roman" w:cs="Times New Roman"/>
          <w:b/>
          <w:bCs/>
          <w:sz w:val="32"/>
          <w:szCs w:val="32"/>
        </w:rPr>
      </w:pPr>
      <w:r w:rsidRPr="00FB563C">
        <w:rPr>
          <w:rFonts w:ascii="Times New Roman" w:eastAsia="微軟正黑體" w:hAnsi="Times New Roman" w:cs="Times New Roman"/>
          <w:b/>
          <w:bCs/>
          <w:sz w:val="32"/>
          <w:szCs w:val="32"/>
        </w:rPr>
        <w:t>個人分析摘要</w:t>
      </w:r>
    </w:p>
    <w:p w14:paraId="6F07D048" w14:textId="6D999ABB" w:rsidR="00290021" w:rsidRPr="00FB563C" w:rsidRDefault="007C5A24" w:rsidP="007C5A24">
      <w:pPr>
        <w:rPr>
          <w:rFonts w:ascii="Times New Roman" w:eastAsia="微軟正黑體" w:hAnsi="Times New Roman" w:cs="Times New Roman"/>
          <w:sz w:val="28"/>
          <w:szCs w:val="28"/>
        </w:rPr>
      </w:pPr>
      <w:r w:rsidRPr="00FB563C">
        <w:rPr>
          <w:rFonts w:ascii="Times New Roman" w:eastAsia="微軟正黑體" w:hAnsi="Times New Roman" w:cs="Times New Roman"/>
          <w:sz w:val="28"/>
          <w:szCs w:val="28"/>
        </w:rPr>
        <w:t>AAPL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>、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>JPM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>、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 xml:space="preserve">XOM </w:t>
      </w:r>
      <w:r w:rsidR="00FB563C" w:rsidRPr="00FB563C">
        <w:rPr>
          <w:rFonts w:ascii="Times New Roman" w:eastAsia="微軟正黑體" w:hAnsi="Times New Roman" w:cs="Times New Roman"/>
          <w:sz w:val="28"/>
          <w:szCs w:val="28"/>
        </w:rPr>
        <w:t xml:space="preserve"> 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 xml:space="preserve">vs. </w:t>
      </w:r>
      <w:proofErr w:type="gramStart"/>
      <w:r w:rsidRPr="00FB563C">
        <w:rPr>
          <w:rFonts w:ascii="Times New Roman" w:eastAsia="微軟正黑體" w:hAnsi="Times New Roman" w:cs="Times New Roman"/>
          <w:sz w:val="28"/>
          <w:szCs w:val="28"/>
        </w:rPr>
        <w:t>第四家標的</w:t>
      </w:r>
      <w:proofErr w:type="gramEnd"/>
      <w:r w:rsidR="00290021" w:rsidRPr="00FB563C">
        <w:rPr>
          <w:rFonts w:ascii="Times New Roman" w:eastAsia="微軟正黑體" w:hAnsi="Times New Roman" w:cs="Times New Roman"/>
          <w:sz w:val="28"/>
          <w:szCs w:val="28"/>
        </w:rPr>
        <w:t>VNQ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>（</w:t>
      </w:r>
      <w:r w:rsidR="00290021" w:rsidRPr="00FB563C">
        <w:rPr>
          <w:rFonts w:ascii="Times New Roman" w:eastAsia="微軟正黑體" w:hAnsi="Times New Roman" w:cs="Times New Roman"/>
          <w:sz w:val="28"/>
          <w:szCs w:val="28"/>
        </w:rPr>
        <w:t>房地產</w:t>
      </w:r>
      <w:r w:rsidR="00290021" w:rsidRPr="00FB563C">
        <w:rPr>
          <w:rFonts w:ascii="Times New Roman" w:eastAsia="微軟正黑體" w:hAnsi="Times New Roman" w:cs="Times New Roman"/>
          <w:sz w:val="28"/>
          <w:szCs w:val="28"/>
        </w:rPr>
        <w:t xml:space="preserve"> ETF</w:t>
      </w:r>
      <w:r w:rsidRPr="00FB563C">
        <w:rPr>
          <w:rFonts w:ascii="Times New Roman" w:eastAsia="微軟正黑體" w:hAnsi="Times New Roman" w:cs="Times New Roman"/>
          <w:sz w:val="28"/>
          <w:szCs w:val="28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8"/>
        <w:gridCol w:w="2140"/>
        <w:gridCol w:w="2597"/>
        <w:gridCol w:w="1511"/>
      </w:tblGrid>
      <w:tr w:rsidR="00290021" w:rsidRPr="00FB563C" w14:paraId="16CB0660" w14:textId="77777777" w:rsidTr="00C27580">
        <w:tc>
          <w:tcPr>
            <w:tcW w:w="2592" w:type="dxa"/>
            <w:shd w:val="clear" w:color="auto" w:fill="BDD7EE"/>
          </w:tcPr>
          <w:p w14:paraId="19CE56C4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指標</w:t>
            </w:r>
            <w:proofErr w:type="spellEnd"/>
          </w:p>
        </w:tc>
        <w:tc>
          <w:tcPr>
            <w:tcW w:w="2592" w:type="dxa"/>
            <w:shd w:val="clear" w:color="auto" w:fill="BDD7EE"/>
          </w:tcPr>
          <w:p w14:paraId="1BE35361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三家基準</w:t>
            </w:r>
            <w:proofErr w:type="spellEnd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 xml:space="preserve"> MVP</w:t>
            </w:r>
          </w:p>
        </w:tc>
        <w:tc>
          <w:tcPr>
            <w:tcW w:w="3168" w:type="dxa"/>
            <w:shd w:val="clear" w:color="auto" w:fill="BDD7EE"/>
          </w:tcPr>
          <w:p w14:paraId="7B027039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四家</w:t>
            </w:r>
            <w:proofErr w:type="spellEnd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 xml:space="preserve"> </w:t>
            </w:r>
            <w:proofErr w:type="spellStart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MVP</w:t>
            </w:r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（含</w:t>
            </w:r>
            <w:proofErr w:type="spellEnd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 xml:space="preserve"> VNQ</w:t>
            </w:r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）</w:t>
            </w:r>
          </w:p>
        </w:tc>
        <w:tc>
          <w:tcPr>
            <w:tcW w:w="1728" w:type="dxa"/>
            <w:shd w:val="clear" w:color="auto" w:fill="BDD7EE"/>
          </w:tcPr>
          <w:p w14:paraId="27983F8F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b/>
                <w:sz w:val="21"/>
              </w:rPr>
              <w:t>變化</w:t>
            </w:r>
            <w:proofErr w:type="spellEnd"/>
          </w:p>
        </w:tc>
      </w:tr>
      <w:tr w:rsidR="00290021" w:rsidRPr="00FB563C" w14:paraId="1807E58F" w14:textId="77777777" w:rsidTr="00C27580">
        <w:tc>
          <w:tcPr>
            <w:tcW w:w="2592" w:type="dxa"/>
          </w:tcPr>
          <w:p w14:paraId="05C057E9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sz w:val="21"/>
              </w:rPr>
              <w:t>月平均報酬率</w:t>
            </w:r>
            <w:proofErr w:type="spellEnd"/>
          </w:p>
        </w:tc>
        <w:tc>
          <w:tcPr>
            <w:tcW w:w="2592" w:type="dxa"/>
          </w:tcPr>
          <w:p w14:paraId="3EF9409D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FB563C">
              <w:rPr>
                <w:rFonts w:ascii="Times New Roman" w:eastAsia="微軟正黑體" w:hAnsi="Times New Roman" w:cs="Times New Roman"/>
                <w:sz w:val="21"/>
              </w:rPr>
              <w:t>0.0200</w:t>
            </w:r>
          </w:p>
        </w:tc>
        <w:tc>
          <w:tcPr>
            <w:tcW w:w="3168" w:type="dxa"/>
          </w:tcPr>
          <w:p w14:paraId="7B309EFF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FB563C">
              <w:rPr>
                <w:rFonts w:ascii="Times New Roman" w:eastAsia="微軟正黑體" w:hAnsi="Times New Roman" w:cs="Times New Roman"/>
                <w:sz w:val="21"/>
              </w:rPr>
              <w:t>0.0149</w:t>
            </w:r>
          </w:p>
        </w:tc>
        <w:tc>
          <w:tcPr>
            <w:tcW w:w="1728" w:type="dxa"/>
          </w:tcPr>
          <w:p w14:paraId="1350A648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FB563C">
              <w:rPr>
                <w:rFonts w:ascii="Times New Roman" w:eastAsia="微軟正黑體" w:hAnsi="Times New Roman" w:cs="Times New Roman"/>
                <w:sz w:val="21"/>
              </w:rPr>
              <w:t>-25.48%</w:t>
            </w:r>
          </w:p>
        </w:tc>
      </w:tr>
      <w:tr w:rsidR="00290021" w:rsidRPr="00FB563C" w14:paraId="3DE357E8" w14:textId="77777777" w:rsidTr="00C27580">
        <w:tc>
          <w:tcPr>
            <w:tcW w:w="2592" w:type="dxa"/>
          </w:tcPr>
          <w:p w14:paraId="01FE6AC8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spellStart"/>
            <w:r w:rsidRPr="00FB563C">
              <w:rPr>
                <w:rFonts w:ascii="Times New Roman" w:eastAsia="微軟正黑體" w:hAnsi="Times New Roman" w:cs="Times New Roman"/>
                <w:sz w:val="21"/>
              </w:rPr>
              <w:t>月標準差</w:t>
            </w:r>
            <w:proofErr w:type="spellEnd"/>
          </w:p>
        </w:tc>
        <w:tc>
          <w:tcPr>
            <w:tcW w:w="2592" w:type="dxa"/>
          </w:tcPr>
          <w:p w14:paraId="1853273E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FB563C">
              <w:rPr>
                <w:rFonts w:ascii="Times New Roman" w:eastAsia="微軟正黑體" w:hAnsi="Times New Roman" w:cs="Times New Roman"/>
                <w:sz w:val="21"/>
              </w:rPr>
              <w:t>0.0646</w:t>
            </w:r>
          </w:p>
        </w:tc>
        <w:tc>
          <w:tcPr>
            <w:tcW w:w="3168" w:type="dxa"/>
          </w:tcPr>
          <w:p w14:paraId="49152BEC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FB563C">
              <w:rPr>
                <w:rFonts w:ascii="Times New Roman" w:eastAsia="微軟正黑體" w:hAnsi="Times New Roman" w:cs="Times New Roman"/>
                <w:sz w:val="21"/>
              </w:rPr>
              <w:t>0.0614</w:t>
            </w:r>
          </w:p>
        </w:tc>
        <w:tc>
          <w:tcPr>
            <w:tcW w:w="1728" w:type="dxa"/>
          </w:tcPr>
          <w:p w14:paraId="4C42E8A1" w14:textId="77777777" w:rsidR="00290021" w:rsidRPr="00FB563C" w:rsidRDefault="00290021" w:rsidP="00290021">
            <w:pPr>
              <w:jc w:val="center"/>
              <w:rPr>
                <w:rFonts w:ascii="Times New Roman" w:eastAsia="微軟正黑體" w:hAnsi="Times New Roman" w:cs="Times New Roman"/>
              </w:rPr>
            </w:pPr>
            <w:proofErr w:type="gramStart"/>
            <w:r w:rsidRPr="00FB563C">
              <w:rPr>
                <w:rFonts w:ascii="Times New Roman" w:eastAsia="微軟正黑體" w:hAnsi="Times New Roman" w:cs="Times New Roman"/>
                <w:sz w:val="21"/>
              </w:rPr>
              <w:t>↓  5.04</w:t>
            </w:r>
            <w:proofErr w:type="gramEnd"/>
            <w:r w:rsidRPr="00FB563C">
              <w:rPr>
                <w:rFonts w:ascii="Times New Roman" w:eastAsia="微軟正黑體" w:hAnsi="Times New Roman" w:cs="Times New Roman"/>
                <w:sz w:val="21"/>
              </w:rPr>
              <w:t>%</w:t>
            </w:r>
          </w:p>
        </w:tc>
      </w:tr>
    </w:tbl>
    <w:p w14:paraId="55B03CF1" w14:textId="77777777" w:rsidR="00290021" w:rsidRPr="00FB563C" w:rsidRDefault="00290021" w:rsidP="00290021">
      <w:pPr>
        <w:rPr>
          <w:rFonts w:ascii="Times New Roman" w:eastAsia="微軟正黑體" w:hAnsi="Times New Roman" w:cs="Times New Roman"/>
        </w:rPr>
      </w:pPr>
    </w:p>
    <w:p w14:paraId="66ACDE93" w14:textId="19D3E664" w:rsidR="007C5A24" w:rsidRPr="00FB563C" w:rsidRDefault="007C5A24" w:rsidP="00290021">
      <w:pPr>
        <w:spacing w:after="120"/>
        <w:rPr>
          <w:rFonts w:ascii="Times New Roman" w:eastAsia="微軟正黑體" w:hAnsi="Times New Roman" w:cs="Times New Roman"/>
        </w:rPr>
      </w:pPr>
      <w:r w:rsidRPr="00FB563C">
        <w:rPr>
          <w:rFonts w:ascii="Times New Roman" w:eastAsia="微軟正黑體" w:hAnsi="Times New Roman" w:cs="Times New Roman"/>
        </w:rPr>
        <w:t>含</w:t>
      </w:r>
      <w:r w:rsidRPr="00FB563C">
        <w:rPr>
          <w:rFonts w:ascii="Times New Roman" w:eastAsia="微軟正黑體" w:hAnsi="Times New Roman" w:cs="Times New Roman"/>
        </w:rPr>
        <w:t xml:space="preserve"> VNQ </w:t>
      </w:r>
      <w:r w:rsidRPr="00FB563C">
        <w:rPr>
          <w:rFonts w:ascii="Times New Roman" w:eastAsia="微軟正黑體" w:hAnsi="Times New Roman" w:cs="Times New Roman"/>
        </w:rPr>
        <w:t>的效率前緣與原先三家基準的前緣幾乎重疊，在中低風險區間並未觀察到明顯的「向左外移」現象。雖然</w:t>
      </w:r>
      <w:r w:rsidRPr="00FB563C">
        <w:rPr>
          <w:rFonts w:ascii="Times New Roman" w:eastAsia="微軟正黑體" w:hAnsi="Times New Roman" w:cs="Times New Roman"/>
        </w:rPr>
        <w:t xml:space="preserve"> MVP </w:t>
      </w:r>
      <w:r w:rsidRPr="00FB563C">
        <w:rPr>
          <w:rFonts w:ascii="Times New Roman" w:eastAsia="微軟正黑體" w:hAnsi="Times New Roman" w:cs="Times New Roman"/>
        </w:rPr>
        <w:t>的風險（標準差）略微下降了</w:t>
      </w:r>
      <w:r w:rsidRPr="00FB563C">
        <w:rPr>
          <w:rFonts w:ascii="Times New Roman" w:eastAsia="微軟正黑體" w:hAnsi="Times New Roman" w:cs="Times New Roman"/>
        </w:rPr>
        <w:t xml:space="preserve"> </w:t>
      </w:r>
      <w:r w:rsidRPr="00FB563C">
        <w:rPr>
          <w:rFonts w:ascii="Times New Roman" w:eastAsia="微軟正黑體" w:hAnsi="Times New Roman" w:cs="Times New Roman"/>
          <w:b/>
          <w:bCs/>
        </w:rPr>
        <w:t>5.04%</w:t>
      </w:r>
      <w:r w:rsidRPr="00FB563C">
        <w:rPr>
          <w:rFonts w:ascii="Times New Roman" w:eastAsia="微軟正黑體" w:hAnsi="Times New Roman" w:cs="Times New Roman"/>
        </w:rPr>
        <w:t>，但相較於其他標的，其改善效果非常微小。由於</w:t>
      </w:r>
      <w:r w:rsidRPr="00FB563C">
        <w:rPr>
          <w:rFonts w:ascii="Times New Roman" w:eastAsia="微軟正黑體" w:hAnsi="Times New Roman" w:cs="Times New Roman"/>
        </w:rPr>
        <w:t xml:space="preserve"> VNQ </w:t>
      </w:r>
      <w:r w:rsidRPr="00FB563C">
        <w:rPr>
          <w:rFonts w:ascii="Times New Roman" w:eastAsia="微軟正黑體" w:hAnsi="Times New Roman" w:cs="Times New Roman"/>
        </w:rPr>
        <w:t>本身的月均報酬率（</w:t>
      </w:r>
      <w:r w:rsidRPr="00FB563C">
        <w:rPr>
          <w:rFonts w:ascii="Times New Roman" w:eastAsia="微軟正黑體" w:hAnsi="Times New Roman" w:cs="Times New Roman"/>
        </w:rPr>
        <w:t>0.43%</w:t>
      </w:r>
      <w:r w:rsidRPr="00FB563C">
        <w:rPr>
          <w:rFonts w:ascii="Times New Roman" w:eastAsia="微軟正黑體" w:hAnsi="Times New Roman" w:cs="Times New Roman"/>
        </w:rPr>
        <w:t>）顯著低於原</w:t>
      </w:r>
      <w:proofErr w:type="gramStart"/>
      <w:r w:rsidRPr="00FB563C">
        <w:rPr>
          <w:rFonts w:ascii="Times New Roman" w:eastAsia="微軟正黑體" w:hAnsi="Times New Roman" w:cs="Times New Roman"/>
        </w:rPr>
        <w:t>組合均值</w:t>
      </w:r>
      <w:proofErr w:type="gramEnd"/>
      <w:r w:rsidRPr="00FB563C">
        <w:rPr>
          <w:rFonts w:ascii="Times New Roman" w:eastAsia="微軟正黑體" w:hAnsi="Times New Roman" w:cs="Times New Roman"/>
        </w:rPr>
        <w:t>，導致加入後</w:t>
      </w:r>
      <w:r w:rsidRPr="00FB563C">
        <w:rPr>
          <w:rFonts w:ascii="Times New Roman" w:eastAsia="微軟正黑體" w:hAnsi="Times New Roman" w:cs="Times New Roman"/>
        </w:rPr>
        <w:t xml:space="preserve"> MVP </w:t>
      </w:r>
      <w:r w:rsidRPr="00FB563C">
        <w:rPr>
          <w:rFonts w:ascii="Times New Roman" w:eastAsia="微軟正黑體" w:hAnsi="Times New Roman" w:cs="Times New Roman"/>
        </w:rPr>
        <w:t>的預期報酬大幅下降</w:t>
      </w:r>
      <w:r w:rsidRPr="00FB563C">
        <w:rPr>
          <w:rFonts w:ascii="Times New Roman" w:eastAsia="微軟正黑體" w:hAnsi="Times New Roman" w:cs="Times New Roman"/>
        </w:rPr>
        <w:t xml:space="preserve"> </w:t>
      </w:r>
      <w:r w:rsidRPr="00FB563C">
        <w:rPr>
          <w:rFonts w:ascii="Times New Roman" w:eastAsia="微軟正黑體" w:hAnsi="Times New Roman" w:cs="Times New Roman"/>
          <w:b/>
          <w:bCs/>
        </w:rPr>
        <w:t>25.48%</w:t>
      </w:r>
      <w:r w:rsidRPr="00FB563C">
        <w:rPr>
          <w:rFonts w:ascii="Times New Roman" w:eastAsia="微軟正黑體" w:hAnsi="Times New Roman" w:cs="Times New Roman"/>
        </w:rPr>
        <w:t>。</w:t>
      </w:r>
    </w:p>
    <w:p w14:paraId="3225D24C" w14:textId="6F67532B" w:rsidR="007C5A24" w:rsidRDefault="007C5A24" w:rsidP="00290021">
      <w:pPr>
        <w:spacing w:after="120"/>
        <w:rPr>
          <w:rFonts w:ascii="Times New Roman" w:eastAsia="微軟正黑體" w:hAnsi="Times New Roman" w:cs="Times New Roman"/>
        </w:rPr>
      </w:pPr>
      <w:r w:rsidRPr="00FB563C">
        <w:rPr>
          <w:rFonts w:ascii="Times New Roman" w:eastAsia="微軟正黑體" w:hAnsi="Times New Roman" w:cs="Times New Roman"/>
        </w:rPr>
        <w:t xml:space="preserve">VNQ </w:t>
      </w:r>
      <w:r w:rsidRPr="00FB563C">
        <w:rPr>
          <w:rFonts w:ascii="Times New Roman" w:eastAsia="微軟正黑體" w:hAnsi="Times New Roman" w:cs="Times New Roman"/>
        </w:rPr>
        <w:t>與原三家標的</w:t>
      </w:r>
      <w:proofErr w:type="gramStart"/>
      <w:r w:rsidRPr="00FB563C">
        <w:rPr>
          <w:rFonts w:ascii="Times New Roman" w:eastAsia="微軟正黑體" w:hAnsi="Times New Roman" w:cs="Times New Roman"/>
        </w:rPr>
        <w:t>的</w:t>
      </w:r>
      <w:proofErr w:type="gramEnd"/>
      <w:r w:rsidRPr="00FB563C">
        <w:rPr>
          <w:rFonts w:ascii="Times New Roman" w:eastAsia="微軟正黑體" w:hAnsi="Times New Roman" w:cs="Times New Roman"/>
        </w:rPr>
        <w:t>相關係數偏高（與</w:t>
      </w:r>
      <w:r w:rsidRPr="00FB563C">
        <w:rPr>
          <w:rFonts w:ascii="Times New Roman" w:eastAsia="微軟正黑體" w:hAnsi="Times New Roman" w:cs="Times New Roman"/>
        </w:rPr>
        <w:t xml:space="preserve"> AAPL </w:t>
      </w:r>
      <w:r w:rsidRPr="00FB563C">
        <w:rPr>
          <w:rFonts w:ascii="Times New Roman" w:eastAsia="微軟正黑體" w:hAnsi="Times New Roman" w:cs="Times New Roman"/>
        </w:rPr>
        <w:t>為</w:t>
      </w:r>
      <w:r w:rsidRPr="00FB563C">
        <w:rPr>
          <w:rFonts w:ascii="Times New Roman" w:eastAsia="微軟正黑體" w:hAnsi="Times New Roman" w:cs="Times New Roman"/>
        </w:rPr>
        <w:t xml:space="preserve"> 0.61</w:t>
      </w:r>
      <w:r w:rsidRPr="00FB563C">
        <w:rPr>
          <w:rFonts w:ascii="Times New Roman" w:eastAsia="微軟正黑體" w:hAnsi="Times New Roman" w:cs="Times New Roman"/>
        </w:rPr>
        <w:t>、與</w:t>
      </w:r>
      <w:r w:rsidRPr="00FB563C">
        <w:rPr>
          <w:rFonts w:ascii="Times New Roman" w:eastAsia="微軟正黑體" w:hAnsi="Times New Roman" w:cs="Times New Roman"/>
        </w:rPr>
        <w:t xml:space="preserve"> JPM </w:t>
      </w:r>
      <w:r w:rsidRPr="00FB563C">
        <w:rPr>
          <w:rFonts w:ascii="Times New Roman" w:eastAsia="微軟正黑體" w:hAnsi="Times New Roman" w:cs="Times New Roman"/>
        </w:rPr>
        <w:t>為</w:t>
      </w:r>
      <w:r w:rsidRPr="00FB563C">
        <w:rPr>
          <w:rFonts w:ascii="Times New Roman" w:eastAsia="微軟正黑體" w:hAnsi="Times New Roman" w:cs="Times New Roman"/>
        </w:rPr>
        <w:t xml:space="preserve"> 0.65</w:t>
      </w:r>
      <w:r w:rsidRPr="00FB563C">
        <w:rPr>
          <w:rFonts w:ascii="Times New Roman" w:eastAsia="微軟正黑體" w:hAnsi="Times New Roman" w:cs="Times New Roman"/>
        </w:rPr>
        <w:t>、與</w:t>
      </w:r>
      <w:r w:rsidRPr="00FB563C">
        <w:rPr>
          <w:rFonts w:ascii="Times New Roman" w:eastAsia="微軟正黑體" w:hAnsi="Times New Roman" w:cs="Times New Roman"/>
        </w:rPr>
        <w:t xml:space="preserve"> XOM </w:t>
      </w:r>
      <w:r w:rsidRPr="00FB563C">
        <w:rPr>
          <w:rFonts w:ascii="Times New Roman" w:eastAsia="微軟正黑體" w:hAnsi="Times New Roman" w:cs="Times New Roman"/>
        </w:rPr>
        <w:t>為</w:t>
      </w:r>
      <w:r w:rsidRPr="00FB563C">
        <w:rPr>
          <w:rFonts w:ascii="Times New Roman" w:eastAsia="微軟正黑體" w:hAnsi="Times New Roman" w:cs="Times New Roman"/>
        </w:rPr>
        <w:t xml:space="preserve"> 0.42</w:t>
      </w:r>
      <w:r w:rsidRPr="00FB563C">
        <w:rPr>
          <w:rFonts w:ascii="Times New Roman" w:eastAsia="微軟正黑體" w:hAnsi="Times New Roman" w:cs="Times New Roman"/>
        </w:rPr>
        <w:t>）。當資產間高度同向波動時，無法發揮強大的分散化抵銷效果</w:t>
      </w:r>
      <w:r w:rsidRPr="00FB563C">
        <w:rPr>
          <w:rFonts w:ascii="Times New Roman" w:eastAsia="微軟正黑體" w:hAnsi="Times New Roman" w:cs="Times New Roman"/>
        </w:rPr>
        <w:t xml:space="preserve"> </w:t>
      </w:r>
      <w:r w:rsidRPr="00FB563C">
        <w:rPr>
          <w:rFonts w:ascii="Times New Roman" w:eastAsia="微軟正黑體" w:hAnsi="Times New Roman" w:cs="Times New Roman"/>
        </w:rPr>
        <w:t>。僅在標準差大於</w:t>
      </w:r>
      <w:r w:rsidRPr="00FB563C">
        <w:rPr>
          <w:rFonts w:ascii="Times New Roman" w:eastAsia="微軟正黑體" w:hAnsi="Times New Roman" w:cs="Times New Roman"/>
        </w:rPr>
        <w:t xml:space="preserve"> 0.12 </w:t>
      </w:r>
      <w:r w:rsidRPr="00FB563C">
        <w:rPr>
          <w:rFonts w:ascii="Times New Roman" w:eastAsia="微軟正黑體" w:hAnsi="Times New Roman" w:cs="Times New Roman"/>
        </w:rPr>
        <w:t>的高風險端，含</w:t>
      </w:r>
      <w:r w:rsidRPr="00FB563C">
        <w:rPr>
          <w:rFonts w:ascii="Times New Roman" w:eastAsia="微軟正黑體" w:hAnsi="Times New Roman" w:cs="Times New Roman"/>
        </w:rPr>
        <w:t xml:space="preserve"> VNQ </w:t>
      </w:r>
      <w:r w:rsidRPr="00FB563C">
        <w:rPr>
          <w:rFonts w:ascii="Times New Roman" w:eastAsia="微軟正黑體" w:hAnsi="Times New Roman" w:cs="Times New Roman"/>
        </w:rPr>
        <w:t>的前緣才有較顯著的向上延伸。然而，此區段的波動率已超出一般理性投資人的風險承受範圍</w:t>
      </w:r>
      <w:r w:rsidRPr="00FB563C">
        <w:rPr>
          <w:rFonts w:ascii="Times New Roman" w:eastAsia="微軟正黑體" w:hAnsi="Times New Roman" w:cs="Times New Roman"/>
        </w:rPr>
        <w:t xml:space="preserve"> </w:t>
      </w:r>
      <w:r w:rsidRPr="00FB563C">
        <w:rPr>
          <w:rFonts w:ascii="Times New Roman" w:eastAsia="微軟正黑體" w:hAnsi="Times New Roman" w:cs="Times New Roman"/>
        </w:rPr>
        <w:t>。</w:t>
      </w:r>
    </w:p>
    <w:p w14:paraId="2F305C1E" w14:textId="77777777" w:rsidR="00FB563C" w:rsidRPr="00FB563C" w:rsidRDefault="00FB563C" w:rsidP="00290021">
      <w:pPr>
        <w:spacing w:after="120"/>
        <w:rPr>
          <w:rFonts w:ascii="Times New Roman" w:eastAsia="微軟正黑體" w:hAnsi="Times New Roman" w:cs="Times New Roman"/>
        </w:rPr>
      </w:pPr>
    </w:p>
    <w:p w14:paraId="3B001A75" w14:textId="775D235B" w:rsidR="00290021" w:rsidRPr="00FB563C" w:rsidRDefault="00290021" w:rsidP="001A7088">
      <w:pPr>
        <w:spacing w:after="120"/>
        <w:rPr>
          <w:rFonts w:ascii="Times New Roman" w:eastAsia="微軟正黑體" w:hAnsi="Times New Roman" w:cs="Times New Roman" w:hint="eastAsia"/>
        </w:rPr>
      </w:pPr>
      <w:r w:rsidRPr="00FB563C">
        <w:rPr>
          <w:rFonts w:ascii="Times New Roman" w:eastAsia="微軟正黑體" w:hAnsi="Times New Roman" w:cs="Times New Roman"/>
        </w:rPr>
        <w:t>結論：</w:t>
      </w:r>
      <w:r w:rsidR="007C5A24" w:rsidRPr="00FB563C">
        <w:rPr>
          <w:rFonts w:ascii="Times New Roman" w:eastAsia="微軟正黑體" w:hAnsi="Times New Roman" w:cs="Times New Roman"/>
        </w:rPr>
        <w:t>加入</w:t>
      </w:r>
      <w:proofErr w:type="gramStart"/>
      <w:r w:rsidR="007C5A24" w:rsidRPr="00FB563C">
        <w:rPr>
          <w:rFonts w:ascii="Times New Roman" w:eastAsia="微軟正黑體" w:hAnsi="Times New Roman" w:cs="Times New Roman"/>
        </w:rPr>
        <w:t>第四家標的</w:t>
      </w:r>
      <w:proofErr w:type="gramEnd"/>
      <w:r w:rsidR="007C5A24" w:rsidRPr="00FB563C">
        <w:rPr>
          <w:rFonts w:ascii="Times New Roman" w:eastAsia="微軟正黑體" w:hAnsi="Times New Roman" w:cs="Times New Roman"/>
        </w:rPr>
        <w:t xml:space="preserve"> </w:t>
      </w:r>
      <w:r w:rsidR="007C5A24" w:rsidRPr="00FB563C">
        <w:rPr>
          <w:rFonts w:ascii="Times New Roman" w:eastAsia="微軟正黑體" w:hAnsi="Times New Roman" w:cs="Times New Roman"/>
          <w:b/>
          <w:bCs/>
        </w:rPr>
        <w:t>VNQ</w:t>
      </w:r>
      <w:r w:rsidR="007C5A24" w:rsidRPr="00FB563C">
        <w:rPr>
          <w:rFonts w:ascii="Times New Roman" w:eastAsia="微軟正黑體" w:hAnsi="Times New Roman" w:cs="Times New Roman"/>
        </w:rPr>
        <w:t xml:space="preserve"> </w:t>
      </w:r>
      <w:r w:rsidR="007C5A24" w:rsidRPr="00FB563C">
        <w:rPr>
          <w:rFonts w:ascii="Times New Roman" w:eastAsia="微軟正黑體" w:hAnsi="Times New Roman" w:cs="Times New Roman"/>
        </w:rPr>
        <w:t>後，並未能顯著優化投資組合的可行集合。由於其與基礎標的相關性過高且報酬貢獻不足，導致效率前緣改善幅度極小。在小組整合比較中，</w:t>
      </w:r>
      <w:r w:rsidR="007C5A24" w:rsidRPr="00FB563C">
        <w:rPr>
          <w:rFonts w:ascii="Times New Roman" w:eastAsia="微軟正黑體" w:hAnsi="Times New Roman" w:cs="Times New Roman"/>
        </w:rPr>
        <w:t xml:space="preserve">VNQ </w:t>
      </w:r>
      <w:r w:rsidR="007C5A24" w:rsidRPr="00FB563C">
        <w:rPr>
          <w:rFonts w:ascii="Times New Roman" w:eastAsia="微軟正黑體" w:hAnsi="Times New Roman" w:cs="Times New Roman"/>
        </w:rPr>
        <w:t>的分散效果與績效提升</w:t>
      </w:r>
      <w:proofErr w:type="gramStart"/>
      <w:r w:rsidR="007C5A24" w:rsidRPr="00FB563C">
        <w:rPr>
          <w:rFonts w:ascii="Times New Roman" w:eastAsia="微軟正黑體" w:hAnsi="Times New Roman" w:cs="Times New Roman"/>
        </w:rPr>
        <w:t>表現均不具備</w:t>
      </w:r>
      <w:proofErr w:type="gramEnd"/>
      <w:r w:rsidR="007C5A24" w:rsidRPr="00FB563C">
        <w:rPr>
          <w:rFonts w:ascii="Times New Roman" w:eastAsia="微軟正黑體" w:hAnsi="Times New Roman" w:cs="Times New Roman"/>
        </w:rPr>
        <w:t>競爭優勢</w:t>
      </w:r>
      <w:r w:rsidR="007C5A24" w:rsidRPr="00FB563C">
        <w:rPr>
          <w:rFonts w:ascii="Times New Roman" w:eastAsia="微軟正黑體" w:hAnsi="Times New Roman" w:cs="Times New Roman"/>
        </w:rPr>
        <w:t xml:space="preserve"> </w:t>
      </w:r>
      <w:r w:rsidR="007C5A24" w:rsidRPr="00FB563C">
        <w:rPr>
          <w:rFonts w:ascii="Times New Roman" w:eastAsia="微軟正黑體" w:hAnsi="Times New Roman" w:cs="Times New Roman"/>
        </w:rPr>
        <w:t>。</w:t>
      </w:r>
    </w:p>
    <w:sectPr w:rsidR="00290021" w:rsidRPr="00FB56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9CD8" w14:textId="77777777" w:rsidR="0006136A" w:rsidRDefault="0006136A" w:rsidP="001A7088">
      <w:pPr>
        <w:spacing w:after="0" w:line="240" w:lineRule="auto"/>
      </w:pPr>
      <w:r>
        <w:separator/>
      </w:r>
    </w:p>
  </w:endnote>
  <w:endnote w:type="continuationSeparator" w:id="0">
    <w:p w14:paraId="0180C4DB" w14:textId="77777777" w:rsidR="0006136A" w:rsidRDefault="0006136A" w:rsidP="001A7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9403" w14:textId="77777777" w:rsidR="0006136A" w:rsidRDefault="0006136A" w:rsidP="001A7088">
      <w:pPr>
        <w:spacing w:after="0" w:line="240" w:lineRule="auto"/>
      </w:pPr>
      <w:r>
        <w:separator/>
      </w:r>
    </w:p>
  </w:footnote>
  <w:footnote w:type="continuationSeparator" w:id="0">
    <w:p w14:paraId="7EFEFB60" w14:textId="77777777" w:rsidR="0006136A" w:rsidRDefault="0006136A" w:rsidP="001A70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21"/>
    <w:rsid w:val="0006136A"/>
    <w:rsid w:val="0017684B"/>
    <w:rsid w:val="001A7088"/>
    <w:rsid w:val="00290021"/>
    <w:rsid w:val="00492A9E"/>
    <w:rsid w:val="00715F98"/>
    <w:rsid w:val="007C5A24"/>
    <w:rsid w:val="007D5ED9"/>
    <w:rsid w:val="00A72758"/>
    <w:rsid w:val="00AC38C5"/>
    <w:rsid w:val="00D06187"/>
    <w:rsid w:val="00FB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8568E"/>
  <w15:chartTrackingRefBased/>
  <w15:docId w15:val="{199AA936-A7C2-4CED-8C05-E7644AC5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0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0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0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0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0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0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9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00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00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00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00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00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0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0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0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290021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A70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A7088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A70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A70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汝貴 蕭</dc:creator>
  <cp:keywords/>
  <dc:description/>
  <cp:lastModifiedBy>汝貴 蕭</cp:lastModifiedBy>
  <cp:revision>4</cp:revision>
  <dcterms:created xsi:type="dcterms:W3CDTF">2026-05-01T13:26:00Z</dcterms:created>
  <dcterms:modified xsi:type="dcterms:W3CDTF">2026-05-01T13:45:00Z</dcterms:modified>
</cp:coreProperties>
</file>