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ACC9" w14:textId="3DDEE1C9" w:rsidR="00F6461D" w:rsidRPr="00FC225E" w:rsidRDefault="00000000" w:rsidP="00FC225E">
      <w:pPr>
        <w:pStyle w:val="aa"/>
        <w:jc w:val="center"/>
        <w:rPr>
          <w:rFonts w:ascii="楷體-簡" w:eastAsia="楷體-簡" w:hAnsi="楷體-簡" w:hint="eastAsia"/>
          <w:b/>
          <w:bCs/>
          <w:lang w:eastAsia="zh-TW"/>
        </w:rPr>
      </w:pPr>
      <w:r w:rsidRPr="00FC225E">
        <w:rPr>
          <w:rFonts w:ascii="楷體-簡" w:eastAsia="楷體-簡" w:hAnsi="楷體-簡" w:hint="eastAsia"/>
          <w:b/>
          <w:bCs/>
          <w:lang w:eastAsia="zh-TW"/>
        </w:rPr>
        <w:t>個人分析摘要</w:t>
      </w:r>
    </w:p>
    <w:p w14:paraId="37F88D49" w14:textId="77777777" w:rsidR="00F6461D" w:rsidRPr="00FC225E" w:rsidRDefault="00000000">
      <w:pPr>
        <w:pStyle w:val="1"/>
        <w:rPr>
          <w:rFonts w:ascii="楷體-簡" w:eastAsia="楷體-簡" w:hAnsi="楷體-簡" w:hint="eastAsia"/>
          <w:b w:val="0"/>
          <w:bCs w:val="0"/>
          <w:lang w:eastAsia="zh-TW"/>
        </w:rPr>
      </w:pPr>
      <w:r w:rsidRPr="00FC225E">
        <w:rPr>
          <w:rFonts w:ascii="楷體-簡" w:eastAsia="楷體-簡" w:hAnsi="楷體-簡" w:hint="eastAsia"/>
          <w:b w:val="0"/>
          <w:bCs w:val="0"/>
          <w:lang w:eastAsia="zh-TW"/>
        </w:rPr>
        <w:t>一、 第四家標的選取與動機</w:t>
      </w:r>
    </w:p>
    <w:p w14:paraId="55510382" w14:textId="77777777" w:rsidR="00F6461D" w:rsidRPr="00FC225E" w:rsidRDefault="00000000">
      <w:pPr>
        <w:rPr>
          <w:rFonts w:ascii="楷體-簡" w:eastAsia="楷體-簡" w:hAnsi="楷體-簡" w:hint="eastAsia"/>
          <w:lang w:eastAsia="zh-TW"/>
        </w:rPr>
      </w:pPr>
      <w:r w:rsidRPr="00FC225E">
        <w:rPr>
          <w:rFonts w:ascii="楷體-簡" w:eastAsia="楷體-簡" w:hAnsi="楷體-簡" w:hint="eastAsia"/>
          <w:lang w:eastAsia="zh-TW"/>
        </w:rPr>
        <w:t>在共同標的 AAPL（科技）、JPM（金融）、XOM（能源）的基礎上，本人選取 TLT（長年期美債 ETF）作為第四家標的。理由是債券資產與股票資產通常具有低相關性，預期加入後能有效降低組合波動度，提升風險分散效果。</w:t>
      </w:r>
    </w:p>
    <w:p w14:paraId="200071D6" w14:textId="77777777" w:rsidR="00F6461D" w:rsidRPr="00FC225E" w:rsidRDefault="00000000">
      <w:pPr>
        <w:pStyle w:val="1"/>
        <w:rPr>
          <w:rFonts w:ascii="楷體-簡" w:eastAsia="楷體-簡" w:hAnsi="楷體-簡" w:hint="eastAsia"/>
          <w:b w:val="0"/>
          <w:bCs w:val="0"/>
        </w:rPr>
      </w:pPr>
      <w:r w:rsidRPr="00FC225E">
        <w:rPr>
          <w:rFonts w:ascii="楷體-簡" w:eastAsia="楷體-簡" w:hAnsi="楷體-簡" w:hint="eastAsia"/>
          <w:b w:val="0"/>
          <w:bCs w:val="0"/>
        </w:rPr>
        <w:t xml:space="preserve">二、 </w:t>
      </w:r>
      <w:proofErr w:type="spellStart"/>
      <w:r w:rsidRPr="00FC225E">
        <w:rPr>
          <w:rFonts w:ascii="楷體-簡" w:eastAsia="楷體-簡" w:hAnsi="楷體-簡" w:hint="eastAsia"/>
          <w:b w:val="0"/>
          <w:bCs w:val="0"/>
        </w:rPr>
        <w:t>數據對比與分析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F6461D" w:rsidRPr="00FC225E" w14:paraId="0D2826FE" w14:textId="77777777">
        <w:tc>
          <w:tcPr>
            <w:tcW w:w="2880" w:type="dxa"/>
          </w:tcPr>
          <w:p w14:paraId="4C1BEFE4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指標</w:t>
            </w:r>
          </w:p>
        </w:tc>
        <w:tc>
          <w:tcPr>
            <w:tcW w:w="2880" w:type="dxa"/>
          </w:tcPr>
          <w:p w14:paraId="66CECCCD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三資產組合</w:t>
            </w:r>
          </w:p>
        </w:tc>
        <w:tc>
          <w:tcPr>
            <w:tcW w:w="2880" w:type="dxa"/>
          </w:tcPr>
          <w:p w14:paraId="2693BF8C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四資產組合 (TLT)</w:t>
            </w:r>
          </w:p>
        </w:tc>
      </w:tr>
      <w:tr w:rsidR="00F6461D" w:rsidRPr="00FC225E" w14:paraId="5E57318C" w14:textId="77777777">
        <w:tc>
          <w:tcPr>
            <w:tcW w:w="2880" w:type="dxa"/>
          </w:tcPr>
          <w:p w14:paraId="586C9C8A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MVP 預期報酬</w:t>
            </w:r>
          </w:p>
        </w:tc>
        <w:tc>
          <w:tcPr>
            <w:tcW w:w="2880" w:type="dxa"/>
          </w:tcPr>
          <w:p w14:paraId="59BE31CC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23.79%</w:t>
            </w:r>
          </w:p>
        </w:tc>
        <w:tc>
          <w:tcPr>
            <w:tcW w:w="2880" w:type="dxa"/>
          </w:tcPr>
          <w:p w14:paraId="70894CE0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4.73%</w:t>
            </w:r>
          </w:p>
        </w:tc>
      </w:tr>
      <w:tr w:rsidR="00F6461D" w:rsidRPr="00FC225E" w14:paraId="74A3A728" w14:textId="77777777">
        <w:tc>
          <w:tcPr>
            <w:tcW w:w="2880" w:type="dxa"/>
          </w:tcPr>
          <w:p w14:paraId="5214B195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MVP 風險 (標準差)</w:t>
            </w:r>
          </w:p>
        </w:tc>
        <w:tc>
          <w:tcPr>
            <w:tcW w:w="2880" w:type="dxa"/>
          </w:tcPr>
          <w:p w14:paraId="7EED8647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25.48%</w:t>
            </w:r>
          </w:p>
        </w:tc>
        <w:tc>
          <w:tcPr>
            <w:tcW w:w="2880" w:type="dxa"/>
          </w:tcPr>
          <w:p w14:paraId="79455A3C" w14:textId="77777777" w:rsidR="00F6461D" w:rsidRPr="00FC225E" w:rsidRDefault="00000000">
            <w:pPr>
              <w:rPr>
                <w:rFonts w:ascii="楷體-簡" w:eastAsia="楷體-簡" w:hAnsi="楷體-簡" w:hint="eastAsia"/>
              </w:rPr>
            </w:pPr>
            <w:r w:rsidRPr="00FC225E">
              <w:rPr>
                <w:rFonts w:ascii="楷體-簡" w:eastAsia="楷體-簡" w:hAnsi="楷體-簡" w:hint="eastAsia"/>
              </w:rPr>
              <w:t>12.70%</w:t>
            </w:r>
          </w:p>
        </w:tc>
      </w:tr>
    </w:tbl>
    <w:p w14:paraId="45509102" w14:textId="77777777" w:rsidR="00F6461D" w:rsidRPr="00FC225E" w:rsidRDefault="00000000">
      <w:pPr>
        <w:rPr>
          <w:rFonts w:ascii="楷體-簡" w:eastAsia="楷體-簡" w:hAnsi="楷體-簡" w:hint="eastAsia"/>
          <w:lang w:eastAsia="zh-TW"/>
        </w:rPr>
      </w:pPr>
      <w:r w:rsidRPr="00FC225E">
        <w:rPr>
          <w:rFonts w:ascii="楷體-簡" w:eastAsia="楷體-簡" w:hAnsi="楷體-簡" w:hint="eastAsia"/>
        </w:rPr>
        <w:br/>
        <w:t>[</w:t>
      </w:r>
      <w:proofErr w:type="spellStart"/>
      <w:r w:rsidRPr="00FC225E">
        <w:rPr>
          <w:rFonts w:ascii="楷體-簡" w:eastAsia="楷體-簡" w:hAnsi="楷體-簡" w:hint="eastAsia"/>
        </w:rPr>
        <w:t>效率前緣比較圖</w:t>
      </w:r>
      <w:proofErr w:type="spellEnd"/>
      <w:r w:rsidRPr="00FC225E">
        <w:rPr>
          <w:rFonts w:ascii="楷體-簡" w:eastAsia="楷體-簡" w:hAnsi="楷體-簡" w:hint="eastAsia"/>
        </w:rPr>
        <w:t>]</w:t>
      </w:r>
    </w:p>
    <w:p w14:paraId="3ED7CDB9" w14:textId="77777777" w:rsidR="00F6461D" w:rsidRPr="00FC225E" w:rsidRDefault="00000000">
      <w:pPr>
        <w:rPr>
          <w:rFonts w:ascii="楷體-簡" w:eastAsia="楷體-簡" w:hAnsi="楷體-簡" w:hint="eastAsia"/>
        </w:rPr>
      </w:pPr>
      <w:r w:rsidRPr="00FC225E">
        <w:rPr>
          <w:rFonts w:ascii="楷體-簡" w:eastAsia="楷體-簡" w:hAnsi="楷體-簡" w:hint="eastAsia"/>
          <w:noProof/>
        </w:rPr>
        <w:drawing>
          <wp:inline distT="0" distB="0" distL="0" distR="0" wp14:anchorId="1248A02B" wp14:editId="0735556F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FD6F" w14:textId="77777777" w:rsidR="00F6461D" w:rsidRPr="00FC225E" w:rsidRDefault="00000000">
      <w:pPr>
        <w:pStyle w:val="1"/>
        <w:rPr>
          <w:rFonts w:ascii="楷體-簡" w:eastAsia="楷體-簡" w:hAnsi="楷體-簡" w:hint="eastAsia"/>
          <w:b w:val="0"/>
          <w:bCs w:val="0"/>
          <w:lang w:eastAsia="zh-TW"/>
        </w:rPr>
      </w:pPr>
      <w:r w:rsidRPr="00FC225E">
        <w:rPr>
          <w:rFonts w:ascii="楷體-簡" w:eastAsia="楷體-簡" w:hAnsi="楷體-簡" w:hint="eastAsia"/>
          <w:b w:val="0"/>
          <w:bCs w:val="0"/>
          <w:lang w:eastAsia="zh-TW"/>
        </w:rPr>
        <w:lastRenderedPageBreak/>
        <w:t>三、 投資效率判定</w:t>
      </w:r>
    </w:p>
    <w:p w14:paraId="19367341" w14:textId="77777777" w:rsidR="00F6461D" w:rsidRPr="00FC225E" w:rsidRDefault="00000000">
      <w:pPr>
        <w:rPr>
          <w:rFonts w:ascii="楷體-簡" w:eastAsia="楷體-簡" w:hAnsi="楷體-簡" w:hint="eastAsia"/>
          <w:lang w:eastAsia="zh-TW"/>
        </w:rPr>
      </w:pPr>
      <w:r w:rsidRPr="00FC225E">
        <w:rPr>
          <w:rFonts w:ascii="楷體-簡" w:eastAsia="楷體-簡" w:hAnsi="楷體-簡" w:hint="eastAsia"/>
          <w:lang w:eastAsia="zh-TW"/>
        </w:rPr>
        <w:t>分析結果顯示，加入 TLT 後，最小變異組合（MVP）的風險由 25.48% 降低至 12.70%，風險降幅達 50.18%。</w:t>
      </w:r>
    </w:p>
    <w:p w14:paraId="58F035B1" w14:textId="77777777" w:rsidR="00F6461D" w:rsidRPr="00FC225E" w:rsidRDefault="00000000">
      <w:pPr>
        <w:rPr>
          <w:rFonts w:ascii="楷體-簡" w:eastAsia="楷體-簡" w:hAnsi="楷體-簡" w:hint="eastAsia"/>
          <w:lang w:eastAsia="zh-TW"/>
        </w:rPr>
      </w:pPr>
      <w:r w:rsidRPr="00FC225E">
        <w:rPr>
          <w:rFonts w:ascii="楷體-簡" w:eastAsia="楷體-簡" w:hAnsi="楷體-簡" w:hint="eastAsia"/>
          <w:lang w:eastAsia="zh-TW"/>
        </w:rPr>
        <w:t>判定結論：根據效率前緣向左方（低風險區）顯著擴張的趨勢，判定第四家標的 TLT 為有效標的，能顯著優化投資組合的風險收益比。</w:t>
      </w:r>
    </w:p>
    <w:sectPr w:rsidR="00F6461D" w:rsidRPr="00FC2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楷體-簡">
    <w:panose1 w:val="02010600040101010101"/>
    <w:charset w:val="88"/>
    <w:family w:val="roman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592990">
    <w:abstractNumId w:val="8"/>
  </w:num>
  <w:num w:numId="2" w16cid:durableId="426344380">
    <w:abstractNumId w:val="6"/>
  </w:num>
  <w:num w:numId="3" w16cid:durableId="1236402642">
    <w:abstractNumId w:val="5"/>
  </w:num>
  <w:num w:numId="4" w16cid:durableId="91050769">
    <w:abstractNumId w:val="4"/>
  </w:num>
  <w:num w:numId="5" w16cid:durableId="1186406807">
    <w:abstractNumId w:val="7"/>
  </w:num>
  <w:num w:numId="6" w16cid:durableId="907501019">
    <w:abstractNumId w:val="3"/>
  </w:num>
  <w:num w:numId="7" w16cid:durableId="2084717369">
    <w:abstractNumId w:val="2"/>
  </w:num>
  <w:num w:numId="8" w16cid:durableId="925383601">
    <w:abstractNumId w:val="1"/>
  </w:num>
  <w:num w:numId="9" w16cid:durableId="60411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6DD"/>
    <w:rsid w:val="0015074B"/>
    <w:rsid w:val="0029639D"/>
    <w:rsid w:val="00326F90"/>
    <w:rsid w:val="00565E25"/>
    <w:rsid w:val="00AA1D8D"/>
    <w:rsid w:val="00B47730"/>
    <w:rsid w:val="00C85A34"/>
    <w:rsid w:val="00CB0664"/>
    <w:rsid w:val="00F6461D"/>
    <w:rsid w:val="00FC2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62D8D"/>
  <w14:defaultImageDpi w14:val="300"/>
  <w15:docId w15:val="{588EE510-1AAC-F548-889E-4B81199D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李宜璇</cp:lastModifiedBy>
  <cp:revision>3</cp:revision>
  <dcterms:created xsi:type="dcterms:W3CDTF">2026-04-16T11:43:00Z</dcterms:created>
  <dcterms:modified xsi:type="dcterms:W3CDTF">2026-04-16T13:05:00Z</dcterms:modified>
  <cp:category/>
</cp:coreProperties>
</file>