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4F16" w:rsidRDefault="00F04F16" w:rsidP="00F04F16">
      <w:pPr>
        <w:widowControl/>
        <w:shd w:val="clear" w:color="auto" w:fill="FFFFFF"/>
        <w:spacing w:after="100" w:afterAutospacing="1"/>
        <w:jc w:val="center"/>
        <w:outlineLvl w:val="0"/>
        <w:rPr>
          <w:rFonts w:ascii="Segoe UI" w:eastAsia="新細明體" w:hAnsi="Segoe UI" w:cs="Segoe UI"/>
          <w:color w:val="1D2125"/>
          <w:kern w:val="36"/>
          <w:sz w:val="48"/>
          <w:szCs w:val="48"/>
        </w:rPr>
      </w:pPr>
    </w:p>
    <w:p w:rsidR="00F04F16" w:rsidRDefault="00F04F16" w:rsidP="00F04F16">
      <w:pPr>
        <w:widowControl/>
        <w:shd w:val="clear" w:color="auto" w:fill="FFFFFF"/>
        <w:spacing w:after="100" w:afterAutospacing="1"/>
        <w:jc w:val="center"/>
        <w:outlineLvl w:val="0"/>
        <w:rPr>
          <w:rFonts w:ascii="Segoe UI" w:eastAsia="新細明體" w:hAnsi="Segoe UI" w:cs="Segoe UI"/>
          <w:color w:val="1D2125"/>
          <w:kern w:val="36"/>
          <w:sz w:val="48"/>
          <w:szCs w:val="48"/>
        </w:rPr>
      </w:pPr>
    </w:p>
    <w:p w:rsidR="00F04F16" w:rsidRDefault="00F04F16" w:rsidP="00F04F16">
      <w:pPr>
        <w:widowControl/>
        <w:shd w:val="clear" w:color="auto" w:fill="FFFFFF"/>
        <w:spacing w:after="100" w:afterAutospacing="1"/>
        <w:jc w:val="center"/>
        <w:outlineLvl w:val="0"/>
        <w:rPr>
          <w:rFonts w:ascii="Segoe UI" w:eastAsia="新細明體" w:hAnsi="Segoe UI" w:cs="Segoe UI"/>
          <w:color w:val="1D2125"/>
          <w:kern w:val="36"/>
          <w:sz w:val="48"/>
          <w:szCs w:val="48"/>
        </w:rPr>
      </w:pPr>
    </w:p>
    <w:p w:rsidR="00F04F16" w:rsidRDefault="00F04F16" w:rsidP="00F04F16">
      <w:pPr>
        <w:widowControl/>
        <w:shd w:val="clear" w:color="auto" w:fill="FFFFFF"/>
        <w:spacing w:after="100" w:afterAutospacing="1"/>
        <w:jc w:val="center"/>
        <w:outlineLvl w:val="0"/>
        <w:rPr>
          <w:rFonts w:ascii="Segoe UI" w:eastAsia="新細明體" w:hAnsi="Segoe UI" w:cs="Segoe UI"/>
          <w:color w:val="1D2125"/>
          <w:kern w:val="36"/>
          <w:sz w:val="48"/>
          <w:szCs w:val="48"/>
        </w:rPr>
      </w:pPr>
    </w:p>
    <w:p w:rsidR="00C529CA" w:rsidRPr="00C529CA" w:rsidRDefault="00C529CA" w:rsidP="00F04F16">
      <w:pPr>
        <w:widowControl/>
        <w:shd w:val="clear" w:color="auto" w:fill="FFFFFF"/>
        <w:spacing w:after="100" w:afterAutospacing="1"/>
        <w:jc w:val="center"/>
        <w:outlineLvl w:val="0"/>
        <w:rPr>
          <w:rFonts w:ascii="Segoe UI" w:eastAsia="新細明體" w:hAnsi="Segoe UI" w:cs="Segoe UI"/>
          <w:color w:val="1D2125"/>
          <w:kern w:val="36"/>
          <w:sz w:val="96"/>
          <w:szCs w:val="96"/>
        </w:rPr>
      </w:pPr>
      <w:r w:rsidRPr="00C529CA">
        <w:rPr>
          <w:rFonts w:ascii="Segoe UI" w:eastAsia="新細明體" w:hAnsi="Segoe UI" w:cs="Segoe UI"/>
          <w:color w:val="1D2125"/>
          <w:kern w:val="36"/>
          <w:sz w:val="96"/>
          <w:szCs w:val="96"/>
        </w:rPr>
        <w:t>金融資料探</w:t>
      </w:r>
      <w:proofErr w:type="gramStart"/>
      <w:r w:rsidRPr="00C529CA">
        <w:rPr>
          <w:rFonts w:ascii="Segoe UI" w:eastAsia="新細明體" w:hAnsi="Segoe UI" w:cs="Segoe UI"/>
          <w:color w:val="1D2125"/>
          <w:kern w:val="36"/>
          <w:sz w:val="96"/>
          <w:szCs w:val="96"/>
        </w:rPr>
        <w:t>勘</w:t>
      </w:r>
      <w:proofErr w:type="gramEnd"/>
    </w:p>
    <w:p w:rsidR="00884CB4" w:rsidRPr="00F04F16" w:rsidRDefault="00C529CA" w:rsidP="00F04F16">
      <w:pPr>
        <w:jc w:val="center"/>
        <w:rPr>
          <w:sz w:val="48"/>
          <w:szCs w:val="48"/>
        </w:rPr>
      </w:pPr>
      <w:r w:rsidRPr="00F04F16">
        <w:rPr>
          <w:sz w:val="48"/>
          <w:szCs w:val="48"/>
        </w:rPr>
        <w:t>期中小組書面報告</w:t>
      </w:r>
    </w:p>
    <w:p w:rsidR="00F04F16" w:rsidRPr="00F04F16" w:rsidRDefault="00F04F16" w:rsidP="00F04F16">
      <w:pPr>
        <w:jc w:val="center"/>
        <w:rPr>
          <w:sz w:val="32"/>
          <w:szCs w:val="32"/>
        </w:rPr>
      </w:pPr>
    </w:p>
    <w:p w:rsidR="00C529CA" w:rsidRPr="00F04F16" w:rsidRDefault="00C529CA" w:rsidP="00F04F16">
      <w:pPr>
        <w:jc w:val="center"/>
        <w:rPr>
          <w:sz w:val="40"/>
          <w:szCs w:val="40"/>
        </w:rPr>
      </w:pPr>
      <w:r w:rsidRPr="00F04F16">
        <w:rPr>
          <w:rFonts w:hint="eastAsia"/>
          <w:sz w:val="40"/>
          <w:szCs w:val="40"/>
        </w:rPr>
        <w:t>第十一組</w:t>
      </w:r>
      <w:r w:rsidRPr="00F04F16">
        <w:rPr>
          <w:rFonts w:hint="eastAsia"/>
          <w:sz w:val="40"/>
          <w:szCs w:val="40"/>
        </w:rPr>
        <w:t xml:space="preserve"> </w:t>
      </w:r>
      <w:r w:rsidRPr="00F04F16">
        <w:rPr>
          <w:rFonts w:hint="eastAsia"/>
          <w:sz w:val="40"/>
          <w:szCs w:val="40"/>
        </w:rPr>
        <w:t>劉育佑</w:t>
      </w:r>
      <w:r w:rsidRPr="00F04F16">
        <w:rPr>
          <w:rFonts w:hint="eastAsia"/>
          <w:sz w:val="40"/>
          <w:szCs w:val="40"/>
        </w:rPr>
        <w:t xml:space="preserve"> 411111220</w:t>
      </w:r>
      <w:r w:rsidRPr="00F04F16">
        <w:rPr>
          <w:sz w:val="40"/>
          <w:szCs w:val="40"/>
        </w:rPr>
        <w:t>負責年度</w:t>
      </w:r>
      <w:r w:rsidRPr="00F04F16">
        <w:rPr>
          <w:rFonts w:hint="eastAsia"/>
          <w:sz w:val="40"/>
          <w:szCs w:val="40"/>
        </w:rPr>
        <w:t>2020</w:t>
      </w:r>
    </w:p>
    <w:p w:rsidR="00C529CA" w:rsidRDefault="00C529CA">
      <w:pPr>
        <w:widowControl/>
      </w:pPr>
      <w:r>
        <w:br w:type="page"/>
      </w:r>
    </w:p>
    <w:p w:rsidR="00C529CA" w:rsidRDefault="00C529CA" w:rsidP="00C529CA">
      <w:pPr>
        <w:pStyle w:val="2"/>
      </w:pPr>
      <w:r>
        <w:lastRenderedPageBreak/>
        <w:t>一、研究主題與研究動機</w:t>
      </w:r>
    </w:p>
    <w:p w:rsidR="00C529CA" w:rsidRDefault="00C529CA" w:rsidP="00C529CA">
      <w:pPr>
        <w:pStyle w:val="Web"/>
      </w:pPr>
      <w:r>
        <w:t>隱含波動率（Implied Volatility, IV）為選擇權市場中最重要的風險預期指標之一，反映市場參與者對未來標的資產價格波動程度之預期。</w:t>
      </w:r>
      <w:proofErr w:type="gramStart"/>
      <w:r>
        <w:t>此外，</w:t>
      </w:r>
      <w:proofErr w:type="gramEnd"/>
      <w:r>
        <w:t>買賣權比（Put/Call Ratio, PCR）則常被用來衡量市場多空情緒與避險需求。</w:t>
      </w:r>
    </w:p>
    <w:p w:rsidR="00C529CA" w:rsidRDefault="00C529CA" w:rsidP="00C529CA">
      <w:pPr>
        <w:pStyle w:val="Web"/>
      </w:pPr>
      <w:r>
        <w:t>本研究以</w:t>
      </w:r>
      <w:proofErr w:type="gramStart"/>
      <w:r>
        <w:t>臺</w:t>
      </w:r>
      <w:proofErr w:type="gramEnd"/>
      <w:r>
        <w:t>指選擇權（TXO）逐筆交易資料為基礎，針對看漲（Call）與看跌（Put）投資人之隱含波動率進行統計分析，並結合 PCR 指標進行整合解讀，期望達成以下目標：</w:t>
      </w:r>
    </w:p>
    <w:p w:rsidR="00C529CA" w:rsidRDefault="00C529CA" w:rsidP="00C529CA">
      <w:pPr>
        <w:widowControl/>
        <w:numPr>
          <w:ilvl w:val="0"/>
          <w:numId w:val="3"/>
        </w:numPr>
        <w:spacing w:before="100" w:beforeAutospacing="1" w:after="100" w:afterAutospacing="1"/>
      </w:pPr>
      <w:r>
        <w:t>探討市場對未來波動之預期差異</w:t>
      </w:r>
      <w:r>
        <w:t xml:space="preserve"> </w:t>
      </w:r>
    </w:p>
    <w:p w:rsidR="00C529CA" w:rsidRDefault="00C529CA" w:rsidP="00C529CA">
      <w:pPr>
        <w:widowControl/>
        <w:numPr>
          <w:ilvl w:val="0"/>
          <w:numId w:val="3"/>
        </w:numPr>
        <w:spacing w:before="100" w:beforeAutospacing="1" w:after="100" w:afterAutospacing="1"/>
      </w:pPr>
      <w:r>
        <w:t>分析多空投資人對風險的評價</w:t>
      </w:r>
      <w:r>
        <w:t xml:space="preserve"> </w:t>
      </w:r>
    </w:p>
    <w:p w:rsidR="00C529CA" w:rsidRDefault="00C529CA" w:rsidP="00C529CA">
      <w:pPr>
        <w:widowControl/>
        <w:numPr>
          <w:ilvl w:val="0"/>
          <w:numId w:val="3"/>
        </w:numPr>
        <w:spacing w:before="100" w:beforeAutospacing="1" w:after="100" w:afterAutospacing="1"/>
      </w:pPr>
      <w:r>
        <w:t>衡量市場不確定性與投資人分歧程度</w:t>
      </w:r>
      <w:r>
        <w:t xml:space="preserve"> </w:t>
      </w:r>
    </w:p>
    <w:p w:rsidR="00C529CA" w:rsidRDefault="00C529CA" w:rsidP="00C529CA">
      <w:pPr>
        <w:widowControl/>
        <w:numPr>
          <w:ilvl w:val="0"/>
          <w:numId w:val="3"/>
        </w:numPr>
        <w:spacing w:before="100" w:beforeAutospacing="1" w:after="100" w:afterAutospacing="1"/>
      </w:pPr>
      <w:r>
        <w:t>建立</w:t>
      </w:r>
      <w:r>
        <w:t xml:space="preserve"> IV </w:t>
      </w:r>
      <w:r>
        <w:t>與</w:t>
      </w:r>
      <w:r>
        <w:t xml:space="preserve"> PCR </w:t>
      </w:r>
      <w:r>
        <w:t>的整合分析框架</w:t>
      </w:r>
    </w:p>
    <w:p w:rsidR="00C529CA" w:rsidRDefault="00C529CA" w:rsidP="00C529CA">
      <w:pPr>
        <w:pStyle w:val="2"/>
      </w:pPr>
      <w:r>
        <w:t>二、研究期間與分工說明</w:t>
      </w:r>
    </w:p>
    <w:p w:rsidR="00C529CA" w:rsidRDefault="00C529CA" w:rsidP="00C529CA">
      <w:pPr>
        <w:pStyle w:val="Web"/>
      </w:pPr>
      <w:proofErr w:type="gramStart"/>
      <w:r>
        <w:t>本組選擇</w:t>
      </w:r>
      <w:proofErr w:type="gramEnd"/>
      <w:r>
        <w:t>連續年度資料進行分析：</w:t>
      </w:r>
    </w:p>
    <w:p w:rsidR="00C529CA" w:rsidRDefault="00C529CA" w:rsidP="00C529CA">
      <w:pPr>
        <w:widowControl/>
        <w:numPr>
          <w:ilvl w:val="0"/>
          <w:numId w:val="2"/>
        </w:numPr>
        <w:spacing w:before="100" w:beforeAutospacing="1" w:after="100" w:afterAutospacing="1"/>
      </w:pPr>
      <w:r>
        <w:t xml:space="preserve">2020 </w:t>
      </w:r>
      <w:r>
        <w:t>年：資料整理與分析（</w:t>
      </w:r>
      <w:r>
        <w:rPr>
          <w:rFonts w:hint="eastAsia"/>
        </w:rPr>
        <w:t>劉育佑</w:t>
      </w:r>
      <w:r>
        <w:t>）</w:t>
      </w:r>
    </w:p>
    <w:p w:rsidR="00C529CA" w:rsidRDefault="00C529CA" w:rsidP="00C529CA">
      <w:pPr>
        <w:pStyle w:val="2"/>
      </w:pPr>
      <w:r>
        <w:t>三、資料來源與樣本說明</w:t>
      </w:r>
      <w:r w:rsidR="004778E5">
        <w:rPr>
          <w:rFonts w:hint="eastAsia"/>
        </w:rPr>
        <w:t>、</w:t>
      </w:r>
      <w:r w:rsidR="004778E5">
        <w:t>資料整理與整合流程</w:t>
      </w:r>
    </w:p>
    <w:p w:rsidR="00C529CA" w:rsidRDefault="00C529CA" w:rsidP="00C529CA">
      <w:pPr>
        <w:pStyle w:val="3"/>
      </w:pPr>
      <w:r>
        <w:t xml:space="preserve">3.1 </w:t>
      </w:r>
      <w:r>
        <w:t>資料來源</w:t>
      </w:r>
    </w:p>
    <w:p w:rsidR="00B2591D" w:rsidRDefault="00C529CA" w:rsidP="00B2591D">
      <w:pPr>
        <w:pStyle w:val="Web"/>
        <w:rPr>
          <w:rFonts w:asciiTheme="minorHAnsi" w:eastAsiaTheme="minorEastAsia" w:hAnsiTheme="minorHAnsi" w:cstheme="minorBidi"/>
          <w:szCs w:val="22"/>
        </w:rPr>
      </w:pPr>
      <w:r>
        <w:t>本研究使用以下資料：</w:t>
      </w:r>
      <w:proofErr w:type="gramStart"/>
      <w:r w:rsidR="00B2591D" w:rsidRPr="00B2591D">
        <w:rPr>
          <w:rFonts w:asciiTheme="minorHAnsi" w:eastAsiaTheme="minorEastAsia" w:hAnsiTheme="minorHAnsi" w:cstheme="minorBidi" w:hint="eastAsia"/>
          <w:szCs w:val="22"/>
        </w:rPr>
        <w:t>臺</w:t>
      </w:r>
      <w:proofErr w:type="gramEnd"/>
      <w:r w:rsidR="00B2591D" w:rsidRPr="00B2591D">
        <w:rPr>
          <w:rFonts w:asciiTheme="minorHAnsi" w:eastAsiaTheme="minorEastAsia" w:hAnsiTheme="minorHAnsi" w:cstheme="minorBidi" w:hint="eastAsia"/>
          <w:szCs w:val="22"/>
        </w:rPr>
        <w:t>指</w:t>
      </w:r>
      <w:proofErr w:type="gramStart"/>
      <w:r w:rsidR="00B2591D" w:rsidRPr="00B2591D">
        <w:rPr>
          <w:rFonts w:asciiTheme="minorHAnsi" w:eastAsiaTheme="minorEastAsia" w:hAnsiTheme="minorHAnsi" w:cstheme="minorBidi" w:hint="eastAsia"/>
          <w:szCs w:val="22"/>
        </w:rPr>
        <w:t>選擇權逐</w:t>
      </w:r>
      <w:proofErr w:type="gramEnd"/>
      <w:r w:rsidR="00B2591D" w:rsidRPr="00B2591D">
        <w:rPr>
          <w:rFonts w:asciiTheme="minorHAnsi" w:eastAsiaTheme="minorEastAsia" w:hAnsiTheme="minorHAnsi" w:cstheme="minorBidi" w:hint="eastAsia"/>
          <w:szCs w:val="22"/>
        </w:rPr>
        <w:t>筆交易資料（</w:t>
      </w:r>
      <w:r w:rsidR="00B2591D" w:rsidRPr="00B2591D">
        <w:rPr>
          <w:rFonts w:asciiTheme="minorHAnsi" w:eastAsiaTheme="minorEastAsia" w:hAnsiTheme="minorHAnsi" w:cstheme="minorBidi" w:hint="eastAsia"/>
          <w:szCs w:val="22"/>
        </w:rPr>
        <w:t>TXO</w:t>
      </w:r>
      <w:r w:rsidR="00B2591D" w:rsidRPr="00B2591D">
        <w:rPr>
          <w:rFonts w:asciiTheme="minorHAnsi" w:eastAsiaTheme="minorEastAsia" w:hAnsiTheme="minorHAnsi" w:cstheme="minorBidi" w:hint="eastAsia"/>
          <w:szCs w:val="22"/>
        </w:rPr>
        <w:t>）</w:t>
      </w:r>
      <w:r w:rsidR="00B2591D" w:rsidRPr="00B2591D">
        <w:rPr>
          <w:rFonts w:asciiTheme="minorHAnsi" w:eastAsiaTheme="minorEastAsia" w:hAnsiTheme="minorHAnsi" w:cstheme="minorBidi" w:hint="eastAsia"/>
          <w:szCs w:val="22"/>
        </w:rPr>
        <w:t xml:space="preserve"> (</w:t>
      </w:r>
      <w:r w:rsidR="00B2591D" w:rsidRPr="00B2591D">
        <w:rPr>
          <w:rFonts w:asciiTheme="minorHAnsi" w:eastAsiaTheme="minorEastAsia" w:hAnsiTheme="minorHAnsi" w:cstheme="minorBidi" w:hint="eastAsia"/>
          <w:szCs w:val="22"/>
        </w:rPr>
        <w:t>臺灣期貨交易所</w:t>
      </w:r>
      <w:r w:rsidR="00B2591D" w:rsidRPr="00B2591D">
        <w:rPr>
          <w:rFonts w:asciiTheme="minorHAnsi" w:eastAsiaTheme="minorEastAsia" w:hAnsiTheme="minorHAnsi" w:cstheme="minorBidi" w:hint="eastAsia"/>
          <w:szCs w:val="22"/>
        </w:rPr>
        <w:t>)</w:t>
      </w:r>
    </w:p>
    <w:p w:rsidR="00B2591D" w:rsidRDefault="00B2591D" w:rsidP="00B2591D">
      <w:pPr>
        <w:pStyle w:val="Web"/>
        <w:rPr>
          <w:rFonts w:asciiTheme="minorHAnsi" w:eastAsiaTheme="minorEastAsia" w:hAnsiTheme="minorHAnsi" w:cstheme="minorBidi"/>
          <w:szCs w:val="22"/>
        </w:rPr>
      </w:pPr>
      <w:r w:rsidRPr="00B2591D">
        <w:rPr>
          <w:rFonts w:asciiTheme="minorHAnsi" w:eastAsiaTheme="minorEastAsia" w:hAnsiTheme="minorHAnsi" w:cstheme="minorBidi" w:hint="eastAsia"/>
          <w:szCs w:val="22"/>
        </w:rPr>
        <w:t>標的指數價格（</w:t>
      </w:r>
      <w:r w:rsidRPr="00B2591D">
        <w:rPr>
          <w:rFonts w:asciiTheme="minorHAnsi" w:eastAsiaTheme="minorEastAsia" w:hAnsiTheme="minorHAnsi" w:cstheme="minorBidi" w:hint="eastAsia"/>
          <w:szCs w:val="22"/>
        </w:rPr>
        <w:t>S0</w:t>
      </w:r>
      <w:r w:rsidRPr="00B2591D">
        <w:rPr>
          <w:rFonts w:asciiTheme="minorHAnsi" w:eastAsiaTheme="minorEastAsia" w:hAnsiTheme="minorHAnsi" w:cstheme="minorBidi" w:hint="eastAsia"/>
          <w:szCs w:val="22"/>
        </w:rPr>
        <w:t>）</w:t>
      </w:r>
      <w:r w:rsidRPr="00B2591D">
        <w:rPr>
          <w:rFonts w:asciiTheme="minorHAnsi" w:eastAsiaTheme="minorEastAsia" w:hAnsiTheme="minorHAnsi" w:cstheme="minorBidi" w:hint="eastAsia"/>
          <w:szCs w:val="22"/>
        </w:rPr>
        <w:t>(TEJ</w:t>
      </w:r>
      <w:r w:rsidRPr="00B2591D">
        <w:rPr>
          <w:rFonts w:asciiTheme="minorHAnsi" w:eastAsiaTheme="minorEastAsia" w:hAnsiTheme="minorHAnsi" w:cstheme="minorBidi" w:hint="eastAsia"/>
          <w:szCs w:val="22"/>
        </w:rPr>
        <w:t>台灣經濟新報</w:t>
      </w:r>
      <w:r w:rsidRPr="00B2591D">
        <w:rPr>
          <w:rFonts w:asciiTheme="minorHAnsi" w:eastAsiaTheme="minorEastAsia" w:hAnsiTheme="minorHAnsi" w:cstheme="minorBidi" w:hint="eastAsia"/>
          <w:szCs w:val="22"/>
        </w:rPr>
        <w:t xml:space="preserve">) </w:t>
      </w:r>
    </w:p>
    <w:p w:rsidR="00B2591D" w:rsidRDefault="00B2591D" w:rsidP="00B2591D">
      <w:pPr>
        <w:pStyle w:val="Web"/>
        <w:rPr>
          <w:rFonts w:asciiTheme="minorHAnsi" w:eastAsiaTheme="minorEastAsia" w:hAnsiTheme="minorHAnsi" w:cstheme="minorBidi"/>
          <w:szCs w:val="22"/>
        </w:rPr>
      </w:pPr>
      <w:r w:rsidRPr="00B2591D">
        <w:rPr>
          <w:rFonts w:asciiTheme="minorHAnsi" w:eastAsiaTheme="minorEastAsia" w:hAnsiTheme="minorHAnsi" w:cstheme="minorBidi" w:hint="eastAsia"/>
          <w:szCs w:val="22"/>
        </w:rPr>
        <w:t>無風險利率（</w:t>
      </w:r>
      <w:r w:rsidRPr="00B2591D">
        <w:rPr>
          <w:rFonts w:asciiTheme="minorHAnsi" w:eastAsiaTheme="minorEastAsia" w:hAnsiTheme="minorHAnsi" w:cstheme="minorBidi" w:hint="eastAsia"/>
          <w:szCs w:val="22"/>
        </w:rPr>
        <w:t>Rf</w:t>
      </w:r>
      <w:r w:rsidRPr="00B2591D">
        <w:rPr>
          <w:rFonts w:asciiTheme="minorHAnsi" w:eastAsiaTheme="minorEastAsia" w:hAnsiTheme="minorHAnsi" w:cstheme="minorBidi" w:hint="eastAsia"/>
          <w:szCs w:val="22"/>
        </w:rPr>
        <w:t>）</w:t>
      </w:r>
      <w:r w:rsidRPr="00B2591D">
        <w:rPr>
          <w:rFonts w:asciiTheme="minorHAnsi" w:eastAsiaTheme="minorEastAsia" w:hAnsiTheme="minorHAnsi" w:cstheme="minorBidi" w:hint="eastAsia"/>
          <w:szCs w:val="22"/>
        </w:rPr>
        <w:t xml:space="preserve"> (</w:t>
      </w:r>
      <w:r w:rsidRPr="00B2591D">
        <w:rPr>
          <w:rFonts w:asciiTheme="minorHAnsi" w:eastAsiaTheme="minorEastAsia" w:hAnsiTheme="minorHAnsi" w:cstheme="minorBidi" w:hint="eastAsia"/>
          <w:szCs w:val="22"/>
        </w:rPr>
        <w:t>新臺幣存</w:t>
      </w:r>
      <w:r w:rsidRPr="00B2591D">
        <w:rPr>
          <w:rFonts w:asciiTheme="minorHAnsi" w:eastAsiaTheme="minorEastAsia" w:hAnsiTheme="minorHAnsi" w:cstheme="minorBidi" w:hint="eastAsia"/>
          <w:szCs w:val="22"/>
        </w:rPr>
        <w:t>(</w:t>
      </w:r>
      <w:r w:rsidRPr="00B2591D">
        <w:rPr>
          <w:rFonts w:asciiTheme="minorHAnsi" w:eastAsiaTheme="minorEastAsia" w:hAnsiTheme="minorHAnsi" w:cstheme="minorBidi" w:hint="eastAsia"/>
          <w:szCs w:val="22"/>
        </w:rPr>
        <w:t>放</w:t>
      </w:r>
      <w:r w:rsidRPr="00B2591D">
        <w:rPr>
          <w:rFonts w:asciiTheme="minorHAnsi" w:eastAsiaTheme="minorEastAsia" w:hAnsiTheme="minorHAnsi" w:cstheme="minorBidi" w:hint="eastAsia"/>
          <w:szCs w:val="22"/>
        </w:rPr>
        <w:t>)</w:t>
      </w:r>
      <w:r w:rsidRPr="00B2591D">
        <w:rPr>
          <w:rFonts w:asciiTheme="minorHAnsi" w:eastAsiaTheme="minorEastAsia" w:hAnsiTheme="minorHAnsi" w:cstheme="minorBidi" w:hint="eastAsia"/>
          <w:szCs w:val="22"/>
        </w:rPr>
        <w:t>款牌告利率</w:t>
      </w:r>
      <w:r w:rsidRPr="00B2591D">
        <w:rPr>
          <w:rFonts w:asciiTheme="minorHAnsi" w:eastAsiaTheme="minorEastAsia" w:hAnsiTheme="minorHAnsi" w:cstheme="minorBidi" w:hint="eastAsia"/>
          <w:szCs w:val="22"/>
        </w:rPr>
        <w:t xml:space="preserve"> - </w:t>
      </w:r>
      <w:r w:rsidRPr="00B2591D">
        <w:rPr>
          <w:rFonts w:asciiTheme="minorHAnsi" w:eastAsiaTheme="minorEastAsia" w:hAnsiTheme="minorHAnsi" w:cstheme="minorBidi" w:hint="eastAsia"/>
          <w:szCs w:val="22"/>
        </w:rPr>
        <w:t>匯率</w:t>
      </w:r>
      <w:r w:rsidRPr="00B2591D">
        <w:rPr>
          <w:rFonts w:asciiTheme="minorHAnsi" w:eastAsiaTheme="minorEastAsia" w:hAnsiTheme="minorHAnsi" w:cstheme="minorBidi" w:hint="eastAsia"/>
          <w:szCs w:val="22"/>
        </w:rPr>
        <w:t xml:space="preserve">- </w:t>
      </w:r>
      <w:r w:rsidRPr="00B2591D">
        <w:rPr>
          <w:rFonts w:asciiTheme="minorHAnsi" w:eastAsiaTheme="minorEastAsia" w:hAnsiTheme="minorHAnsi" w:cstheme="minorBidi" w:hint="eastAsia"/>
          <w:szCs w:val="22"/>
        </w:rPr>
        <w:t>臺灣銀行</w:t>
      </w:r>
      <w:r w:rsidRPr="00B2591D">
        <w:rPr>
          <w:rFonts w:asciiTheme="minorHAnsi" w:eastAsiaTheme="minorEastAsia" w:hAnsiTheme="minorHAnsi" w:cstheme="minorBidi" w:hint="eastAsia"/>
          <w:szCs w:val="22"/>
        </w:rPr>
        <w:t>)</w:t>
      </w:r>
      <w:r w:rsidR="006F34A0" w:rsidRPr="006F34A0">
        <w:rPr>
          <w:rFonts w:ascii="Segoe UI" w:hAnsi="Segoe UI" w:cs="Segoe UI"/>
          <w:color w:val="1D2125"/>
          <w:kern w:val="36"/>
          <w:sz w:val="48"/>
          <w:szCs w:val="48"/>
        </w:rPr>
        <w:t xml:space="preserve"> </w:t>
      </w:r>
    </w:p>
    <w:p w:rsidR="00B2591D" w:rsidRDefault="006F34A0" w:rsidP="00B2591D">
      <w:pPr>
        <w:pStyle w:val="3"/>
      </w:pPr>
      <w:r w:rsidRPr="006F34A0">
        <w:rPr>
          <w:rFonts w:ascii="Segoe UI" w:eastAsia="新細明體" w:hAnsi="Segoe UI" w:cs="Segoe UI"/>
          <w:noProof/>
          <w:color w:val="1D2125"/>
          <w:kern w:val="36"/>
          <w:sz w:val="48"/>
          <w:szCs w:val="48"/>
        </w:rPr>
        <w:lastRenderedPageBreak/>
        <w:drawing>
          <wp:anchor distT="0" distB="0" distL="114300" distR="114300" simplePos="0" relativeHeight="251660288" behindDoc="0" locked="0" layoutInCell="1" allowOverlap="1" wp14:anchorId="4590A0EF" wp14:editId="587AD501">
            <wp:simplePos x="0" y="0"/>
            <wp:positionH relativeFrom="page">
              <wp:posOffset>3867150</wp:posOffset>
            </wp:positionH>
            <wp:positionV relativeFrom="paragraph">
              <wp:posOffset>-914399</wp:posOffset>
            </wp:positionV>
            <wp:extent cx="3693160" cy="5834708"/>
            <wp:effectExtent l="0" t="0" r="2540" b="0"/>
            <wp:wrapNone/>
            <wp:docPr id="4" name="圖片 3">
              <a:extLst xmlns:a="http://schemas.openxmlformats.org/drawingml/2006/main">
                <a:ext uri="{FF2B5EF4-FFF2-40B4-BE49-F238E27FC236}">
                  <a16:creationId xmlns:a16="http://schemas.microsoft.com/office/drawing/2014/main" id="{CFA8F2BB-AB79-4BC6-8358-D5935117E4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>
                      <a:extLst>
                        <a:ext uri="{FF2B5EF4-FFF2-40B4-BE49-F238E27FC236}">
                          <a16:creationId xmlns:a16="http://schemas.microsoft.com/office/drawing/2014/main" id="{CFA8F2BB-AB79-4BC6-8358-D5935117E4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739" cy="5849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9CA">
        <w:t xml:space="preserve">3.2 </w:t>
      </w:r>
      <w:r w:rsidR="00C529CA">
        <w:t>樣本篩選條件</w:t>
      </w:r>
    </w:p>
    <w:p w:rsidR="00C529CA" w:rsidRDefault="00C529CA" w:rsidP="00C529CA">
      <w:pPr>
        <w:pStyle w:val="Web"/>
      </w:pPr>
      <w:r>
        <w:t>為確保資料品質，採用以下篩選原則：</w:t>
      </w:r>
    </w:p>
    <w:p w:rsidR="00C529CA" w:rsidRDefault="00C529CA" w:rsidP="00C529CA">
      <w:pPr>
        <w:widowControl/>
        <w:numPr>
          <w:ilvl w:val="0"/>
          <w:numId w:val="8"/>
        </w:numPr>
        <w:spacing w:before="100" w:beforeAutospacing="1" w:after="100" w:afterAutospacing="1"/>
      </w:pPr>
      <w:r>
        <w:t>排除無法反推</w:t>
      </w:r>
      <w:r>
        <w:t xml:space="preserve"> IV </w:t>
      </w:r>
      <w:r>
        <w:t>的交易</w:t>
      </w:r>
      <w:r>
        <w:t xml:space="preserve"> </w:t>
      </w:r>
    </w:p>
    <w:p w:rsidR="00C529CA" w:rsidRDefault="00C529CA" w:rsidP="00C529CA">
      <w:pPr>
        <w:widowControl/>
        <w:numPr>
          <w:ilvl w:val="0"/>
          <w:numId w:val="8"/>
        </w:numPr>
        <w:spacing w:before="100" w:beforeAutospacing="1" w:after="100" w:afterAutospacing="1"/>
      </w:pPr>
      <w:r>
        <w:t>排除成交量過低樣本</w:t>
      </w:r>
      <w:r>
        <w:t xml:space="preserve"> </w:t>
      </w:r>
    </w:p>
    <w:p w:rsidR="00C529CA" w:rsidRDefault="00C529CA" w:rsidP="00C529CA">
      <w:pPr>
        <w:pStyle w:val="3"/>
      </w:pPr>
      <w:r>
        <w:t xml:space="preserve">3.3 </w:t>
      </w:r>
      <w:r>
        <w:t>資料處理流程</w:t>
      </w:r>
    </w:p>
    <w:p w:rsidR="00C529CA" w:rsidRDefault="00C529CA" w:rsidP="00C529CA">
      <w:pPr>
        <w:widowControl/>
        <w:numPr>
          <w:ilvl w:val="0"/>
          <w:numId w:val="9"/>
        </w:numPr>
        <w:spacing w:before="100" w:beforeAutospacing="1" w:after="100" w:afterAutospacing="1"/>
      </w:pPr>
      <w:r>
        <w:t>整合逐筆交易資料</w:t>
      </w:r>
      <w:r>
        <w:t xml:space="preserve"> </w:t>
      </w:r>
    </w:p>
    <w:p w:rsidR="00C529CA" w:rsidRDefault="00C529CA" w:rsidP="00C529CA">
      <w:pPr>
        <w:widowControl/>
        <w:numPr>
          <w:ilvl w:val="0"/>
          <w:numId w:val="9"/>
        </w:numPr>
        <w:spacing w:before="100" w:beforeAutospacing="1" w:after="100" w:afterAutospacing="1"/>
      </w:pPr>
      <w:r>
        <w:t>計算到期時間（</w:t>
      </w:r>
      <w:r>
        <w:t>Maturity</w:t>
      </w:r>
      <w:r>
        <w:t>）</w:t>
      </w:r>
      <w:r>
        <w:t xml:space="preserve"> </w:t>
      </w:r>
    </w:p>
    <w:p w:rsidR="00C529CA" w:rsidRDefault="00C529CA" w:rsidP="00C529CA">
      <w:pPr>
        <w:widowControl/>
        <w:numPr>
          <w:ilvl w:val="0"/>
          <w:numId w:val="9"/>
        </w:numPr>
        <w:spacing w:before="100" w:beforeAutospacing="1" w:after="100" w:afterAutospacing="1"/>
      </w:pPr>
      <w:r>
        <w:t>套用選擇權定價模型反推</w:t>
      </w:r>
      <w:r>
        <w:t xml:space="preserve"> IV </w:t>
      </w:r>
    </w:p>
    <w:p w:rsidR="00C529CA" w:rsidRDefault="00C529CA" w:rsidP="00C529CA">
      <w:pPr>
        <w:widowControl/>
        <w:numPr>
          <w:ilvl w:val="0"/>
          <w:numId w:val="9"/>
        </w:numPr>
        <w:spacing w:before="100" w:beforeAutospacing="1" w:after="100" w:afterAutospacing="1"/>
      </w:pPr>
      <w:r>
        <w:t>依</w:t>
      </w:r>
      <w:r>
        <w:t xml:space="preserve"> Call / Put </w:t>
      </w:r>
      <w:r>
        <w:t>分類投資人</w:t>
      </w:r>
      <w:r>
        <w:t xml:space="preserve"> </w:t>
      </w:r>
    </w:p>
    <w:p w:rsidR="00C529CA" w:rsidRDefault="00C529CA" w:rsidP="00C529CA">
      <w:pPr>
        <w:widowControl/>
        <w:numPr>
          <w:ilvl w:val="0"/>
          <w:numId w:val="9"/>
        </w:numPr>
        <w:spacing w:before="100" w:beforeAutospacing="1" w:after="100" w:afterAutospacing="1"/>
      </w:pPr>
      <w:r>
        <w:t>以「日」為單位進行統計：</w:t>
      </w:r>
      <w:r>
        <w:t xml:space="preserve"> </w:t>
      </w:r>
    </w:p>
    <w:p w:rsidR="00C529CA" w:rsidRDefault="00C529CA" w:rsidP="00C529CA">
      <w:pPr>
        <w:widowControl/>
        <w:numPr>
          <w:ilvl w:val="1"/>
          <w:numId w:val="9"/>
        </w:numPr>
        <w:spacing w:before="100" w:beforeAutospacing="1" w:after="100" w:afterAutospacing="1"/>
      </w:pPr>
      <w:r>
        <w:t xml:space="preserve">IV </w:t>
      </w:r>
      <w:r>
        <w:t>平均數</w:t>
      </w:r>
      <w:r>
        <w:t xml:space="preserve"> </w:t>
      </w:r>
    </w:p>
    <w:p w:rsidR="00C529CA" w:rsidRDefault="00C529CA" w:rsidP="00C529CA">
      <w:pPr>
        <w:widowControl/>
        <w:numPr>
          <w:ilvl w:val="1"/>
          <w:numId w:val="9"/>
        </w:numPr>
        <w:spacing w:before="100" w:beforeAutospacing="1" w:after="100" w:afterAutospacing="1"/>
      </w:pPr>
      <w:r>
        <w:t xml:space="preserve">IV </w:t>
      </w:r>
      <w:r>
        <w:t>樣本標準差</w:t>
      </w:r>
      <w:r>
        <w:t xml:space="preserve"> </w:t>
      </w:r>
    </w:p>
    <w:p w:rsidR="00C529CA" w:rsidRDefault="00C529CA" w:rsidP="00C529CA">
      <w:pPr>
        <w:widowControl/>
        <w:numPr>
          <w:ilvl w:val="0"/>
          <w:numId w:val="9"/>
        </w:numPr>
        <w:spacing w:before="100" w:beforeAutospacing="1" w:after="100" w:afterAutospacing="1"/>
      </w:pPr>
      <w:r>
        <w:t>計算每日</w:t>
      </w:r>
      <w:r>
        <w:t xml:space="preserve"> PCR</w:t>
      </w:r>
    </w:p>
    <w:p w:rsidR="007B70C4" w:rsidRDefault="007B70C4" w:rsidP="007B70C4">
      <w:pPr>
        <w:pStyle w:val="2"/>
      </w:pPr>
      <w:r>
        <w:t>四、指標定義與統計方法</w:t>
      </w:r>
    </w:p>
    <w:p w:rsidR="007B70C4" w:rsidRDefault="007B70C4" w:rsidP="007B70C4">
      <w:pPr>
        <w:pStyle w:val="3"/>
      </w:pPr>
      <w:r>
        <w:t xml:space="preserve">4.1 </w:t>
      </w:r>
      <w:r>
        <w:t>隱含波動率（</w:t>
      </w:r>
      <w:r>
        <w:t>IV</w:t>
      </w:r>
      <w:r>
        <w:t>）</w:t>
      </w:r>
    </w:p>
    <w:p w:rsidR="007B70C4" w:rsidRDefault="007B70C4" w:rsidP="007B70C4">
      <w:pPr>
        <w:pStyle w:val="Web"/>
      </w:pPr>
      <w:r>
        <w:t>隱含波動率為使選擇權市場價格等於理論價格之波動率，透過 Black-Scholes 模型反推求得。</w:t>
      </w:r>
    </w:p>
    <w:p w:rsidR="007B70C4" w:rsidRDefault="007B70C4" w:rsidP="007B70C4">
      <w:pPr>
        <w:widowControl/>
        <w:numPr>
          <w:ilvl w:val="0"/>
          <w:numId w:val="10"/>
        </w:numPr>
        <w:spacing w:before="100" w:beforeAutospacing="1" w:after="100" w:afterAutospacing="1"/>
      </w:pPr>
      <w:r>
        <w:t>看漲投資人</w:t>
      </w:r>
      <w:r>
        <w:t xml:space="preserve"> IV</w:t>
      </w:r>
      <w:r>
        <w:t>（</w:t>
      </w:r>
      <w:r>
        <w:t>Call IV</w:t>
      </w:r>
      <w:r>
        <w:t>）：反映市場對上漲波動的預期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10"/>
        </w:numPr>
        <w:spacing w:before="100" w:beforeAutospacing="1" w:after="100" w:afterAutospacing="1"/>
      </w:pPr>
      <w:r>
        <w:t>看跌投資人</w:t>
      </w:r>
      <w:r>
        <w:t xml:space="preserve"> IV</w:t>
      </w:r>
      <w:r>
        <w:t>（</w:t>
      </w:r>
      <w:r>
        <w:t>Put IV</w:t>
      </w:r>
      <w:r>
        <w:t>）：反映市場對下跌風險的評價</w:t>
      </w:r>
      <w:r>
        <w:t xml:space="preserve"> </w:t>
      </w:r>
    </w:p>
    <w:p w:rsidR="0001098A" w:rsidRDefault="0001098A" w:rsidP="0001098A">
      <w:pPr>
        <w:widowControl/>
        <w:spacing w:before="100" w:beforeAutospacing="1" w:after="100" w:afterAutospacing="1"/>
        <w:ind w:left="720"/>
        <w:rPr>
          <w:rFonts w:hint="eastAsia"/>
        </w:rPr>
      </w:pPr>
      <w:bookmarkStart w:id="0" w:name="_GoBack"/>
      <w:bookmarkEnd w:id="0"/>
    </w:p>
    <w:p w:rsidR="007B70C4" w:rsidRDefault="007B70C4" w:rsidP="007B70C4">
      <w:pPr>
        <w:pStyle w:val="3"/>
      </w:pPr>
      <w:r>
        <w:lastRenderedPageBreak/>
        <w:t xml:space="preserve">4.2 </w:t>
      </w:r>
      <w:r>
        <w:t>平均數（</w:t>
      </w:r>
      <w:r>
        <w:t>Mean</w:t>
      </w:r>
      <w:r>
        <w:t>）</w:t>
      </w:r>
    </w:p>
    <w:p w:rsidR="007B70C4" w:rsidRDefault="007B70C4" w:rsidP="007B70C4">
      <w:pPr>
        <w:pStyle w:val="Web"/>
      </w:pPr>
      <w:r>
        <w:t>每日 IV 平均數定義為：</w:t>
      </w:r>
    </w:p>
    <w:p w:rsidR="007B70C4" w:rsidRDefault="007B70C4" w:rsidP="007B70C4">
      <w:pPr>
        <w:widowControl/>
        <w:numPr>
          <w:ilvl w:val="0"/>
          <w:numId w:val="11"/>
        </w:numPr>
        <w:spacing w:before="100" w:beforeAutospacing="1" w:after="100" w:afterAutospacing="1"/>
      </w:pPr>
      <w:r>
        <w:t>衡量市場整體預期水準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11"/>
        </w:numPr>
        <w:spacing w:before="100" w:beforeAutospacing="1" w:after="100" w:afterAutospacing="1"/>
      </w:pPr>
      <w:r>
        <w:t>作為中央趨勢指標</w:t>
      </w:r>
      <w:r>
        <w:t xml:space="preserve"> </w:t>
      </w:r>
    </w:p>
    <w:p w:rsidR="007B70C4" w:rsidRDefault="007B70C4" w:rsidP="007B70C4">
      <w:pPr>
        <w:pStyle w:val="3"/>
      </w:pPr>
      <w:r>
        <w:t xml:space="preserve">4.3 </w:t>
      </w:r>
      <w:r>
        <w:t>樣本標準差（</w:t>
      </w:r>
      <w:r>
        <w:t>Sample Standard Deviation</w:t>
      </w:r>
      <w:r>
        <w:t>）</w:t>
      </w:r>
    </w:p>
    <w:p w:rsidR="007B70C4" w:rsidRDefault="007B70C4" w:rsidP="007B70C4">
      <w:pPr>
        <w:pStyle w:val="Web"/>
      </w:pPr>
      <w:r>
        <w:t>用以衡量同日 IV 的離散程度：</w:t>
      </w:r>
    </w:p>
    <w:p w:rsidR="007B70C4" w:rsidRDefault="007B70C4" w:rsidP="007B70C4">
      <w:pPr>
        <w:widowControl/>
        <w:numPr>
          <w:ilvl w:val="0"/>
          <w:numId w:val="12"/>
        </w:numPr>
        <w:spacing w:before="100" w:beforeAutospacing="1" w:after="100" w:afterAutospacing="1"/>
      </w:pPr>
      <w:r>
        <w:t>數值越大</w:t>
      </w:r>
      <w:r>
        <w:t xml:space="preserve"> → </w:t>
      </w:r>
      <w:r>
        <w:t>投資人意見越分歧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12"/>
        </w:numPr>
        <w:spacing w:before="100" w:beforeAutospacing="1" w:after="100" w:afterAutospacing="1"/>
      </w:pPr>
      <w:r>
        <w:t>數值越小</w:t>
      </w:r>
      <w:r>
        <w:t xml:space="preserve"> → </w:t>
      </w:r>
      <w:r>
        <w:t>市場共識較一致</w:t>
      </w:r>
    </w:p>
    <w:p w:rsidR="007D4236" w:rsidRDefault="0001098A" w:rsidP="007D4236">
      <w:pPr>
        <w:pStyle w:val="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638175</wp:posOffset>
                </wp:positionV>
                <wp:extent cx="3495675" cy="125730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257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098A" w:rsidRPr="0001098A" w:rsidRDefault="0001098A" w:rsidP="0001098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1098A"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Pr="0001098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月</w:t>
                            </w:r>
                            <w:r w:rsidRPr="0001098A">
                              <w:rPr>
                                <w:sz w:val="16"/>
                                <w:szCs w:val="16"/>
                              </w:rPr>
                              <w:t>11</w:t>
                            </w:r>
                            <w:r w:rsidRPr="0001098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日：世界衛生組織宣佈，</w:t>
                            </w:r>
                            <w:r w:rsidRPr="0001098A">
                              <w:rPr>
                                <w:sz w:val="16"/>
                                <w:szCs w:val="16"/>
                              </w:rPr>
                              <w:t>COVID-19</w:t>
                            </w:r>
                            <w:proofErr w:type="gramStart"/>
                            <w:r w:rsidRPr="0001098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疫情的</w:t>
                            </w:r>
                            <w:proofErr w:type="gramEnd"/>
                            <w:r w:rsidRPr="0001098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爆發已經構成全球性「大流行」。目前席捲至少</w:t>
                            </w:r>
                            <w:r w:rsidRPr="0001098A">
                              <w:rPr>
                                <w:sz w:val="16"/>
                                <w:szCs w:val="16"/>
                              </w:rPr>
                              <w:t>114</w:t>
                            </w:r>
                            <w:r w:rsidRPr="0001098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個國家和地區，導致</w:t>
                            </w:r>
                            <w:r w:rsidRPr="0001098A">
                              <w:rPr>
                                <w:sz w:val="16"/>
                                <w:szCs w:val="16"/>
                              </w:rPr>
                              <w:t>4000</w:t>
                            </w:r>
                            <w:r w:rsidRPr="0001098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餘人死亡。</w:t>
                            </w:r>
                          </w:p>
                          <w:p w:rsidR="0001098A" w:rsidRPr="0001098A" w:rsidRDefault="0001098A" w:rsidP="0001098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1098A"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Pr="0001098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月</w:t>
                            </w:r>
                            <w:r w:rsidRPr="0001098A">
                              <w:rPr>
                                <w:sz w:val="16"/>
                                <w:szCs w:val="16"/>
                              </w:rPr>
                              <w:t>12</w:t>
                            </w:r>
                            <w:r w:rsidRPr="0001098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日：美國道瓊指數創</w:t>
                            </w:r>
                            <w:r w:rsidRPr="0001098A">
                              <w:rPr>
                                <w:sz w:val="16"/>
                                <w:szCs w:val="16"/>
                              </w:rPr>
                              <w:t>1987</w:t>
                            </w:r>
                            <w:r w:rsidRPr="0001098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年以來最大跌幅及史上最大跌點。史坦普</w:t>
                            </w:r>
                            <w:r w:rsidRPr="0001098A">
                              <w:rPr>
                                <w:sz w:val="16"/>
                                <w:szCs w:val="16"/>
                              </w:rPr>
                              <w:t>500</w:t>
                            </w:r>
                            <w:r w:rsidRPr="0001098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指數也一起跌入熊市。那斯達克指數也是</w:t>
                            </w:r>
                            <w:r w:rsidRPr="0001098A">
                              <w:rPr>
                                <w:sz w:val="16"/>
                                <w:szCs w:val="16"/>
                              </w:rPr>
                              <w:t>1987</w:t>
                            </w:r>
                            <w:r w:rsidRPr="0001098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年來最大單日跌幅。</w:t>
                            </w:r>
                          </w:p>
                          <w:p w:rsidR="0001098A" w:rsidRPr="0001098A" w:rsidRDefault="0001098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24.05pt;margin-top:50.25pt;width:275.25pt;height:99pt;z-index:-25165107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f53JAIAAPkDAAAOAAAAZHJzL2Uyb0RvYy54bWysU0tu2zAQ3RfoHQjua31ixbFgOUiTpiiQ&#10;foC0B6ApyiIqcliStpReIEAPkK57gB6gB0rO0SHlOEa7K6oFQWpmHue9eVycDqojW2GdBF3RbJJS&#10;IjSHWup1RT99vHxxQonzTNesAy0qeiMcPV0+f7boTSlyaKGrhSUIol3Zm4q23psySRxvhWJuAkZo&#10;DDZgFfN4tOuktqxHdNUleZoeJz3Y2ljgwjn8ezEG6TLiN43g/n3TOOFJV1HszcfVxnUV1mS5YOXa&#10;MtNKvmuD/UMXikmNl+6hLphnZGPlX1BKcgsOGj/hoBJoGslF5IBssvQPNtctMyJyQXGc2cvk/h8s&#10;f7f9YImsK5pnM0o0Uzikh7vb+5/fH+5+3f/4RvKgUW9cianXBpP98BIGnHXk68wV8M+OaDhvmV6L&#10;M2uhbwWrsccsVCYHpSOOCyCr/i3UeBXbeIhAQ2NVEBAlIYiOs7rZz0cMnnD8eTSdF8ezghKOsSwv&#10;ZkdpnGDCysdyY51/LUCRsKmoRQNEeLa9cj60w8rHlHCbhkvZddEEnSZ9RedFXsSCg4iSHj3aSVXR&#10;kzR8o2sCy1e6jsWeyW7c4wWd3tEOTEfOflgNmBi0WEF9gwJYGL2Ibwc3LdivlPTow4q6LxtmBSXd&#10;G40izrPpNBg3HqbFLMeDPYysDiNMc4SqqKdk3J77aPaR6xmK3cgow1Mnu17RX1Gd3VsIBj48x6yn&#10;F7v8DQAA//8DAFBLAwQUAAYACAAAACEApeVMwNsAAAAIAQAADwAAAGRycy9kb3ducmV2LnhtbEyP&#10;T0/DMAzF70h8h8hI3JjDRNBWmk4IxBXE+CNxyxqvrWicqsnW8u3xTnCz/Z6ef6/czKFXRxpTF9nC&#10;9UKDIq6j77ix8P72dLUClbJj7/rIZOGHEmyq87PSFT5O/ErHbW6UhHAqnIU256FATHVLwaVFHIhF&#10;28cxuCzr2KAf3SThocel1rcYXMfyoXUDPbRUf28PwcLH8/7r80a/NI/BDFOcNXJYo7WXF/P9HahM&#10;c/4zwwlf0KESpl08sE+qtyBFsly1NqBENuY07Cws1ysDWJX4v0D1CwAA//8DAFBLAQItABQABgAI&#10;AAAAIQC2gziS/gAAAOEBAAATAAAAAAAAAAAAAAAAAAAAAABbQ29udGVudF9UeXBlc10ueG1sUEsB&#10;Ai0AFAAGAAgAAAAhADj9If/WAAAAlAEAAAsAAAAAAAAAAAAAAAAALwEAAF9yZWxzLy5yZWxzUEsB&#10;Ai0AFAAGAAgAAAAhAGyl/nckAgAA+QMAAA4AAAAAAAAAAAAAAAAALgIAAGRycy9lMm9Eb2MueG1s&#10;UEsBAi0AFAAGAAgAAAAhAKXlTMDbAAAACAEAAA8AAAAAAAAAAAAAAAAAfgQAAGRycy9kb3ducmV2&#10;LnhtbFBLBQYAAAAABAAEAPMAAACGBQAAAAA=&#10;" filled="f" stroked="f">
                <v:textbox>
                  <w:txbxContent>
                    <w:p w:rsidR="0001098A" w:rsidRPr="0001098A" w:rsidRDefault="0001098A" w:rsidP="0001098A">
                      <w:pPr>
                        <w:rPr>
                          <w:sz w:val="16"/>
                          <w:szCs w:val="16"/>
                        </w:rPr>
                      </w:pPr>
                      <w:r w:rsidRPr="0001098A">
                        <w:rPr>
                          <w:sz w:val="16"/>
                          <w:szCs w:val="16"/>
                        </w:rPr>
                        <w:t>3</w:t>
                      </w:r>
                      <w:r w:rsidRPr="0001098A">
                        <w:rPr>
                          <w:rFonts w:hint="eastAsia"/>
                          <w:sz w:val="16"/>
                          <w:szCs w:val="16"/>
                        </w:rPr>
                        <w:t>月</w:t>
                      </w:r>
                      <w:r w:rsidRPr="0001098A">
                        <w:rPr>
                          <w:sz w:val="16"/>
                          <w:szCs w:val="16"/>
                        </w:rPr>
                        <w:t>11</w:t>
                      </w:r>
                      <w:r w:rsidRPr="0001098A">
                        <w:rPr>
                          <w:rFonts w:hint="eastAsia"/>
                          <w:sz w:val="16"/>
                          <w:szCs w:val="16"/>
                        </w:rPr>
                        <w:t>日：世界衛生組織宣佈，</w:t>
                      </w:r>
                      <w:r w:rsidRPr="0001098A">
                        <w:rPr>
                          <w:sz w:val="16"/>
                          <w:szCs w:val="16"/>
                        </w:rPr>
                        <w:t>COVID-19</w:t>
                      </w:r>
                      <w:proofErr w:type="gramStart"/>
                      <w:r w:rsidRPr="0001098A">
                        <w:rPr>
                          <w:rFonts w:hint="eastAsia"/>
                          <w:sz w:val="16"/>
                          <w:szCs w:val="16"/>
                        </w:rPr>
                        <w:t>疫情的</w:t>
                      </w:r>
                      <w:proofErr w:type="gramEnd"/>
                      <w:r w:rsidRPr="0001098A">
                        <w:rPr>
                          <w:rFonts w:hint="eastAsia"/>
                          <w:sz w:val="16"/>
                          <w:szCs w:val="16"/>
                        </w:rPr>
                        <w:t>爆發已經構成全球性「大流行」。目前席捲至少</w:t>
                      </w:r>
                      <w:r w:rsidRPr="0001098A">
                        <w:rPr>
                          <w:sz w:val="16"/>
                          <w:szCs w:val="16"/>
                        </w:rPr>
                        <w:t>114</w:t>
                      </w:r>
                      <w:r w:rsidRPr="0001098A">
                        <w:rPr>
                          <w:rFonts w:hint="eastAsia"/>
                          <w:sz w:val="16"/>
                          <w:szCs w:val="16"/>
                        </w:rPr>
                        <w:t>個國家和地區，導致</w:t>
                      </w:r>
                      <w:r w:rsidRPr="0001098A">
                        <w:rPr>
                          <w:sz w:val="16"/>
                          <w:szCs w:val="16"/>
                        </w:rPr>
                        <w:t>4000</w:t>
                      </w:r>
                      <w:r w:rsidRPr="0001098A">
                        <w:rPr>
                          <w:rFonts w:hint="eastAsia"/>
                          <w:sz w:val="16"/>
                          <w:szCs w:val="16"/>
                        </w:rPr>
                        <w:t>餘人死亡。</w:t>
                      </w:r>
                    </w:p>
                    <w:p w:rsidR="0001098A" w:rsidRPr="0001098A" w:rsidRDefault="0001098A" w:rsidP="0001098A">
                      <w:pPr>
                        <w:rPr>
                          <w:sz w:val="16"/>
                          <w:szCs w:val="16"/>
                        </w:rPr>
                      </w:pPr>
                      <w:r w:rsidRPr="0001098A">
                        <w:rPr>
                          <w:sz w:val="16"/>
                          <w:szCs w:val="16"/>
                        </w:rPr>
                        <w:t>3</w:t>
                      </w:r>
                      <w:r w:rsidRPr="0001098A">
                        <w:rPr>
                          <w:rFonts w:hint="eastAsia"/>
                          <w:sz w:val="16"/>
                          <w:szCs w:val="16"/>
                        </w:rPr>
                        <w:t>月</w:t>
                      </w:r>
                      <w:r w:rsidRPr="0001098A">
                        <w:rPr>
                          <w:sz w:val="16"/>
                          <w:szCs w:val="16"/>
                        </w:rPr>
                        <w:t>12</w:t>
                      </w:r>
                      <w:r w:rsidRPr="0001098A">
                        <w:rPr>
                          <w:rFonts w:hint="eastAsia"/>
                          <w:sz w:val="16"/>
                          <w:szCs w:val="16"/>
                        </w:rPr>
                        <w:t>日：美國道瓊指數創</w:t>
                      </w:r>
                      <w:r w:rsidRPr="0001098A">
                        <w:rPr>
                          <w:sz w:val="16"/>
                          <w:szCs w:val="16"/>
                        </w:rPr>
                        <w:t>1987</w:t>
                      </w:r>
                      <w:r w:rsidRPr="0001098A">
                        <w:rPr>
                          <w:rFonts w:hint="eastAsia"/>
                          <w:sz w:val="16"/>
                          <w:szCs w:val="16"/>
                        </w:rPr>
                        <w:t>年以來最大跌幅及史上最大跌點。史坦普</w:t>
                      </w:r>
                      <w:r w:rsidRPr="0001098A">
                        <w:rPr>
                          <w:sz w:val="16"/>
                          <w:szCs w:val="16"/>
                        </w:rPr>
                        <w:t>500</w:t>
                      </w:r>
                      <w:r w:rsidRPr="0001098A">
                        <w:rPr>
                          <w:rFonts w:hint="eastAsia"/>
                          <w:sz w:val="16"/>
                          <w:szCs w:val="16"/>
                        </w:rPr>
                        <w:t>指數也一起跌入熊市。那斯達克指數也是</w:t>
                      </w:r>
                      <w:r w:rsidRPr="0001098A">
                        <w:rPr>
                          <w:sz w:val="16"/>
                          <w:szCs w:val="16"/>
                        </w:rPr>
                        <w:t>1987</w:t>
                      </w:r>
                      <w:r w:rsidRPr="0001098A">
                        <w:rPr>
                          <w:rFonts w:hint="eastAsia"/>
                          <w:sz w:val="16"/>
                          <w:szCs w:val="16"/>
                        </w:rPr>
                        <w:t>年來最大單日跌幅。</w:t>
                      </w:r>
                    </w:p>
                    <w:p w:rsidR="0001098A" w:rsidRPr="0001098A" w:rsidRDefault="0001098A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B70C4">
        <w:t>4.4 Put/Call Ratio</w:t>
      </w:r>
      <w:r w:rsidR="007B70C4">
        <w:t>（</w:t>
      </w:r>
      <w:r w:rsidR="007B70C4">
        <w:t>PCR</w:t>
      </w:r>
      <w:r w:rsidR="007B70C4">
        <w:t>）</w:t>
      </w:r>
      <w:r w:rsidR="007D4236">
        <w:rPr>
          <w:noProof/>
        </w:rPr>
        <w:drawing>
          <wp:anchor distT="0" distB="0" distL="114300" distR="114300" simplePos="0" relativeHeight="251658240" behindDoc="0" locked="0" layoutInCell="1" allowOverlap="1" wp14:anchorId="0A6A4360">
            <wp:simplePos x="0" y="0"/>
            <wp:positionH relativeFrom="column">
              <wp:posOffset>2400300</wp:posOffset>
            </wp:positionH>
            <wp:positionV relativeFrom="paragraph">
              <wp:posOffset>57150</wp:posOffset>
            </wp:positionV>
            <wp:extent cx="1724025" cy="495300"/>
            <wp:effectExtent l="0" t="0" r="9525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70C4" w:rsidRDefault="007B70C4" w:rsidP="007B70C4">
      <w:pPr>
        <w:widowControl/>
        <w:numPr>
          <w:ilvl w:val="0"/>
          <w:numId w:val="13"/>
        </w:numPr>
        <w:spacing w:before="100" w:beforeAutospacing="1" w:after="100" w:afterAutospacing="1"/>
      </w:pPr>
      <w:r>
        <w:t>PCR &gt; 1</w:t>
      </w:r>
      <w:r>
        <w:t>：市場偏空（避險需求高）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13"/>
        </w:numPr>
        <w:spacing w:before="100" w:beforeAutospacing="1" w:after="100" w:afterAutospacing="1"/>
      </w:pPr>
      <w:r>
        <w:t>PCR &lt; 1</w:t>
      </w:r>
      <w:r>
        <w:t>：市場偏多</w:t>
      </w:r>
    </w:p>
    <w:p w:rsidR="007B70C4" w:rsidRDefault="0001098A" w:rsidP="007B70C4">
      <w:pPr>
        <w:pStyle w:val="2"/>
      </w:pPr>
      <w:r w:rsidRPr="0001098A">
        <w:rPr>
          <w:rFonts w:ascii="Segoe UI" w:eastAsia="新細明體" w:hAnsi="Segoe UI" w:cs="Segoe UI"/>
          <w:color w:val="1D2125"/>
          <w:kern w:val="36"/>
        </w:rPr>
        <w:drawing>
          <wp:anchor distT="0" distB="0" distL="114300" distR="114300" simplePos="0" relativeHeight="251663360" behindDoc="1" locked="0" layoutInCell="1" allowOverlap="1" wp14:anchorId="0B371432">
            <wp:simplePos x="0" y="0"/>
            <wp:positionH relativeFrom="page">
              <wp:align>right</wp:align>
            </wp:positionH>
            <wp:positionV relativeFrom="paragraph">
              <wp:posOffset>149225</wp:posOffset>
            </wp:positionV>
            <wp:extent cx="3600000" cy="1800000"/>
            <wp:effectExtent l="0" t="0" r="635" b="0"/>
            <wp:wrapNone/>
            <wp:docPr id="5" name="圖片 4" descr="一張含有 文字, 螢幕擷取畫面, 繪圖, 字型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76433C6B-4FFE-048B-A0B7-75D26A445E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 descr="一張含有 文字, 螢幕擷取畫面, 繪圖, 字型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76433C6B-4FFE-048B-A0B7-75D26A445E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0C4">
        <w:t>五、實證結果與分析</w:t>
      </w:r>
    </w:p>
    <w:p w:rsidR="007B70C4" w:rsidRDefault="007B70C4" w:rsidP="007B70C4">
      <w:pPr>
        <w:pStyle w:val="3"/>
      </w:pPr>
      <w:r>
        <w:t xml:space="preserve">5.1 IV </w:t>
      </w:r>
      <w:r>
        <w:t>平均數分析</w:t>
      </w:r>
    </w:p>
    <w:p w:rsidR="007B70C4" w:rsidRDefault="007B70C4" w:rsidP="007B70C4">
      <w:pPr>
        <w:pStyle w:val="Web"/>
      </w:pPr>
      <w:r>
        <w:t>研究結果顯示，在多數交易日中：</w:t>
      </w:r>
    </w:p>
    <w:p w:rsidR="007B70C4" w:rsidRDefault="007B70C4" w:rsidP="007B70C4">
      <w:pPr>
        <w:widowControl/>
        <w:numPr>
          <w:ilvl w:val="0"/>
          <w:numId w:val="14"/>
        </w:numPr>
        <w:spacing w:before="100" w:beforeAutospacing="1" w:after="100" w:afterAutospacing="1"/>
      </w:pPr>
      <w:r>
        <w:t>看跌投資人</w:t>
      </w:r>
      <w:r>
        <w:t xml:space="preserve"> IV </w:t>
      </w:r>
      <w:r>
        <w:t>平均數普遍高於看漲投資人</w:t>
      </w:r>
      <w:r>
        <w:t xml:space="preserve"> </w:t>
      </w:r>
    </w:p>
    <w:p w:rsidR="007B70C4" w:rsidRDefault="007B70C4" w:rsidP="007B70C4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3"/>
        </w:rPr>
        <w:t>解讀：</w:t>
      </w:r>
      <w:r>
        <w:br/>
        <w:t>此現象代表市場對「下跌風險」賦予較高的</w:t>
      </w:r>
      <w:proofErr w:type="gramStart"/>
      <w:r>
        <w:t>風險溢酬</w:t>
      </w:r>
      <w:proofErr w:type="gramEnd"/>
      <w:r>
        <w:t>，顯示投資人普遍較重視下行風險，並願意支付較高成本進行避險。</w:t>
      </w:r>
    </w:p>
    <w:p w:rsidR="007B70C4" w:rsidRDefault="0001098A" w:rsidP="007B70C4">
      <w:pPr>
        <w:pStyle w:val="3"/>
      </w:pPr>
      <w:r w:rsidRPr="0001098A">
        <w:lastRenderedPageBreak/>
        <w:drawing>
          <wp:anchor distT="0" distB="0" distL="114300" distR="114300" simplePos="0" relativeHeight="251666432" behindDoc="1" locked="0" layoutInCell="1" allowOverlap="1" wp14:anchorId="3B963B97">
            <wp:simplePos x="0" y="0"/>
            <wp:positionH relativeFrom="page">
              <wp:posOffset>3483610</wp:posOffset>
            </wp:positionH>
            <wp:positionV relativeFrom="paragraph">
              <wp:posOffset>0</wp:posOffset>
            </wp:positionV>
            <wp:extent cx="3600000" cy="1800000"/>
            <wp:effectExtent l="0" t="0" r="635" b="0"/>
            <wp:wrapNone/>
            <wp:docPr id="3" name="圖片 4" descr="一張含有 文字, 螢幕擷取畫面, 繪圖, 圖表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7AD038B2-33E4-0B9A-7054-DEA33A983F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 descr="一張含有 文字, 螢幕擷取畫面, 繪圖, 圖表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7AD038B2-33E4-0B9A-7054-DEA33A983F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0C4">
        <w:t xml:space="preserve">5.2 IV </w:t>
      </w:r>
      <w:r w:rsidR="007B70C4">
        <w:t>標準差分析</w:t>
      </w:r>
    </w:p>
    <w:p w:rsidR="007B70C4" w:rsidRDefault="007B70C4" w:rsidP="007B70C4">
      <w:pPr>
        <w:pStyle w:val="Web"/>
      </w:pPr>
      <w:r>
        <w:t>結果顯示：</w:t>
      </w:r>
    </w:p>
    <w:p w:rsidR="007B70C4" w:rsidRDefault="007B70C4" w:rsidP="007B70C4">
      <w:pPr>
        <w:widowControl/>
        <w:numPr>
          <w:ilvl w:val="0"/>
          <w:numId w:val="15"/>
        </w:numPr>
        <w:spacing w:before="100" w:beforeAutospacing="1" w:after="100" w:afterAutospacing="1"/>
      </w:pPr>
      <w:r>
        <w:t>看跌</w:t>
      </w:r>
      <w:r>
        <w:t xml:space="preserve"> IV </w:t>
      </w:r>
      <w:r>
        <w:t>標準差普遍較高</w:t>
      </w:r>
      <w:r>
        <w:t xml:space="preserve"> </w:t>
      </w:r>
    </w:p>
    <w:p w:rsidR="007B70C4" w:rsidRDefault="007B70C4" w:rsidP="007B70C4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3"/>
        </w:rPr>
        <w:t>解讀：</w:t>
      </w:r>
      <w:r>
        <w:br/>
        <w:t>市場對未來風險的看法存在較大分歧，尤其在不確定性提高時（如重大事件期間），投資人對風險評價差異更為明顯。</w:t>
      </w:r>
    </w:p>
    <w:p w:rsidR="007B70C4" w:rsidRDefault="0001098A" w:rsidP="007B70C4">
      <w:pPr>
        <w:pStyle w:val="3"/>
      </w:pPr>
      <w:r w:rsidRPr="0001098A">
        <w:rPr>
          <w:rFonts w:asciiTheme="minorHAnsi" w:eastAsiaTheme="minorEastAsia" w:hAnsiTheme="minorHAnsi" w:cstheme="minorBidi"/>
          <w:b w:val="0"/>
          <w:bCs w:val="0"/>
          <w:sz w:val="24"/>
          <w:szCs w:val="22"/>
        </w:rPr>
        <w:drawing>
          <wp:anchor distT="0" distB="0" distL="114300" distR="114300" simplePos="0" relativeHeight="251667456" behindDoc="1" locked="0" layoutInCell="1" allowOverlap="1" wp14:anchorId="548A71BC">
            <wp:simplePos x="0" y="0"/>
            <wp:positionH relativeFrom="column">
              <wp:posOffset>2600325</wp:posOffset>
            </wp:positionH>
            <wp:positionV relativeFrom="paragraph">
              <wp:posOffset>155575</wp:posOffset>
            </wp:positionV>
            <wp:extent cx="3600000" cy="1800000"/>
            <wp:effectExtent l="0" t="0" r="635" b="0"/>
            <wp:wrapNone/>
            <wp:docPr id="6" name="圖片 4" descr="一張含有 文字, 螢幕擷取畫面, 繪圖, 圖表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34315AFA-182B-FC23-3485-8B4C3B55A5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 descr="一張含有 文字, 螢幕擷取畫面, 繪圖, 圖表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34315AFA-182B-FC23-3485-8B4C3B55A5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0C4">
        <w:t xml:space="preserve">5.3 PCR </w:t>
      </w:r>
      <w:r w:rsidR="007B70C4">
        <w:t>分析</w:t>
      </w:r>
    </w:p>
    <w:p w:rsidR="007B70C4" w:rsidRDefault="007B70C4" w:rsidP="007B70C4">
      <w:pPr>
        <w:pStyle w:val="Web"/>
      </w:pPr>
      <w:r>
        <w:t>PCR 呈現顯著波動，部分期間出現：</w:t>
      </w:r>
    </w:p>
    <w:p w:rsidR="007B70C4" w:rsidRDefault="007B70C4" w:rsidP="007B70C4">
      <w:pPr>
        <w:widowControl/>
        <w:numPr>
          <w:ilvl w:val="0"/>
          <w:numId w:val="16"/>
        </w:numPr>
        <w:spacing w:before="100" w:beforeAutospacing="1" w:after="100" w:afterAutospacing="1"/>
      </w:pPr>
      <w:r>
        <w:t xml:space="preserve">PCR </w:t>
      </w:r>
      <w:r>
        <w:t>顯著高於</w:t>
      </w:r>
      <w:r>
        <w:t xml:space="preserve"> 1 → </w:t>
      </w:r>
      <w:r>
        <w:t>偏空情緒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16"/>
        </w:numPr>
        <w:spacing w:before="100" w:beforeAutospacing="1" w:after="100" w:afterAutospacing="1"/>
      </w:pPr>
      <w:r>
        <w:t xml:space="preserve">PCR </w:t>
      </w:r>
      <w:r>
        <w:t>低於</w:t>
      </w:r>
      <w:r>
        <w:t xml:space="preserve"> 1 → </w:t>
      </w:r>
      <w:r>
        <w:t>偏多情緒</w:t>
      </w:r>
      <w:r>
        <w:t xml:space="preserve"> </w:t>
      </w:r>
    </w:p>
    <w:p w:rsidR="007B70C4" w:rsidRDefault="007B70C4" w:rsidP="007B70C4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3"/>
        </w:rPr>
        <w:t>解讀：</w:t>
      </w:r>
      <w:r>
        <w:br/>
        <w:t>PCR 可視為市場避險需求與情緒變化的即時指標。</w:t>
      </w:r>
    </w:p>
    <w:p w:rsidR="007B70C4" w:rsidRDefault="007B70C4" w:rsidP="007B70C4">
      <w:pPr>
        <w:pStyle w:val="3"/>
      </w:pPr>
      <w:r>
        <w:t xml:space="preserve">5.4 </w:t>
      </w:r>
      <w:r>
        <w:t>綜合分析（核心）</w:t>
      </w:r>
    </w:p>
    <w:p w:rsidR="007B70C4" w:rsidRDefault="007B70C4" w:rsidP="007B70C4">
      <w:pPr>
        <w:pStyle w:val="Web"/>
      </w:pPr>
      <w:r>
        <w:t>透過整合 IV 與 PCR，可得到更深入的市場解讀：</w:t>
      </w:r>
    </w:p>
    <w:p w:rsidR="007B70C4" w:rsidRDefault="007B70C4" w:rsidP="007B70C4">
      <w:pPr>
        <w:pStyle w:val="4"/>
      </w:pPr>
      <w:r>
        <w:t>情境</w:t>
      </w:r>
      <w:proofErr w:type="gramStart"/>
      <w:r>
        <w:t>一</w:t>
      </w:r>
      <w:proofErr w:type="gramEnd"/>
      <w:r>
        <w:t>：</w:t>
      </w:r>
    </w:p>
    <w:p w:rsidR="007B70C4" w:rsidRDefault="007B70C4" w:rsidP="007B70C4">
      <w:pPr>
        <w:widowControl/>
        <w:numPr>
          <w:ilvl w:val="0"/>
          <w:numId w:val="17"/>
        </w:numPr>
        <w:spacing w:before="100" w:beforeAutospacing="1" w:after="100" w:afterAutospacing="1"/>
      </w:pPr>
      <w:r>
        <w:t xml:space="preserve">Put IV ↑ </w:t>
      </w:r>
    </w:p>
    <w:p w:rsidR="007B70C4" w:rsidRDefault="007B70C4" w:rsidP="007B70C4">
      <w:pPr>
        <w:widowControl/>
        <w:numPr>
          <w:ilvl w:val="0"/>
          <w:numId w:val="17"/>
        </w:numPr>
        <w:spacing w:before="100" w:beforeAutospacing="1" w:after="100" w:afterAutospacing="1"/>
      </w:pPr>
      <w:r>
        <w:t xml:space="preserve">PCR ↑ </w:t>
      </w:r>
    </w:p>
    <w:p w:rsidR="007B70C4" w:rsidRDefault="007B70C4" w:rsidP="007B70C4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表示市場：</w:t>
      </w:r>
    </w:p>
    <w:p w:rsidR="007B70C4" w:rsidRDefault="007B70C4" w:rsidP="007B70C4">
      <w:pPr>
        <w:widowControl/>
        <w:numPr>
          <w:ilvl w:val="0"/>
          <w:numId w:val="18"/>
        </w:numPr>
        <w:spacing w:before="100" w:beforeAutospacing="1" w:after="100" w:afterAutospacing="1"/>
      </w:pPr>
      <w:r>
        <w:t>對下跌風險定價上升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18"/>
        </w:numPr>
        <w:spacing w:before="100" w:beforeAutospacing="1" w:after="100" w:afterAutospacing="1"/>
      </w:pPr>
      <w:r>
        <w:t>避險需求增加</w:t>
      </w:r>
      <w:r>
        <w:t xml:space="preserve"> </w:t>
      </w:r>
    </w:p>
    <w:p w:rsidR="007B70C4" w:rsidRDefault="006F34A0" w:rsidP="007B70C4">
      <w:pPr>
        <w:pStyle w:val="4"/>
      </w:pPr>
      <w:r w:rsidRPr="006F34A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DE281BE" wp14:editId="6598194F">
            <wp:simplePos x="0" y="0"/>
            <wp:positionH relativeFrom="page">
              <wp:posOffset>3933825</wp:posOffset>
            </wp:positionH>
            <wp:positionV relativeFrom="paragraph">
              <wp:posOffset>-914400</wp:posOffset>
            </wp:positionV>
            <wp:extent cx="3630930" cy="6105254"/>
            <wp:effectExtent l="0" t="0" r="7620" b="0"/>
            <wp:wrapNone/>
            <wp:docPr id="2" name="圖片 3">
              <a:extLst xmlns:a="http://schemas.openxmlformats.org/drawingml/2006/main">
                <a:ext uri="{FF2B5EF4-FFF2-40B4-BE49-F238E27FC236}">
                  <a16:creationId xmlns:a16="http://schemas.microsoft.com/office/drawing/2014/main" id="{EEE1BCCA-35FB-4AED-AB89-A8ADDDB64F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>
                      <a:extLst>
                        <a:ext uri="{FF2B5EF4-FFF2-40B4-BE49-F238E27FC236}">
                          <a16:creationId xmlns:a16="http://schemas.microsoft.com/office/drawing/2014/main" id="{EEE1BCCA-35FB-4AED-AB89-A8ADDDB64F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284" cy="6122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0C4">
        <w:t>情境二：</w:t>
      </w:r>
    </w:p>
    <w:p w:rsidR="007B70C4" w:rsidRDefault="007B70C4" w:rsidP="007B70C4">
      <w:pPr>
        <w:widowControl/>
        <w:numPr>
          <w:ilvl w:val="0"/>
          <w:numId w:val="19"/>
        </w:numPr>
        <w:spacing w:before="100" w:beforeAutospacing="1" w:after="100" w:afterAutospacing="1"/>
      </w:pPr>
      <w:r>
        <w:t xml:space="preserve">Put IV </w:t>
      </w:r>
      <w:r>
        <w:t>標準差</w:t>
      </w:r>
      <w:r>
        <w:t xml:space="preserve"> ↑ </w:t>
      </w:r>
    </w:p>
    <w:p w:rsidR="007B70C4" w:rsidRDefault="007B70C4" w:rsidP="007B70C4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表示：</w:t>
      </w:r>
    </w:p>
    <w:p w:rsidR="007B70C4" w:rsidRDefault="007B70C4" w:rsidP="007B70C4">
      <w:pPr>
        <w:widowControl/>
        <w:numPr>
          <w:ilvl w:val="0"/>
          <w:numId w:val="20"/>
        </w:numPr>
        <w:spacing w:before="100" w:beforeAutospacing="1" w:after="100" w:afterAutospacing="1"/>
      </w:pPr>
      <w:r>
        <w:t>市場不確定性上升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20"/>
        </w:numPr>
        <w:spacing w:before="100" w:beforeAutospacing="1" w:after="100" w:afterAutospacing="1"/>
      </w:pPr>
      <w:r>
        <w:t>投資人對風險評價分歧</w:t>
      </w:r>
      <w:r>
        <w:t xml:space="preserve"> </w:t>
      </w:r>
    </w:p>
    <w:p w:rsidR="007B70C4" w:rsidRDefault="007B70C4" w:rsidP="007B70C4">
      <w:pPr>
        <w:pStyle w:val="4"/>
      </w:pPr>
      <w:r>
        <w:t>情境</w:t>
      </w:r>
      <w:proofErr w:type="gramStart"/>
      <w:r>
        <w:t>三</w:t>
      </w:r>
      <w:proofErr w:type="gramEnd"/>
      <w:r>
        <w:t>：</w:t>
      </w:r>
    </w:p>
    <w:p w:rsidR="007B70C4" w:rsidRDefault="007B70C4" w:rsidP="007B70C4">
      <w:pPr>
        <w:widowControl/>
        <w:numPr>
          <w:ilvl w:val="0"/>
          <w:numId w:val="21"/>
        </w:numPr>
        <w:spacing w:before="100" w:beforeAutospacing="1" w:after="100" w:afterAutospacing="1"/>
      </w:pPr>
      <w:r>
        <w:t xml:space="preserve">Call IV ↑ </w:t>
      </w:r>
    </w:p>
    <w:p w:rsidR="007B70C4" w:rsidRDefault="007B70C4" w:rsidP="007B70C4">
      <w:pPr>
        <w:widowControl/>
        <w:numPr>
          <w:ilvl w:val="0"/>
          <w:numId w:val="21"/>
        </w:numPr>
        <w:spacing w:before="100" w:beforeAutospacing="1" w:after="100" w:afterAutospacing="1"/>
      </w:pPr>
      <w:r>
        <w:t xml:space="preserve">PCR </w:t>
      </w:r>
      <w:r>
        <w:t>未上升</w:t>
      </w:r>
      <w:r>
        <w:t xml:space="preserve"> </w:t>
      </w:r>
    </w:p>
    <w:p w:rsidR="007B70C4" w:rsidRDefault="007B70C4" w:rsidP="007B70C4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可能代表：</w:t>
      </w:r>
    </w:p>
    <w:p w:rsidR="007B70C4" w:rsidRDefault="007B70C4" w:rsidP="007B70C4">
      <w:pPr>
        <w:widowControl/>
        <w:numPr>
          <w:ilvl w:val="0"/>
          <w:numId w:val="22"/>
        </w:numPr>
        <w:spacing w:before="100" w:beforeAutospacing="1" w:after="100" w:afterAutospacing="1"/>
      </w:pPr>
      <w:r>
        <w:t>整體波動預期增加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22"/>
        </w:numPr>
        <w:spacing w:before="100" w:beforeAutospacing="1" w:after="100" w:afterAutospacing="1"/>
      </w:pPr>
      <w:r>
        <w:t>並非單純偏多</w:t>
      </w:r>
    </w:p>
    <w:p w:rsidR="007B70C4" w:rsidRDefault="007B70C4" w:rsidP="007B70C4">
      <w:pPr>
        <w:pStyle w:val="2"/>
      </w:pPr>
      <w:r>
        <w:t>六、財務與統計意涵</w:t>
      </w:r>
    </w:p>
    <w:p w:rsidR="007B70C4" w:rsidRDefault="007B70C4" w:rsidP="007B70C4">
      <w:pPr>
        <w:pStyle w:val="3"/>
      </w:pPr>
      <w:r>
        <w:t xml:space="preserve">6.1 </w:t>
      </w:r>
      <w:r>
        <w:t>財務意涵</w:t>
      </w:r>
    </w:p>
    <w:p w:rsidR="007B70C4" w:rsidRDefault="007B70C4" w:rsidP="007B70C4">
      <w:pPr>
        <w:widowControl/>
        <w:numPr>
          <w:ilvl w:val="0"/>
          <w:numId w:val="23"/>
        </w:numPr>
        <w:spacing w:before="100" w:beforeAutospacing="1" w:after="100" w:afterAutospacing="1"/>
      </w:pPr>
      <w:r>
        <w:t>看跌</w:t>
      </w:r>
      <w:r>
        <w:t xml:space="preserve"> IV </w:t>
      </w:r>
      <w:r>
        <w:t>較高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t>市場存在「下跌風險溢酬」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23"/>
        </w:numPr>
        <w:spacing w:before="100" w:beforeAutospacing="1" w:after="100" w:afterAutospacing="1"/>
      </w:pPr>
      <w:r>
        <w:t xml:space="preserve">PCR </w:t>
      </w:r>
      <w:r>
        <w:t>上升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t>避險需求增加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23"/>
        </w:numPr>
        <w:spacing w:before="100" w:beforeAutospacing="1" w:after="100" w:afterAutospacing="1"/>
      </w:pPr>
      <w:r>
        <w:t xml:space="preserve">IV </w:t>
      </w:r>
      <w:r>
        <w:t>標準差上升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t>市場不確定性提高</w:t>
      </w:r>
      <w:r>
        <w:t xml:space="preserve"> </w:t>
      </w:r>
    </w:p>
    <w:p w:rsidR="007B70C4" w:rsidRDefault="007B70C4" w:rsidP="007B70C4">
      <w:pPr>
        <w:pStyle w:val="3"/>
      </w:pPr>
      <w:r>
        <w:lastRenderedPageBreak/>
        <w:t xml:space="preserve">6.2 </w:t>
      </w:r>
      <w:r>
        <w:t>統計意涵</w:t>
      </w:r>
    </w:p>
    <w:p w:rsidR="007B70C4" w:rsidRDefault="007B70C4" w:rsidP="007B70C4">
      <w:pPr>
        <w:widowControl/>
        <w:numPr>
          <w:ilvl w:val="0"/>
          <w:numId w:val="24"/>
        </w:numPr>
        <w:spacing w:before="100" w:beforeAutospacing="1" w:after="100" w:afterAutospacing="1"/>
      </w:pPr>
      <w:r>
        <w:t>平均數：反映市場預期中心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24"/>
        </w:numPr>
        <w:spacing w:before="100" w:beforeAutospacing="1" w:after="100" w:afterAutospacing="1"/>
      </w:pPr>
      <w:r>
        <w:t>標準差：反映資料離散程度</w:t>
      </w:r>
      <w:r>
        <w:t xml:space="preserve"> </w:t>
      </w:r>
    </w:p>
    <w:p w:rsidR="007B70C4" w:rsidRDefault="007B70C4" w:rsidP="007B70C4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必須同時解讀，避免偏誤</w:t>
      </w:r>
    </w:p>
    <w:p w:rsidR="007B70C4" w:rsidRDefault="007B70C4" w:rsidP="007B70C4">
      <w:pPr>
        <w:pStyle w:val="2"/>
      </w:pPr>
      <w:r>
        <w:t>七、問題、限制與修正方式</w:t>
      </w:r>
    </w:p>
    <w:p w:rsidR="007B70C4" w:rsidRDefault="007B70C4" w:rsidP="007B70C4">
      <w:pPr>
        <w:pStyle w:val="3"/>
      </w:pPr>
      <w:r>
        <w:t xml:space="preserve">7.1 </w:t>
      </w:r>
      <w:r>
        <w:t>資料問題</w:t>
      </w:r>
    </w:p>
    <w:p w:rsidR="007B70C4" w:rsidRDefault="007B70C4" w:rsidP="007B70C4">
      <w:pPr>
        <w:widowControl/>
        <w:numPr>
          <w:ilvl w:val="0"/>
          <w:numId w:val="25"/>
        </w:numPr>
        <w:spacing w:before="100" w:beforeAutospacing="1" w:after="100" w:afterAutospacing="1"/>
      </w:pPr>
      <w:r>
        <w:t>部分交易無法反推出</w:t>
      </w:r>
      <w:r>
        <w:t xml:space="preserve"> IV</w:t>
      </w:r>
    </w:p>
    <w:p w:rsidR="007B70C4" w:rsidRDefault="007B70C4" w:rsidP="007B70C4">
      <w:pPr>
        <w:pStyle w:val="2"/>
      </w:pPr>
      <w:r>
        <w:t>八、</w:t>
      </w:r>
      <w:r>
        <w:t xml:space="preserve">AI Prompt </w:t>
      </w:r>
      <w:r>
        <w:t>實作與優化摘要</w:t>
      </w:r>
    </w:p>
    <w:p w:rsidR="004411F3" w:rsidRDefault="007B70C4" w:rsidP="004411F3">
      <w:pPr>
        <w:pStyle w:val="Web"/>
      </w:pPr>
      <w:r>
        <w:t>本研究使用 AI 協助完成以下工作：</w:t>
      </w:r>
    </w:p>
    <w:p w:rsidR="004411F3" w:rsidRDefault="004778E5" w:rsidP="004411F3">
      <w:pPr>
        <w:pStyle w:val="Web"/>
        <w:numPr>
          <w:ilvl w:val="0"/>
          <w:numId w:val="29"/>
        </w:numPr>
        <w:rPr>
          <w:rFonts w:asciiTheme="minorHAnsi" w:eastAsiaTheme="minorEastAsia" w:hAnsiTheme="minorHAnsi" w:cstheme="minorBidi"/>
          <w:szCs w:val="22"/>
        </w:rPr>
      </w:pPr>
      <w:r w:rsidRPr="004778E5">
        <w:rPr>
          <w:rFonts w:asciiTheme="minorHAnsi" w:eastAsiaTheme="minorEastAsia" w:hAnsiTheme="minorHAnsi" w:cstheme="minorBidi" w:hint="eastAsia"/>
          <w:szCs w:val="22"/>
        </w:rPr>
        <w:t xml:space="preserve">IV </w:t>
      </w:r>
      <w:r w:rsidRPr="004778E5">
        <w:rPr>
          <w:rFonts w:asciiTheme="minorHAnsi" w:eastAsiaTheme="minorEastAsia" w:hAnsiTheme="minorHAnsi" w:cstheme="minorBidi" w:hint="eastAsia"/>
          <w:szCs w:val="22"/>
        </w:rPr>
        <w:t>計算程式撰寫</w:t>
      </w:r>
      <w:r w:rsidRPr="004778E5">
        <w:rPr>
          <w:rFonts w:asciiTheme="minorHAnsi" w:eastAsiaTheme="minorEastAsia" w:hAnsiTheme="minorHAnsi" w:cstheme="minorBidi" w:hint="eastAsia"/>
          <w:szCs w:val="22"/>
        </w:rPr>
        <w:t xml:space="preserve"> (Black-Scholes </w:t>
      </w:r>
      <w:r w:rsidRPr="004778E5">
        <w:rPr>
          <w:rFonts w:asciiTheme="minorHAnsi" w:eastAsiaTheme="minorEastAsia" w:hAnsiTheme="minorHAnsi" w:cstheme="minorBidi" w:hint="eastAsia"/>
          <w:szCs w:val="22"/>
        </w:rPr>
        <w:t>模型、二分法反推隱含波動率</w:t>
      </w:r>
      <w:r w:rsidRPr="004778E5">
        <w:rPr>
          <w:rFonts w:asciiTheme="minorHAnsi" w:eastAsiaTheme="minorEastAsia" w:hAnsiTheme="minorHAnsi" w:cstheme="minorBidi" w:hint="eastAsia"/>
          <w:szCs w:val="22"/>
        </w:rPr>
        <w:t>)</w:t>
      </w:r>
    </w:p>
    <w:p w:rsidR="004411F3" w:rsidRPr="004411F3" w:rsidRDefault="004778E5" w:rsidP="004411F3">
      <w:pPr>
        <w:pStyle w:val="Web"/>
        <w:numPr>
          <w:ilvl w:val="0"/>
          <w:numId w:val="29"/>
        </w:numPr>
      </w:pPr>
      <w:r w:rsidRPr="004778E5">
        <w:rPr>
          <w:rFonts w:asciiTheme="minorHAnsi" w:eastAsiaTheme="minorEastAsia" w:hAnsiTheme="minorHAnsi" w:cstheme="minorBidi" w:hint="eastAsia"/>
          <w:szCs w:val="22"/>
        </w:rPr>
        <w:t>報告撰寫</w:t>
      </w:r>
      <w:r w:rsidRPr="004778E5">
        <w:rPr>
          <w:rFonts w:asciiTheme="minorHAnsi" w:eastAsiaTheme="minorEastAsia" w:hAnsiTheme="minorHAnsi" w:cstheme="minorBidi" w:hint="eastAsia"/>
          <w:szCs w:val="22"/>
        </w:rPr>
        <w:t xml:space="preserve"> </w:t>
      </w:r>
    </w:p>
    <w:p w:rsidR="007B70C4" w:rsidRDefault="007B70C4" w:rsidP="004778E5">
      <w:pPr>
        <w:pStyle w:val="3"/>
      </w:pPr>
      <w:r>
        <w:t xml:space="preserve">Prompt </w:t>
      </w:r>
      <w:r>
        <w:t>優化過程：</w:t>
      </w:r>
    </w:p>
    <w:p w:rsidR="007B70C4" w:rsidRDefault="007B70C4" w:rsidP="007B70C4">
      <w:pPr>
        <w:widowControl/>
        <w:numPr>
          <w:ilvl w:val="0"/>
          <w:numId w:val="27"/>
        </w:numPr>
        <w:spacing w:before="100" w:beforeAutospacing="1" w:after="100" w:afterAutospacing="1"/>
      </w:pPr>
      <w:r>
        <w:t>初始：僅要求計算</w:t>
      </w:r>
      <w:r>
        <w:t xml:space="preserve"> IV </w:t>
      </w:r>
    </w:p>
    <w:p w:rsidR="007B70C4" w:rsidRDefault="007B70C4" w:rsidP="007B70C4">
      <w:pPr>
        <w:widowControl/>
        <w:numPr>
          <w:ilvl w:val="0"/>
          <w:numId w:val="27"/>
        </w:numPr>
        <w:spacing w:before="100" w:beforeAutospacing="1" w:after="100" w:afterAutospacing="1"/>
      </w:pPr>
      <w:r>
        <w:t>修正：加入統計量與</w:t>
      </w:r>
      <w:r>
        <w:t xml:space="preserve"> PCR </w:t>
      </w:r>
    </w:p>
    <w:p w:rsidR="007B70C4" w:rsidRDefault="007B70C4" w:rsidP="007B70C4">
      <w:pPr>
        <w:widowControl/>
        <w:numPr>
          <w:ilvl w:val="0"/>
          <w:numId w:val="27"/>
        </w:numPr>
        <w:spacing w:before="100" w:beforeAutospacing="1" w:after="100" w:afterAutospacing="1"/>
      </w:pPr>
      <w:r>
        <w:t>最終：整合分析與財務解讀</w:t>
      </w:r>
      <w:r>
        <w:t xml:space="preserve"> </w:t>
      </w:r>
    </w:p>
    <w:p w:rsidR="007B70C4" w:rsidRDefault="007B70C4" w:rsidP="007B70C4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結論：</w:t>
      </w:r>
      <w:r>
        <w:br/>
        <w:t>AI 能提升效率，但仍需人工檢查</w:t>
      </w:r>
      <w:r w:rsidR="004411F3" w:rsidRPr="004411F3">
        <w:rPr>
          <w:rFonts w:hint="eastAsia"/>
        </w:rPr>
        <w:t>程式</w:t>
      </w:r>
      <w:r>
        <w:t>邏輯與資料合理性</w:t>
      </w:r>
    </w:p>
    <w:p w:rsidR="007B70C4" w:rsidRDefault="007B70C4" w:rsidP="007B70C4">
      <w:pPr>
        <w:pStyle w:val="2"/>
      </w:pPr>
      <w:r>
        <w:lastRenderedPageBreak/>
        <w:t>九、結論與反思</w:t>
      </w:r>
    </w:p>
    <w:p w:rsidR="007B70C4" w:rsidRDefault="007B70C4" w:rsidP="007B70C4">
      <w:pPr>
        <w:pStyle w:val="Web"/>
      </w:pPr>
      <w:r>
        <w:t>本研究透過隱含波動率與 PCR 的整合分析，得到以下結論：</w:t>
      </w:r>
    </w:p>
    <w:p w:rsidR="007B70C4" w:rsidRDefault="007B70C4" w:rsidP="007B70C4">
      <w:pPr>
        <w:widowControl/>
        <w:numPr>
          <w:ilvl w:val="0"/>
          <w:numId w:val="28"/>
        </w:numPr>
        <w:spacing w:before="100" w:beforeAutospacing="1" w:after="100" w:afterAutospacing="1"/>
      </w:pPr>
      <w:r>
        <w:t>市場普遍對下跌風險較為敏感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28"/>
        </w:numPr>
        <w:spacing w:before="100" w:beforeAutospacing="1" w:after="100" w:afterAutospacing="1"/>
      </w:pPr>
      <w:r>
        <w:t>看跌投資人對風險評價較高且分歧較大</w:t>
      </w:r>
      <w:r>
        <w:t xml:space="preserve"> </w:t>
      </w:r>
    </w:p>
    <w:p w:rsidR="007B70C4" w:rsidRDefault="007B70C4" w:rsidP="007B70C4">
      <w:pPr>
        <w:widowControl/>
        <w:numPr>
          <w:ilvl w:val="0"/>
          <w:numId w:val="28"/>
        </w:numPr>
        <w:spacing w:before="100" w:beforeAutospacing="1" w:after="100" w:afterAutospacing="1"/>
      </w:pPr>
      <w:r>
        <w:t xml:space="preserve">PCR </w:t>
      </w:r>
      <w:r>
        <w:t>能有效反映市場情緒與避險需求</w:t>
      </w:r>
      <w:r>
        <w:t xml:space="preserve"> </w:t>
      </w:r>
    </w:p>
    <w:p w:rsidR="007B70C4" w:rsidRDefault="007B70C4" w:rsidP="007B70C4">
      <w:pPr>
        <w:pStyle w:val="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t>最終結論</w:t>
      </w:r>
    </w:p>
    <w:p w:rsidR="007B70C4" w:rsidRDefault="007B70C4" w:rsidP="007B70C4">
      <w:pPr>
        <w:pStyle w:val="Web"/>
      </w:pPr>
      <w:r>
        <w:t>隱含波動率與 Put/Call Ratio 的結合分析，能有效描述市場風險結構、投資人情緒與不確定性，為金融資料探</w:t>
      </w:r>
      <w:proofErr w:type="gramStart"/>
      <w:r>
        <w:t>勘</w:t>
      </w:r>
      <w:proofErr w:type="gramEnd"/>
      <w:r>
        <w:t>中具高度價值之分析工具。</w:t>
      </w:r>
    </w:p>
    <w:p w:rsidR="00C529CA" w:rsidRPr="007B70C4" w:rsidRDefault="00C529CA" w:rsidP="00C529CA">
      <w:pPr>
        <w:pStyle w:val="Web"/>
      </w:pPr>
    </w:p>
    <w:sectPr w:rsidR="00C529CA" w:rsidRPr="007B70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E0F08"/>
    <w:multiLevelType w:val="multilevel"/>
    <w:tmpl w:val="A070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2D2"/>
    <w:multiLevelType w:val="multilevel"/>
    <w:tmpl w:val="887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90C44"/>
    <w:multiLevelType w:val="multilevel"/>
    <w:tmpl w:val="95DC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5777F"/>
    <w:multiLevelType w:val="multilevel"/>
    <w:tmpl w:val="4E16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A06CB"/>
    <w:multiLevelType w:val="multilevel"/>
    <w:tmpl w:val="7D40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B672A"/>
    <w:multiLevelType w:val="multilevel"/>
    <w:tmpl w:val="16A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222CA"/>
    <w:multiLevelType w:val="multilevel"/>
    <w:tmpl w:val="B588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C538DE"/>
    <w:multiLevelType w:val="multilevel"/>
    <w:tmpl w:val="D850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53BF7"/>
    <w:multiLevelType w:val="multilevel"/>
    <w:tmpl w:val="665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F2F1C"/>
    <w:multiLevelType w:val="multilevel"/>
    <w:tmpl w:val="27B0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2A680F"/>
    <w:multiLevelType w:val="multilevel"/>
    <w:tmpl w:val="9F94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B5446"/>
    <w:multiLevelType w:val="multilevel"/>
    <w:tmpl w:val="B54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408FB"/>
    <w:multiLevelType w:val="multilevel"/>
    <w:tmpl w:val="5012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6B6C08"/>
    <w:multiLevelType w:val="multilevel"/>
    <w:tmpl w:val="688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A14D9"/>
    <w:multiLevelType w:val="multilevel"/>
    <w:tmpl w:val="E12E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F5C0D"/>
    <w:multiLevelType w:val="hybridMultilevel"/>
    <w:tmpl w:val="5BF8D2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EAF66E3"/>
    <w:multiLevelType w:val="multilevel"/>
    <w:tmpl w:val="D776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0331F"/>
    <w:multiLevelType w:val="multilevel"/>
    <w:tmpl w:val="ED4C4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F64DFB"/>
    <w:multiLevelType w:val="multilevel"/>
    <w:tmpl w:val="D810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24E7E"/>
    <w:multiLevelType w:val="multilevel"/>
    <w:tmpl w:val="D588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21BC2"/>
    <w:multiLevelType w:val="multilevel"/>
    <w:tmpl w:val="35D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82E84"/>
    <w:multiLevelType w:val="multilevel"/>
    <w:tmpl w:val="6C10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C731E"/>
    <w:multiLevelType w:val="multilevel"/>
    <w:tmpl w:val="221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B2F3A"/>
    <w:multiLevelType w:val="multilevel"/>
    <w:tmpl w:val="13F0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80DA1"/>
    <w:multiLevelType w:val="multilevel"/>
    <w:tmpl w:val="2C5A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31CEF"/>
    <w:multiLevelType w:val="multilevel"/>
    <w:tmpl w:val="5F5A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4430A"/>
    <w:multiLevelType w:val="multilevel"/>
    <w:tmpl w:val="196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52C6D"/>
    <w:multiLevelType w:val="multilevel"/>
    <w:tmpl w:val="0D802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591833"/>
    <w:multiLevelType w:val="multilevel"/>
    <w:tmpl w:val="3F6A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28"/>
  </w:num>
  <w:num w:numId="5">
    <w:abstractNumId w:val="1"/>
  </w:num>
  <w:num w:numId="6">
    <w:abstractNumId w:val="4"/>
  </w:num>
  <w:num w:numId="7">
    <w:abstractNumId w:val="6"/>
  </w:num>
  <w:num w:numId="8">
    <w:abstractNumId w:val="8"/>
  </w:num>
  <w:num w:numId="9">
    <w:abstractNumId w:val="27"/>
  </w:num>
  <w:num w:numId="10">
    <w:abstractNumId w:val="18"/>
  </w:num>
  <w:num w:numId="11">
    <w:abstractNumId w:val="25"/>
  </w:num>
  <w:num w:numId="12">
    <w:abstractNumId w:val="20"/>
  </w:num>
  <w:num w:numId="13">
    <w:abstractNumId w:val="11"/>
  </w:num>
  <w:num w:numId="14">
    <w:abstractNumId w:val="13"/>
  </w:num>
  <w:num w:numId="15">
    <w:abstractNumId w:val="19"/>
  </w:num>
  <w:num w:numId="16">
    <w:abstractNumId w:val="24"/>
  </w:num>
  <w:num w:numId="17">
    <w:abstractNumId w:val="23"/>
  </w:num>
  <w:num w:numId="18">
    <w:abstractNumId w:val="21"/>
  </w:num>
  <w:num w:numId="19">
    <w:abstractNumId w:val="16"/>
  </w:num>
  <w:num w:numId="20">
    <w:abstractNumId w:val="22"/>
  </w:num>
  <w:num w:numId="21">
    <w:abstractNumId w:val="26"/>
  </w:num>
  <w:num w:numId="22">
    <w:abstractNumId w:val="7"/>
  </w:num>
  <w:num w:numId="23">
    <w:abstractNumId w:val="17"/>
  </w:num>
  <w:num w:numId="24">
    <w:abstractNumId w:val="5"/>
  </w:num>
  <w:num w:numId="25">
    <w:abstractNumId w:val="0"/>
  </w:num>
  <w:num w:numId="26">
    <w:abstractNumId w:val="2"/>
  </w:num>
  <w:num w:numId="27">
    <w:abstractNumId w:val="14"/>
  </w:num>
  <w:num w:numId="28">
    <w:abstractNumId w:val="3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CA"/>
    <w:rsid w:val="0001098A"/>
    <w:rsid w:val="00076203"/>
    <w:rsid w:val="004411F3"/>
    <w:rsid w:val="004778E5"/>
    <w:rsid w:val="006F34A0"/>
    <w:rsid w:val="007B70C4"/>
    <w:rsid w:val="007D4236"/>
    <w:rsid w:val="00884CB4"/>
    <w:rsid w:val="00B2591D"/>
    <w:rsid w:val="00C529CA"/>
    <w:rsid w:val="00F0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26B1"/>
  <w15:chartTrackingRefBased/>
  <w15:docId w15:val="{2815E2C8-A4AF-4291-851D-E6D350A7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C529CA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9CA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C529C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0C4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29CA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unhideWhenUsed/>
    <w:rsid w:val="00C529C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semiHidden/>
    <w:rsid w:val="00C529CA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C529CA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katex-mathml">
    <w:name w:val="katex-mathml"/>
    <w:basedOn w:val="a0"/>
    <w:rsid w:val="007B70C4"/>
  </w:style>
  <w:style w:type="character" w:customStyle="1" w:styleId="mord">
    <w:name w:val="mord"/>
    <w:basedOn w:val="a0"/>
    <w:rsid w:val="007B70C4"/>
  </w:style>
  <w:style w:type="character" w:customStyle="1" w:styleId="mspace">
    <w:name w:val="mspace"/>
    <w:basedOn w:val="a0"/>
    <w:rsid w:val="007B70C4"/>
  </w:style>
  <w:style w:type="character" w:customStyle="1" w:styleId="mrel">
    <w:name w:val="mrel"/>
    <w:basedOn w:val="a0"/>
    <w:rsid w:val="007B70C4"/>
  </w:style>
  <w:style w:type="character" w:customStyle="1" w:styleId="vlist-s">
    <w:name w:val="vlist-s"/>
    <w:basedOn w:val="a0"/>
    <w:rsid w:val="007B70C4"/>
  </w:style>
  <w:style w:type="character" w:styleId="a3">
    <w:name w:val="Strong"/>
    <w:basedOn w:val="a0"/>
    <w:uiPriority w:val="22"/>
    <w:qFormat/>
    <w:rsid w:val="007B70C4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7B70C4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2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DE32F-E680-4FB9-988E-379CA90C9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2026-04-22T11:47:00Z</dcterms:created>
  <dcterms:modified xsi:type="dcterms:W3CDTF">2026-04-30T10:17:00Z</dcterms:modified>
</cp:coreProperties>
</file>