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2F116" w14:textId="77777777" w:rsidR="00521CF9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2024 </w:t>
      </w:r>
      <w:r>
        <w:rPr>
          <w:lang w:eastAsia="zh-TW"/>
        </w:rPr>
        <w:t>年度台指選擇權隱含波動率</w:t>
      </w:r>
      <w:r>
        <w:rPr>
          <w:lang w:eastAsia="zh-TW"/>
        </w:rPr>
        <w:t xml:space="preserve"> (IV) </w:t>
      </w:r>
      <w:r>
        <w:rPr>
          <w:lang w:eastAsia="zh-TW"/>
        </w:rPr>
        <w:t>分析報告</w:t>
      </w:r>
    </w:p>
    <w:p w14:paraId="661F1949" w14:textId="12BE6A0A" w:rsidR="00521CF9" w:rsidRDefault="00000000">
      <w:pPr>
        <w:rPr>
          <w:lang w:eastAsia="zh-TW"/>
        </w:rPr>
      </w:pPr>
      <w:r>
        <w:rPr>
          <w:lang w:eastAsia="zh-TW"/>
        </w:rPr>
        <w:t>=</w:t>
      </w:r>
    </w:p>
    <w:p w14:paraId="5219E487" w14:textId="77777777" w:rsidR="00521CF9" w:rsidRDefault="00000000">
      <w:pPr>
        <w:pStyle w:val="1"/>
        <w:rPr>
          <w:lang w:eastAsia="zh-TW"/>
        </w:rPr>
      </w:pPr>
      <w:r>
        <w:rPr>
          <w:lang w:eastAsia="zh-TW"/>
        </w:rPr>
        <w:t>一、</w:t>
      </w:r>
      <w:r>
        <w:rPr>
          <w:lang w:eastAsia="zh-TW"/>
        </w:rPr>
        <w:t xml:space="preserve"> </w:t>
      </w:r>
      <w:r>
        <w:rPr>
          <w:lang w:eastAsia="zh-TW"/>
        </w:rPr>
        <w:t>年度數據摘要表</w:t>
      </w:r>
    </w:p>
    <w:p w14:paraId="4660F52C" w14:textId="77777777" w:rsidR="00521CF9" w:rsidRDefault="00000000">
      <w:pPr>
        <w:rPr>
          <w:lang w:eastAsia="zh-TW"/>
        </w:rPr>
      </w:pPr>
      <w:r>
        <w:rPr>
          <w:lang w:eastAsia="zh-TW"/>
        </w:rPr>
        <w:t>基於 2024 年全年度成交資料計算之隱含波動率（IV）統計結果：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1CF9" w14:paraId="3D3862E3" w14:textId="77777777">
        <w:tc>
          <w:tcPr>
            <w:tcW w:w="2160" w:type="dxa"/>
          </w:tcPr>
          <w:p w14:paraId="10AA6291" w14:textId="77777777" w:rsidR="00521CF9" w:rsidRDefault="00000000">
            <w:proofErr w:type="spellStart"/>
            <w:r>
              <w:rPr>
                <w:b/>
              </w:rPr>
              <w:t>統計項目</w:t>
            </w:r>
            <w:proofErr w:type="spellEnd"/>
          </w:p>
        </w:tc>
        <w:tc>
          <w:tcPr>
            <w:tcW w:w="2160" w:type="dxa"/>
          </w:tcPr>
          <w:p w14:paraId="73941663" w14:textId="77777777" w:rsidR="00521CF9" w:rsidRDefault="00000000">
            <w:r>
              <w:rPr>
                <w:b/>
              </w:rPr>
              <w:t>買權 (Call IV)</w:t>
            </w:r>
          </w:p>
        </w:tc>
        <w:tc>
          <w:tcPr>
            <w:tcW w:w="2160" w:type="dxa"/>
          </w:tcPr>
          <w:p w14:paraId="132BB945" w14:textId="77777777" w:rsidR="00521CF9" w:rsidRDefault="00000000">
            <w:r>
              <w:rPr>
                <w:b/>
              </w:rPr>
              <w:t>賣權 (Put IV)</w:t>
            </w:r>
          </w:p>
        </w:tc>
        <w:tc>
          <w:tcPr>
            <w:tcW w:w="2160" w:type="dxa"/>
          </w:tcPr>
          <w:p w14:paraId="0F6F55B9" w14:textId="77777777" w:rsidR="00521CF9" w:rsidRDefault="00000000">
            <w:r>
              <w:rPr>
                <w:b/>
              </w:rPr>
              <w:t>市場意義</w:t>
            </w:r>
          </w:p>
        </w:tc>
      </w:tr>
      <w:tr w:rsidR="00521CF9" w14:paraId="28865A8A" w14:textId="77777777">
        <w:tc>
          <w:tcPr>
            <w:tcW w:w="2160" w:type="dxa"/>
          </w:tcPr>
          <w:p w14:paraId="37367FA6" w14:textId="77777777" w:rsidR="00521CF9" w:rsidRDefault="00000000">
            <w:r>
              <w:t>年度平均 IV</w:t>
            </w:r>
          </w:p>
        </w:tc>
        <w:tc>
          <w:tcPr>
            <w:tcW w:w="2160" w:type="dxa"/>
          </w:tcPr>
          <w:p w14:paraId="40CBCD56" w14:textId="77777777" w:rsidR="00521CF9" w:rsidRDefault="00000000">
            <w:r>
              <w:t>19.28%</w:t>
            </w:r>
          </w:p>
        </w:tc>
        <w:tc>
          <w:tcPr>
            <w:tcW w:w="2160" w:type="dxa"/>
          </w:tcPr>
          <w:p w14:paraId="65912166" w14:textId="77777777" w:rsidR="00521CF9" w:rsidRDefault="00000000">
            <w:r>
              <w:t>23.70%</w:t>
            </w:r>
          </w:p>
        </w:tc>
        <w:tc>
          <w:tcPr>
            <w:tcW w:w="2160" w:type="dxa"/>
          </w:tcPr>
          <w:p w14:paraId="0BBB3900" w14:textId="77777777" w:rsidR="00521CF9" w:rsidRDefault="00000000">
            <w:r>
              <w:t>Put 溢價約 4.42%</w:t>
            </w:r>
          </w:p>
        </w:tc>
      </w:tr>
      <w:tr w:rsidR="00521CF9" w14:paraId="7923A959" w14:textId="77777777">
        <w:tc>
          <w:tcPr>
            <w:tcW w:w="2160" w:type="dxa"/>
          </w:tcPr>
          <w:p w14:paraId="454C3A0C" w14:textId="77777777" w:rsidR="00521CF9" w:rsidRDefault="00000000">
            <w:r>
              <w:t>年度中位數 IV</w:t>
            </w:r>
          </w:p>
        </w:tc>
        <w:tc>
          <w:tcPr>
            <w:tcW w:w="2160" w:type="dxa"/>
          </w:tcPr>
          <w:p w14:paraId="185BB701" w14:textId="77777777" w:rsidR="00521CF9" w:rsidRDefault="00000000">
            <w:r>
              <w:t>18.08%</w:t>
            </w:r>
          </w:p>
        </w:tc>
        <w:tc>
          <w:tcPr>
            <w:tcW w:w="2160" w:type="dxa"/>
          </w:tcPr>
          <w:p w14:paraId="11885046" w14:textId="77777777" w:rsidR="00521CF9" w:rsidRDefault="00000000">
            <w:r>
              <w:t>21.83%</w:t>
            </w:r>
          </w:p>
        </w:tc>
        <w:tc>
          <w:tcPr>
            <w:tcW w:w="2160" w:type="dxa"/>
          </w:tcPr>
          <w:p w14:paraId="357C35AB" w14:textId="77777777" w:rsidR="00521CF9" w:rsidRDefault="00000000">
            <w:r>
              <w:t>反映常態避險成本</w:t>
            </w:r>
          </w:p>
        </w:tc>
      </w:tr>
      <w:tr w:rsidR="00521CF9" w14:paraId="575D97EF" w14:textId="77777777">
        <w:tc>
          <w:tcPr>
            <w:tcW w:w="2160" w:type="dxa"/>
          </w:tcPr>
          <w:p w14:paraId="6824BF6E" w14:textId="77777777" w:rsidR="00521CF9" w:rsidRDefault="00000000">
            <w:r>
              <w:t>年度最高 IV</w:t>
            </w:r>
          </w:p>
        </w:tc>
        <w:tc>
          <w:tcPr>
            <w:tcW w:w="2160" w:type="dxa"/>
          </w:tcPr>
          <w:p w14:paraId="64D0C1CA" w14:textId="77777777" w:rsidR="00521CF9" w:rsidRDefault="00000000">
            <w:r>
              <w:t>79.50%</w:t>
            </w:r>
          </w:p>
        </w:tc>
        <w:tc>
          <w:tcPr>
            <w:tcW w:w="2160" w:type="dxa"/>
          </w:tcPr>
          <w:p w14:paraId="37A752A0" w14:textId="77777777" w:rsidR="00521CF9" w:rsidRDefault="00000000">
            <w:r>
              <w:t>99.90%</w:t>
            </w:r>
          </w:p>
        </w:tc>
        <w:tc>
          <w:tcPr>
            <w:tcW w:w="2160" w:type="dxa"/>
          </w:tcPr>
          <w:p w14:paraId="2919A1B6" w14:textId="77777777" w:rsidR="00521CF9" w:rsidRDefault="00000000">
            <w:r>
              <w:t>發生於 8 月初股災</w:t>
            </w:r>
          </w:p>
        </w:tc>
      </w:tr>
      <w:tr w:rsidR="00521CF9" w14:paraId="6F0CAD16" w14:textId="77777777">
        <w:tc>
          <w:tcPr>
            <w:tcW w:w="2160" w:type="dxa"/>
          </w:tcPr>
          <w:p w14:paraId="3C9A9D57" w14:textId="77777777" w:rsidR="00521CF9" w:rsidRDefault="00000000">
            <w:r>
              <w:t>年度最低 IV</w:t>
            </w:r>
          </w:p>
        </w:tc>
        <w:tc>
          <w:tcPr>
            <w:tcW w:w="2160" w:type="dxa"/>
          </w:tcPr>
          <w:p w14:paraId="1292F391" w14:textId="77777777" w:rsidR="00521CF9" w:rsidRDefault="00000000">
            <w:r>
              <w:t>7.16%</w:t>
            </w:r>
          </w:p>
        </w:tc>
        <w:tc>
          <w:tcPr>
            <w:tcW w:w="2160" w:type="dxa"/>
          </w:tcPr>
          <w:p w14:paraId="2A96B6CD" w14:textId="77777777" w:rsidR="00521CF9" w:rsidRDefault="00000000">
            <w:r>
              <w:t>8.92%</w:t>
            </w:r>
          </w:p>
        </w:tc>
        <w:tc>
          <w:tcPr>
            <w:tcW w:w="2160" w:type="dxa"/>
          </w:tcPr>
          <w:p w14:paraId="72EFA7FE" w14:textId="77777777" w:rsidR="00521CF9" w:rsidRDefault="00000000">
            <w:r>
              <w:t>出現在 Q1 穩定行情</w:t>
            </w:r>
          </w:p>
        </w:tc>
      </w:tr>
      <w:tr w:rsidR="00521CF9" w14:paraId="29FFD63A" w14:textId="77777777">
        <w:tc>
          <w:tcPr>
            <w:tcW w:w="2160" w:type="dxa"/>
          </w:tcPr>
          <w:p w14:paraId="545921E6" w14:textId="77777777" w:rsidR="00521CF9" w:rsidRDefault="00000000">
            <w:r>
              <w:t>IV 波動度 (Std)</w:t>
            </w:r>
          </w:p>
        </w:tc>
        <w:tc>
          <w:tcPr>
            <w:tcW w:w="2160" w:type="dxa"/>
          </w:tcPr>
          <w:p w14:paraId="7A764699" w14:textId="77777777" w:rsidR="00521CF9" w:rsidRDefault="00000000">
            <w:r>
              <w:t>8.02%</w:t>
            </w:r>
          </w:p>
        </w:tc>
        <w:tc>
          <w:tcPr>
            <w:tcW w:w="2160" w:type="dxa"/>
          </w:tcPr>
          <w:p w14:paraId="267F57D1" w14:textId="77777777" w:rsidR="00521CF9" w:rsidRDefault="00000000">
            <w:r>
              <w:t>10.47%</w:t>
            </w:r>
          </w:p>
        </w:tc>
        <w:tc>
          <w:tcPr>
            <w:tcW w:w="2160" w:type="dxa"/>
          </w:tcPr>
          <w:p w14:paraId="7E58A6B1" w14:textId="77777777" w:rsidR="00521CF9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賣權端風險更具爆發性</w:t>
            </w:r>
          </w:p>
        </w:tc>
      </w:tr>
    </w:tbl>
    <w:p w14:paraId="56CA47B6" w14:textId="77777777" w:rsidR="00521CF9" w:rsidRDefault="00521CF9">
      <w:pPr>
        <w:rPr>
          <w:lang w:eastAsia="zh-TW"/>
        </w:rPr>
      </w:pPr>
    </w:p>
    <w:p w14:paraId="292DE663" w14:textId="77777777" w:rsidR="00521CF9" w:rsidRDefault="00000000">
      <w:pPr>
        <w:pStyle w:val="1"/>
        <w:rPr>
          <w:lang w:eastAsia="zh-TW"/>
        </w:rPr>
      </w:pPr>
      <w:r>
        <w:rPr>
          <w:lang w:eastAsia="zh-TW"/>
        </w:rPr>
        <w:t>二、</w:t>
      </w:r>
      <w:r>
        <w:rPr>
          <w:lang w:eastAsia="zh-TW"/>
        </w:rPr>
        <w:t xml:space="preserve"> 2024 </w:t>
      </w:r>
      <w:r>
        <w:rPr>
          <w:lang w:eastAsia="zh-TW"/>
        </w:rPr>
        <w:t>年極端波動事件分析</w:t>
      </w:r>
    </w:p>
    <w:p w14:paraId="60EC3290" w14:textId="77777777" w:rsidR="00521CF9" w:rsidRDefault="00000000">
      <w:pPr>
        <w:rPr>
          <w:lang w:eastAsia="zh-TW"/>
        </w:rPr>
      </w:pPr>
      <w:r>
        <w:rPr>
          <w:b/>
          <w:lang w:eastAsia="zh-TW"/>
        </w:rPr>
        <w:t>觀測焦點：2024年8月5日至8月6日</w:t>
      </w:r>
    </w:p>
    <w:p w14:paraId="605CACE8" w14:textId="77777777" w:rsidR="00521CF9" w:rsidRDefault="00000000">
      <w:pPr>
        <w:rPr>
          <w:lang w:eastAsia="zh-TW"/>
        </w:rPr>
      </w:pPr>
      <w:r>
        <w:rPr>
          <w:lang w:eastAsia="zh-TW"/>
        </w:rPr>
        <w:t>此期間台股經歷劇烈回檔，賣權 IV 飆升至接近 100% 的極端水準。這代表市場當時處於極度恐慌狀態，避險需求（Demand for Protection）遠超供給，導致選擇權權利金價格出現嚴重的「波動率偏斜（Volatility Skew）」與價格跳空。</w:t>
      </w:r>
    </w:p>
    <w:p w14:paraId="5E621E04" w14:textId="77777777" w:rsidR="00521CF9" w:rsidRDefault="00000000">
      <w:pPr>
        <w:pStyle w:val="1"/>
        <w:rPr>
          <w:lang w:eastAsia="zh-TW"/>
        </w:rPr>
      </w:pPr>
      <w:r>
        <w:rPr>
          <w:lang w:eastAsia="zh-TW"/>
        </w:rPr>
        <w:t>三、</w:t>
      </w:r>
      <w:r>
        <w:rPr>
          <w:lang w:eastAsia="zh-TW"/>
        </w:rPr>
        <w:t xml:space="preserve"> </w:t>
      </w:r>
      <w:r>
        <w:rPr>
          <w:lang w:eastAsia="zh-TW"/>
        </w:rPr>
        <w:t>風險不對稱性與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Vov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分析</w:t>
      </w:r>
    </w:p>
    <w:p w14:paraId="75266235" w14:textId="77777777" w:rsidR="00521CF9" w:rsidRDefault="00000000">
      <w:pPr>
        <w:pStyle w:val="21"/>
        <w:rPr>
          <w:lang w:eastAsia="zh-TW"/>
        </w:rPr>
      </w:pPr>
      <w:r>
        <w:rPr>
          <w:lang w:eastAsia="zh-TW"/>
        </w:rPr>
        <w:t>1. Put/Call Skew (</w:t>
      </w:r>
      <w:r>
        <w:rPr>
          <w:lang w:eastAsia="zh-TW"/>
        </w:rPr>
        <w:t>賣權偏斜</w:t>
      </w:r>
      <w:r>
        <w:rPr>
          <w:lang w:eastAsia="zh-TW"/>
        </w:rPr>
        <w:t>)</w:t>
      </w:r>
    </w:p>
    <w:p w14:paraId="5C927487" w14:textId="77777777" w:rsidR="00521CF9" w:rsidRDefault="00000000">
      <w:pPr>
        <w:rPr>
          <w:lang w:eastAsia="zh-TW"/>
        </w:rPr>
      </w:pPr>
      <w:r>
        <w:rPr>
          <w:lang w:eastAsia="zh-TW"/>
        </w:rPr>
        <w:t>數據顯示賣權的平均 IV 高於買權約 4.4 個百分點。這反映了投資人對下行風險的厭惡，導致 Put 端的隱含波動率長期存在風險溢酬。</w:t>
      </w:r>
    </w:p>
    <w:p w14:paraId="798D40D2" w14:textId="77777777" w:rsidR="00521CF9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波動率的波動</w:t>
      </w:r>
      <w:r>
        <w:rPr>
          <w:lang w:eastAsia="zh-TW"/>
        </w:rPr>
        <w:t xml:space="preserve"> (</w:t>
      </w:r>
      <w:proofErr w:type="spellStart"/>
      <w:r>
        <w:rPr>
          <w:lang w:eastAsia="zh-TW"/>
        </w:rPr>
        <w:t>Vov</w:t>
      </w:r>
      <w:proofErr w:type="spellEnd"/>
      <w:r>
        <w:rPr>
          <w:lang w:eastAsia="zh-TW"/>
        </w:rPr>
        <w:t>)</w:t>
      </w:r>
    </w:p>
    <w:p w14:paraId="3AFCBA11" w14:textId="77777777" w:rsidR="00521CF9" w:rsidRDefault="00000000">
      <w:pPr>
        <w:rPr>
          <w:lang w:eastAsia="zh-TW"/>
        </w:rPr>
      </w:pPr>
      <w:r>
        <w:rPr>
          <w:lang w:eastAsia="zh-TW"/>
        </w:rPr>
        <w:t>賣權 IV 的標準差 (10.47%) 顯著高於買權 (8.02%)。當市場發生突發事件時，賣權 IV 的跳升速度與幅度遠超買權，這對賣方交易者而言是極大的管理挑戰。</w:t>
      </w:r>
    </w:p>
    <w:p w14:paraId="0C7AE8BC" w14:textId="77777777" w:rsidR="00521CF9" w:rsidRDefault="00000000">
      <w:pPr>
        <w:pStyle w:val="1"/>
      </w:pPr>
      <w:r>
        <w:t>四、</w:t>
      </w:r>
      <w:r>
        <w:t xml:space="preserve"> </w:t>
      </w:r>
      <w:proofErr w:type="spellStart"/>
      <w:r>
        <w:t>交易策略建議</w:t>
      </w:r>
      <w:proofErr w:type="spellEnd"/>
    </w:p>
    <w:p w14:paraId="623F1D81" w14:textId="77777777" w:rsidR="00521CF9" w:rsidRDefault="00000000">
      <w:pPr>
        <w:pStyle w:val="a0"/>
        <w:rPr>
          <w:lang w:eastAsia="zh-TW"/>
        </w:rPr>
      </w:pPr>
      <w:r>
        <w:rPr>
          <w:lang w:eastAsia="zh-TW"/>
        </w:rPr>
        <w:t>低 IV 環境（如 2024 Q1）：適合買方策略。權利金便宜，可低成本進行方向性佈局。</w:t>
      </w:r>
    </w:p>
    <w:p w14:paraId="2A5BDA52" w14:textId="77777777" w:rsidR="00521CF9" w:rsidRDefault="00000000">
      <w:pPr>
        <w:pStyle w:val="a0"/>
        <w:rPr>
          <w:lang w:eastAsia="zh-TW"/>
        </w:rPr>
      </w:pPr>
      <w:r>
        <w:rPr>
          <w:lang w:eastAsia="zh-TW"/>
        </w:rPr>
        <w:t>高 IV 噴發期（如 2024/08）：買方應注意 IV 萎縮（IV Crush）風險；賣方雖收權利金高，但需嚴格控管壓力測試。</w:t>
      </w:r>
    </w:p>
    <w:p w14:paraId="20D34A51" w14:textId="77777777" w:rsidR="00521CF9" w:rsidRDefault="00000000">
      <w:pPr>
        <w:pStyle w:val="a0"/>
        <w:rPr>
          <w:lang w:eastAsia="zh-TW"/>
        </w:rPr>
      </w:pPr>
      <w:r>
        <w:rPr>
          <w:lang w:eastAsia="zh-TW"/>
        </w:rPr>
        <w:t>長短期均線參考：當 5MA IV 大幅偏離 30MA IV 時，代表短線情緒過熱或過冷，通常預示趨勢反轉。</w:t>
      </w:r>
    </w:p>
    <w:p w14:paraId="64D6C6B0" w14:textId="2EF4E61C" w:rsidR="002C0BE6" w:rsidRDefault="002C0BE6" w:rsidP="002C0BE6">
      <w:pPr>
        <w:rPr>
          <w:lang w:eastAsia="zh-TW"/>
        </w:rPr>
      </w:pPr>
    </w:p>
    <w:p w14:paraId="1E912FCC" w14:textId="2DF6CD16" w:rsidR="00521CF9" w:rsidRDefault="00521CF9">
      <w:pPr>
        <w:jc w:val="right"/>
        <w:rPr>
          <w:lang w:eastAsia="zh-TW"/>
        </w:rPr>
      </w:pPr>
    </w:p>
    <w:sectPr w:rsidR="00521C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789898">
    <w:abstractNumId w:val="8"/>
  </w:num>
  <w:num w:numId="2" w16cid:durableId="1808545204">
    <w:abstractNumId w:val="6"/>
  </w:num>
  <w:num w:numId="3" w16cid:durableId="1678389942">
    <w:abstractNumId w:val="5"/>
  </w:num>
  <w:num w:numId="4" w16cid:durableId="299308098">
    <w:abstractNumId w:val="4"/>
  </w:num>
  <w:num w:numId="5" w16cid:durableId="712118438">
    <w:abstractNumId w:val="7"/>
  </w:num>
  <w:num w:numId="6" w16cid:durableId="619072213">
    <w:abstractNumId w:val="3"/>
  </w:num>
  <w:num w:numId="7" w16cid:durableId="17826832">
    <w:abstractNumId w:val="2"/>
  </w:num>
  <w:num w:numId="8" w16cid:durableId="681008289">
    <w:abstractNumId w:val="1"/>
  </w:num>
  <w:num w:numId="9" w16cid:durableId="52660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BE6"/>
    <w:rsid w:val="00326F90"/>
    <w:rsid w:val="00521CF9"/>
    <w:rsid w:val="00917C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0DDA5"/>
  <w14:defaultImageDpi w14:val="300"/>
  <w15:docId w15:val="{5E384697-C510-4E79-998C-39AEE695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BOWEI 黃</cp:lastModifiedBy>
  <cp:revision>2</cp:revision>
  <dcterms:created xsi:type="dcterms:W3CDTF">2013-12-23T23:15:00Z</dcterms:created>
  <dcterms:modified xsi:type="dcterms:W3CDTF">2026-04-30T09:35:00Z</dcterms:modified>
  <cp:category/>
</cp:coreProperties>
</file>