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DE2A" w14:textId="1063D110" w:rsidR="00A4763F" w:rsidRPr="003D50A2" w:rsidRDefault="003D50A2" w:rsidP="003D50A2">
      <w:pPr>
        <w:jc w:val="center"/>
        <w:rPr>
          <w:b/>
          <w:bCs/>
        </w:rPr>
      </w:pPr>
      <w:r w:rsidRPr="003D50A2">
        <w:rPr>
          <w:b/>
          <w:bCs/>
        </w:rPr>
        <w:t>個人年度分析摘要：</w:t>
      </w:r>
      <w:r w:rsidRPr="003D50A2">
        <w:rPr>
          <w:b/>
          <w:bCs/>
        </w:rPr>
        <w:t xml:space="preserve">2023 </w:t>
      </w:r>
      <w:r w:rsidRPr="003D50A2">
        <w:rPr>
          <w:b/>
          <w:bCs/>
        </w:rPr>
        <w:t>年度</w:t>
      </w:r>
    </w:p>
    <w:p w14:paraId="7662E28A" w14:textId="5CF4F362" w:rsidR="003D50A2" w:rsidRPr="003D50A2" w:rsidRDefault="003D50A2" w:rsidP="003D50A2">
      <w:pPr>
        <w:jc w:val="center"/>
        <w:rPr>
          <w:rFonts w:hint="eastAsia"/>
        </w:rPr>
      </w:pPr>
      <w:r w:rsidRPr="003D50A2">
        <w:t>學生姓名：</w:t>
      </w:r>
      <w:r w:rsidRPr="003D50A2">
        <w:rPr>
          <w:rFonts w:hint="eastAsia"/>
        </w:rPr>
        <w:t>陳奕如</w:t>
      </w:r>
      <w:r w:rsidRPr="003D50A2">
        <w:rPr>
          <w:rFonts w:hint="eastAsia"/>
        </w:rPr>
        <w:t xml:space="preserve"> </w:t>
      </w:r>
      <w:r w:rsidRPr="003D50A2">
        <w:t xml:space="preserve">| </w:t>
      </w:r>
      <w:r w:rsidRPr="003D50A2">
        <w:t>學號：</w:t>
      </w:r>
      <w:r w:rsidRPr="003D50A2">
        <w:t>411336001</w:t>
      </w:r>
      <w:r w:rsidRPr="003D50A2">
        <w:rPr>
          <w:rFonts w:hint="eastAsia"/>
        </w:rPr>
        <w:t xml:space="preserve"> </w:t>
      </w:r>
      <w:r w:rsidRPr="003D50A2">
        <w:t xml:space="preserve"> | </w:t>
      </w:r>
      <w:r w:rsidRPr="003D50A2">
        <w:t>負責年度：</w:t>
      </w:r>
      <w:r w:rsidRPr="003D50A2">
        <w:t>2023</w:t>
      </w:r>
    </w:p>
    <w:p w14:paraId="3D667A21" w14:textId="3C29D563" w:rsidR="00A4763F" w:rsidRDefault="00A4763F" w:rsidP="00A4763F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研究目標與資料來源</w:t>
      </w:r>
    </w:p>
    <w:p w14:paraId="7C404FED" w14:textId="77777777" w:rsidR="003D50A2" w:rsidRDefault="00A4763F" w:rsidP="00A4763F">
      <w:pPr>
        <w:pStyle w:val="a9"/>
        <w:numPr>
          <w:ilvl w:val="0"/>
          <w:numId w:val="1"/>
        </w:numPr>
      </w:pPr>
      <w:r>
        <w:rPr>
          <w:rFonts w:hint="eastAsia"/>
        </w:rPr>
        <w:t>研究目標：利用</w:t>
      </w:r>
      <w:r>
        <w:rPr>
          <w:rFonts w:hint="eastAsia"/>
        </w:rPr>
        <w:t xml:space="preserve"> 2023 </w:t>
      </w:r>
      <w:r>
        <w:rPr>
          <w:rFonts w:hint="eastAsia"/>
        </w:rPr>
        <w:t>年台指選擇權（</w:t>
      </w:r>
      <w:r>
        <w:rPr>
          <w:rFonts w:hint="eastAsia"/>
        </w:rPr>
        <w:t>TXO</w:t>
      </w:r>
      <w:r>
        <w:rPr>
          <w:rFonts w:hint="eastAsia"/>
        </w:rPr>
        <w:t>）逐筆交易資料，衡量看漲與看跌投資人之每日隱含波動率（</w:t>
      </w:r>
      <w:r>
        <w:rPr>
          <w:rFonts w:hint="eastAsia"/>
        </w:rPr>
        <w:t>IV</w:t>
      </w:r>
      <w:r>
        <w:rPr>
          <w:rFonts w:hint="eastAsia"/>
        </w:rPr>
        <w:t>）及其分布狀況，並結合買賣權比（</w:t>
      </w:r>
      <w:r>
        <w:rPr>
          <w:rFonts w:hint="eastAsia"/>
        </w:rPr>
        <w:t>Put/Call Ratio, PCR</w:t>
      </w:r>
      <w:r>
        <w:rPr>
          <w:rFonts w:hint="eastAsia"/>
        </w:rPr>
        <w:t>）觀察市場多空情緒與風險預期。</w:t>
      </w:r>
    </w:p>
    <w:p w14:paraId="5F0B46A4" w14:textId="77777777" w:rsidR="003D50A2" w:rsidRDefault="00A4763F" w:rsidP="00A4763F">
      <w:pPr>
        <w:pStyle w:val="a9"/>
        <w:numPr>
          <w:ilvl w:val="0"/>
          <w:numId w:val="1"/>
        </w:numPr>
      </w:pPr>
      <w:r>
        <w:rPr>
          <w:rFonts w:hint="eastAsia"/>
        </w:rPr>
        <w:t>分析期間：</w:t>
      </w:r>
      <w:r>
        <w:rPr>
          <w:rFonts w:hint="eastAsia"/>
        </w:rPr>
        <w:t xml:space="preserve">2023 </w:t>
      </w:r>
      <w:r>
        <w:rPr>
          <w:rFonts w:hint="eastAsia"/>
        </w:rPr>
        <w:t>年</w:t>
      </w:r>
      <w:r>
        <w:rPr>
          <w:rFonts w:hint="eastAsia"/>
        </w:rPr>
        <w:t xml:space="preserve"> 1 </w:t>
      </w:r>
      <w:r>
        <w:rPr>
          <w:rFonts w:hint="eastAsia"/>
        </w:rPr>
        <w:t>月</w:t>
      </w:r>
      <w:r>
        <w:rPr>
          <w:rFonts w:hint="eastAsia"/>
        </w:rPr>
        <w:t xml:space="preserve"> 1 </w:t>
      </w:r>
      <w:r>
        <w:rPr>
          <w:rFonts w:hint="eastAsia"/>
        </w:rPr>
        <w:t>日至</w:t>
      </w:r>
      <w:r>
        <w:rPr>
          <w:rFonts w:hint="eastAsia"/>
        </w:rPr>
        <w:t xml:space="preserve"> 2023 </w:t>
      </w:r>
      <w:r>
        <w:rPr>
          <w:rFonts w:hint="eastAsia"/>
        </w:rPr>
        <w:t>年</w:t>
      </w:r>
      <w:r>
        <w:rPr>
          <w:rFonts w:hint="eastAsia"/>
        </w:rPr>
        <w:t xml:space="preserve"> 12 </w:t>
      </w:r>
      <w:r>
        <w:rPr>
          <w:rFonts w:hint="eastAsia"/>
        </w:rPr>
        <w:t>月</w:t>
      </w:r>
      <w:r>
        <w:rPr>
          <w:rFonts w:hint="eastAsia"/>
        </w:rPr>
        <w:t xml:space="preserve"> 31 </w:t>
      </w:r>
      <w:r>
        <w:rPr>
          <w:rFonts w:hint="eastAsia"/>
        </w:rPr>
        <w:t>日。</w:t>
      </w:r>
    </w:p>
    <w:p w14:paraId="6AA1F26F" w14:textId="03F4B44B" w:rsidR="00A4763F" w:rsidRDefault="00A4763F" w:rsidP="00A4763F">
      <w:pPr>
        <w:pStyle w:val="a9"/>
        <w:numPr>
          <w:ilvl w:val="0"/>
          <w:numId w:val="1"/>
        </w:numPr>
      </w:pPr>
      <w:r>
        <w:rPr>
          <w:rFonts w:hint="eastAsia"/>
        </w:rPr>
        <w:t>資料來源：</w:t>
      </w:r>
      <w:r>
        <w:rPr>
          <w:rFonts w:hint="eastAsia"/>
        </w:rPr>
        <w:t xml:space="preserve">TXO </w:t>
      </w:r>
      <w:r>
        <w:rPr>
          <w:rFonts w:hint="eastAsia"/>
        </w:rPr>
        <w:t>逐筆交易資料、加權指數價格（</w:t>
      </w:r>
      <w:r>
        <w:rPr>
          <w:rFonts w:hint="eastAsia"/>
        </w:rPr>
        <w:t>S0</w:t>
      </w:r>
      <w:r>
        <w:rPr>
          <w:rFonts w:hint="eastAsia"/>
        </w:rPr>
        <w:t>）、無風險利率（</w:t>
      </w:r>
      <w:r>
        <w:rPr>
          <w:rFonts w:hint="eastAsia"/>
        </w:rPr>
        <w:t>rf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0FBA952" w14:textId="77777777" w:rsidR="003D50A2" w:rsidRPr="003D50A2" w:rsidRDefault="003D50A2" w:rsidP="003D50A2">
      <w:pPr>
        <w:rPr>
          <w:rFonts w:hint="eastAsia"/>
        </w:rPr>
      </w:pPr>
    </w:p>
    <w:p w14:paraId="61DE8F99" w14:textId="3FB4F71A" w:rsidR="00A4763F" w:rsidRDefault="00A4763F" w:rsidP="00A4763F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指標定義與計算方法</w:t>
      </w:r>
    </w:p>
    <w:p w14:paraId="3237C36A" w14:textId="4B70119D" w:rsidR="00A4763F" w:rsidRDefault="00A4763F" w:rsidP="00A4763F">
      <w:pPr>
        <w:rPr>
          <w:rFonts w:hint="eastAsia"/>
        </w:rPr>
      </w:pPr>
      <w:r>
        <w:rPr>
          <w:rFonts w:hint="eastAsia"/>
        </w:rPr>
        <w:t>本報告採用的統計量定義如下：</w:t>
      </w:r>
    </w:p>
    <w:p w14:paraId="20508364" w14:textId="40067E77" w:rsidR="00A4763F" w:rsidRDefault="00A4763F" w:rsidP="00A4763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看漲投資人</w:t>
      </w:r>
      <w:r>
        <w:rPr>
          <w:rFonts w:hint="eastAsia"/>
        </w:rPr>
        <w:t xml:space="preserve"> IV </w:t>
      </w:r>
      <w:r>
        <w:rPr>
          <w:rFonts w:hint="eastAsia"/>
        </w:rPr>
        <w:t>平均數：反映市場中偏多或買權交易者對未來波動的預期值。</w:t>
      </w:r>
    </w:p>
    <w:p w14:paraId="4BCD4A8D" w14:textId="542E6914" w:rsidR="00A4763F" w:rsidRDefault="00A4763F" w:rsidP="00A4763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看跌投資人</w:t>
      </w:r>
      <w:r>
        <w:rPr>
          <w:rFonts w:hint="eastAsia"/>
        </w:rPr>
        <w:t xml:space="preserve"> IV </w:t>
      </w:r>
      <w:r>
        <w:rPr>
          <w:rFonts w:hint="eastAsia"/>
        </w:rPr>
        <w:t>平均數：反映市場中</w:t>
      </w:r>
      <w:proofErr w:type="gramStart"/>
      <w:r>
        <w:rPr>
          <w:rFonts w:hint="eastAsia"/>
        </w:rPr>
        <w:t>偏空或賣</w:t>
      </w:r>
      <w:proofErr w:type="gramEnd"/>
      <w:r>
        <w:rPr>
          <w:rFonts w:hint="eastAsia"/>
        </w:rPr>
        <w:t>權交易者對未來下跌風險的預期值。</w:t>
      </w:r>
    </w:p>
    <w:p w14:paraId="1DB1D80B" w14:textId="138219E8" w:rsidR="00A4763F" w:rsidRDefault="00A4763F" w:rsidP="00A4763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樣本標準差：衡量同日內投資人對</w:t>
      </w:r>
      <w:r>
        <w:rPr>
          <w:rFonts w:hint="eastAsia"/>
        </w:rPr>
        <w:t xml:space="preserve"> IV </w:t>
      </w:r>
      <w:r>
        <w:rPr>
          <w:rFonts w:hint="eastAsia"/>
        </w:rPr>
        <w:t>看法的是否集中。標準差越大，代表市場預期分歧程度越高。</w:t>
      </w:r>
    </w:p>
    <w:p w14:paraId="4AB9E926" w14:textId="62963A66" w:rsidR="00A4763F" w:rsidRDefault="00A4763F" w:rsidP="00A4763F">
      <w:pPr>
        <w:rPr>
          <w:rFonts w:hint="eastAsia"/>
        </w:rPr>
      </w:pPr>
      <w:r>
        <w:rPr>
          <w:rFonts w:hint="eastAsia"/>
        </w:rPr>
        <w:t>4.</w:t>
      </w:r>
      <w:r w:rsidR="003D50A2">
        <w:rPr>
          <w:rFonts w:hint="eastAsia"/>
        </w:rPr>
        <w:t xml:space="preserve"> </w:t>
      </w:r>
      <w:r>
        <w:rPr>
          <w:rFonts w:hint="eastAsia"/>
        </w:rPr>
        <w:t>Put/Call Ratio (PCR)</w:t>
      </w:r>
      <w:r>
        <w:rPr>
          <w:rFonts w:hint="eastAsia"/>
        </w:rPr>
        <w:t>：衡量買賣權交易強弱。</w:t>
      </w:r>
      <w:r>
        <w:rPr>
          <w:rFonts w:hint="eastAsia"/>
        </w:rPr>
        <w:t xml:space="preserve">PCR </w:t>
      </w:r>
      <w:r>
        <w:rPr>
          <w:rFonts w:hint="eastAsia"/>
        </w:rPr>
        <w:t>偏高通常代表賣權相對活絡（避險情緒強），偏低則買權活絡（偏多情緒強）。</w:t>
      </w:r>
    </w:p>
    <w:p w14:paraId="593237C3" w14:textId="77777777" w:rsidR="00A4763F" w:rsidRDefault="00A4763F" w:rsidP="00A4763F"/>
    <w:p w14:paraId="76920F53" w14:textId="04015D71" w:rsidR="00A4763F" w:rsidRDefault="00A4763F" w:rsidP="00A4763F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資料整理與篩選流程</w:t>
      </w:r>
    </w:p>
    <w:p w14:paraId="74C13810" w14:textId="77777777" w:rsidR="003D50A2" w:rsidRDefault="00A4763F" w:rsidP="00A4763F">
      <w:pPr>
        <w:pStyle w:val="a9"/>
        <w:numPr>
          <w:ilvl w:val="0"/>
          <w:numId w:val="2"/>
        </w:numPr>
      </w:pPr>
      <w:r>
        <w:rPr>
          <w:rFonts w:hint="eastAsia"/>
        </w:rPr>
        <w:t>計算模型：採用</w:t>
      </w:r>
      <w:r>
        <w:rPr>
          <w:rFonts w:hint="eastAsia"/>
        </w:rPr>
        <w:t xml:space="preserve"> Black-Scholes / Black model </w:t>
      </w:r>
      <w:r>
        <w:rPr>
          <w:rFonts w:hint="eastAsia"/>
        </w:rPr>
        <w:t>搭配數值方法反推隱含波動率。</w:t>
      </w:r>
    </w:p>
    <w:p w14:paraId="77FBA217" w14:textId="77777777" w:rsidR="003D50A2" w:rsidRDefault="00A4763F" w:rsidP="00A4763F">
      <w:pPr>
        <w:pStyle w:val="a9"/>
        <w:numPr>
          <w:ilvl w:val="0"/>
          <w:numId w:val="2"/>
        </w:numPr>
      </w:pPr>
      <w:r>
        <w:rPr>
          <w:rFonts w:hint="eastAsia"/>
        </w:rPr>
        <w:t>篩選條件：</w:t>
      </w:r>
    </w:p>
    <w:p w14:paraId="4534A28A" w14:textId="0F4C5F94" w:rsidR="003D50A2" w:rsidRDefault="00A4763F" w:rsidP="00A4763F">
      <w:pPr>
        <w:pStyle w:val="a9"/>
        <w:numPr>
          <w:ilvl w:val="0"/>
          <w:numId w:val="3"/>
        </w:numPr>
      </w:pPr>
      <w:r>
        <w:rPr>
          <w:rFonts w:hint="eastAsia"/>
        </w:rPr>
        <w:t>僅針對台指選擇權（</w:t>
      </w:r>
      <w:r>
        <w:rPr>
          <w:rFonts w:hint="eastAsia"/>
        </w:rPr>
        <w:t>TXO</w:t>
      </w:r>
      <w:r>
        <w:rPr>
          <w:rFonts w:hint="eastAsia"/>
        </w:rPr>
        <w:t>）近月契約進行分析（如</w:t>
      </w:r>
      <w:r>
        <w:rPr>
          <w:rFonts w:hint="eastAsia"/>
        </w:rPr>
        <w:t xml:space="preserve"> 202301 </w:t>
      </w:r>
      <w:r>
        <w:rPr>
          <w:rFonts w:hint="eastAsia"/>
        </w:rPr>
        <w:t>契約）。</w:t>
      </w:r>
    </w:p>
    <w:p w14:paraId="3EC80611" w14:textId="77777777" w:rsidR="003D50A2" w:rsidRDefault="00A4763F" w:rsidP="00A4763F">
      <w:pPr>
        <w:pStyle w:val="a9"/>
        <w:numPr>
          <w:ilvl w:val="0"/>
          <w:numId w:val="3"/>
        </w:numPr>
      </w:pPr>
      <w:proofErr w:type="gramStart"/>
      <w:r>
        <w:rPr>
          <w:rFonts w:hint="eastAsia"/>
        </w:rPr>
        <w:t>排除缺值</w:t>
      </w:r>
      <w:proofErr w:type="gramEnd"/>
      <w:r>
        <w:rPr>
          <w:rFonts w:hint="eastAsia"/>
        </w:rPr>
        <w:t>、重複資料及無法反推出</w:t>
      </w:r>
      <w:r>
        <w:rPr>
          <w:rFonts w:hint="eastAsia"/>
        </w:rPr>
        <w:t xml:space="preserve"> IV </w:t>
      </w:r>
      <w:r>
        <w:rPr>
          <w:rFonts w:hint="eastAsia"/>
        </w:rPr>
        <w:t>的異常樣本。</w:t>
      </w:r>
    </w:p>
    <w:p w14:paraId="17AC271C" w14:textId="1A9D88EE" w:rsidR="00A4763F" w:rsidRDefault="00A4763F" w:rsidP="00A4763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固定無風險利率（</w:t>
      </w:r>
      <w:r>
        <w:rPr>
          <w:rFonts w:hint="eastAsia"/>
        </w:rPr>
        <w:t>rf</w:t>
      </w:r>
      <w:r>
        <w:rPr>
          <w:rFonts w:hint="eastAsia"/>
        </w:rPr>
        <w:t>）為</w:t>
      </w:r>
      <w:r>
        <w:rPr>
          <w:rFonts w:hint="eastAsia"/>
        </w:rPr>
        <w:t xml:space="preserve"> 1.45% (0.0145)</w:t>
      </w:r>
      <w:r>
        <w:rPr>
          <w:rFonts w:hint="eastAsia"/>
        </w:rPr>
        <w:t>。</w:t>
      </w:r>
    </w:p>
    <w:p w14:paraId="42652182" w14:textId="77777777" w:rsidR="00A4763F" w:rsidRDefault="00A4763F" w:rsidP="00A4763F"/>
    <w:p w14:paraId="492ABCB3" w14:textId="4D36D401" w:rsidR="00A4763F" w:rsidRDefault="00A4763F" w:rsidP="00A4763F">
      <w:r>
        <w:rPr>
          <w:rFonts w:hint="eastAsia"/>
        </w:rPr>
        <w:t>四、</w:t>
      </w:r>
      <w:r>
        <w:rPr>
          <w:rFonts w:hint="eastAsia"/>
        </w:rPr>
        <w:t xml:space="preserve"> 2023 </w:t>
      </w:r>
      <w:r>
        <w:rPr>
          <w:rFonts w:hint="eastAsia"/>
        </w:rPr>
        <w:t>年度實證結果分析</w:t>
      </w:r>
    </w:p>
    <w:p w14:paraId="0795EB4F" w14:textId="15ECA877" w:rsidR="00A4763F" w:rsidRDefault="00A4763F" w:rsidP="00A4763F">
      <w:pPr>
        <w:rPr>
          <w:rFonts w:hint="eastAsia"/>
        </w:rPr>
      </w:pPr>
      <w:r>
        <w:rPr>
          <w:rFonts w:hint="eastAsia"/>
        </w:rPr>
        <w:t xml:space="preserve">1. IV </w:t>
      </w:r>
      <w:r>
        <w:rPr>
          <w:rFonts w:hint="eastAsia"/>
        </w:rPr>
        <w:t>平均數之財務意義</w:t>
      </w:r>
    </w:p>
    <w:p w14:paraId="1D70E5BB" w14:textId="59B2F021" w:rsidR="00A4763F" w:rsidRDefault="00A4763F" w:rsidP="00A4763F">
      <w:pPr>
        <w:rPr>
          <w:rFonts w:hint="eastAsia"/>
        </w:rPr>
      </w:pPr>
      <w:r>
        <w:rPr>
          <w:rFonts w:hint="eastAsia"/>
        </w:rPr>
        <w:t>由</w:t>
      </w:r>
      <w:r>
        <w:rPr>
          <w:rFonts w:hint="eastAsia"/>
        </w:rPr>
        <w:t xml:space="preserve"> 1 </w:t>
      </w:r>
      <w:r>
        <w:rPr>
          <w:rFonts w:hint="eastAsia"/>
        </w:rPr>
        <w:t>月初數據可觀察到，看跌投資人之</w:t>
      </w:r>
      <w:r>
        <w:rPr>
          <w:rFonts w:hint="eastAsia"/>
        </w:rPr>
        <w:t xml:space="preserve"> IV </w:t>
      </w:r>
      <w:r>
        <w:rPr>
          <w:rFonts w:hint="eastAsia"/>
        </w:rPr>
        <w:t>平均數（如</w:t>
      </w:r>
      <w:r>
        <w:rPr>
          <w:rFonts w:hint="eastAsia"/>
        </w:rPr>
        <w:t xml:space="preserve"> 1/9 </w:t>
      </w:r>
      <w:r>
        <w:rPr>
          <w:rFonts w:hint="eastAsia"/>
        </w:rPr>
        <w:t>為</w:t>
      </w:r>
      <w:r>
        <w:rPr>
          <w:rFonts w:hint="eastAsia"/>
        </w:rPr>
        <w:t xml:space="preserve"> 12.55%</w:t>
      </w:r>
      <w:r>
        <w:rPr>
          <w:rFonts w:hint="eastAsia"/>
        </w:rPr>
        <w:t>）長期高於看漲投資人（</w:t>
      </w:r>
      <w:r>
        <w:rPr>
          <w:rFonts w:hint="eastAsia"/>
        </w:rPr>
        <w:t>4.56%</w:t>
      </w:r>
      <w:r>
        <w:rPr>
          <w:rFonts w:hint="eastAsia"/>
        </w:rPr>
        <w:t>）。這在財務面上表示市場對下跌風險要求較高的風險補償，反映避險</w:t>
      </w:r>
      <w:proofErr w:type="gramStart"/>
      <w:r>
        <w:rPr>
          <w:rFonts w:hint="eastAsia"/>
        </w:rPr>
        <w:t>需求偏強</w:t>
      </w:r>
      <w:proofErr w:type="gramEnd"/>
      <w:r>
        <w:rPr>
          <w:rFonts w:hint="eastAsia"/>
        </w:rPr>
        <w:t>。</w:t>
      </w:r>
    </w:p>
    <w:p w14:paraId="0F29FAF9" w14:textId="77777777" w:rsidR="00A4763F" w:rsidRDefault="00A4763F" w:rsidP="00A4763F"/>
    <w:p w14:paraId="588DD33C" w14:textId="40B30D70" w:rsidR="00A4763F" w:rsidRDefault="00A4763F" w:rsidP="00A4763F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樣本標準差與分歧程度</w:t>
      </w:r>
    </w:p>
    <w:p w14:paraId="53ED8827" w14:textId="0816FEA3" w:rsidR="00A4763F" w:rsidRDefault="00A4763F" w:rsidP="00A4763F">
      <w:pPr>
        <w:rPr>
          <w:rFonts w:hint="eastAsia"/>
        </w:rPr>
      </w:pPr>
      <w:r>
        <w:rPr>
          <w:rFonts w:hint="eastAsia"/>
        </w:rPr>
        <w:t>當某些日期（如</w:t>
      </w:r>
      <w:r>
        <w:rPr>
          <w:rFonts w:hint="eastAsia"/>
        </w:rPr>
        <w:t xml:space="preserve"> 1/17</w:t>
      </w:r>
      <w:r>
        <w:rPr>
          <w:rFonts w:hint="eastAsia"/>
        </w:rPr>
        <w:t>）的</w:t>
      </w:r>
      <w:r>
        <w:rPr>
          <w:rFonts w:hint="eastAsia"/>
        </w:rPr>
        <w:t xml:space="preserve"> IV </w:t>
      </w:r>
      <w:r>
        <w:rPr>
          <w:rFonts w:hint="eastAsia"/>
        </w:rPr>
        <w:t>樣本標準差較大時，代表市場在利空或不確定性增加時，投資人對於未來下跌風險的評價更為分散。</w:t>
      </w:r>
    </w:p>
    <w:p w14:paraId="5A8D1476" w14:textId="77777777" w:rsidR="00A4763F" w:rsidRDefault="00A4763F" w:rsidP="00A4763F"/>
    <w:p w14:paraId="7156D9F7" w14:textId="6D9A40CE" w:rsidR="00A4763F" w:rsidRDefault="007015EC" w:rsidP="00A4763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 xml:space="preserve">. </w:t>
      </w:r>
      <w:r w:rsidR="00A4763F">
        <w:rPr>
          <w:rFonts w:hint="eastAsia"/>
        </w:rPr>
        <w:t xml:space="preserve">PCR </w:t>
      </w:r>
      <w:r w:rsidR="00A4763F">
        <w:rPr>
          <w:rFonts w:hint="eastAsia"/>
        </w:rPr>
        <w:t>與綜合解讀</w:t>
      </w:r>
    </w:p>
    <w:p w14:paraId="2BF4D689" w14:textId="682B8DA6" w:rsidR="00A4763F" w:rsidRDefault="00A4763F" w:rsidP="00A4763F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1 </w:t>
      </w:r>
      <w:r>
        <w:rPr>
          <w:rFonts w:hint="eastAsia"/>
        </w:rPr>
        <w:t>月</w:t>
      </w:r>
      <w:r>
        <w:rPr>
          <w:rFonts w:hint="eastAsia"/>
        </w:rPr>
        <w:t xml:space="preserve"> 9 </w:t>
      </w:r>
      <w:r>
        <w:rPr>
          <w:rFonts w:hint="eastAsia"/>
        </w:rPr>
        <w:t>日觀察到</w:t>
      </w:r>
      <w:r>
        <w:rPr>
          <w:rFonts w:hint="eastAsia"/>
        </w:rPr>
        <w:t xml:space="preserve"> Put IV </w:t>
      </w:r>
      <w:r>
        <w:rPr>
          <w:rFonts w:hint="eastAsia"/>
        </w:rPr>
        <w:t>平均與</w:t>
      </w:r>
      <w:r>
        <w:rPr>
          <w:rFonts w:hint="eastAsia"/>
        </w:rPr>
        <w:t xml:space="preserve"> PCR </w:t>
      </w:r>
      <w:r>
        <w:rPr>
          <w:rFonts w:hint="eastAsia"/>
        </w:rPr>
        <w:t>同步偏高（</w:t>
      </w:r>
      <w:r>
        <w:rPr>
          <w:rFonts w:hint="eastAsia"/>
        </w:rPr>
        <w:t>PCR=1.788</w:t>
      </w:r>
      <w:r>
        <w:rPr>
          <w:rFonts w:hint="eastAsia"/>
        </w:rPr>
        <w:t>），這在綜合</w:t>
      </w:r>
      <w:proofErr w:type="gramStart"/>
      <w:r>
        <w:rPr>
          <w:rFonts w:hint="eastAsia"/>
        </w:rPr>
        <w:t>解讀上可</w:t>
      </w:r>
      <w:proofErr w:type="gramEnd"/>
      <w:r>
        <w:rPr>
          <w:rFonts w:hint="eastAsia"/>
        </w:rPr>
        <w:t>視為市場對下跌風險定價升高且避險需求強烈增強的警訊。</w:t>
      </w:r>
    </w:p>
    <w:p w14:paraId="6AD71EB5" w14:textId="77777777" w:rsidR="00A4763F" w:rsidRDefault="00A4763F" w:rsidP="00A4763F"/>
    <w:p w14:paraId="59C1F6E5" w14:textId="4B3BB90C" w:rsidR="00A4763F" w:rsidRDefault="00A4763F" w:rsidP="00A4763F">
      <w:pPr>
        <w:rPr>
          <w:rFonts w:hint="eastAsia"/>
        </w:rPr>
      </w:pPr>
      <w:r>
        <w:rPr>
          <w:rFonts w:hint="eastAsia"/>
        </w:rPr>
        <w:t>五、</w:t>
      </w:r>
      <w:r>
        <w:rPr>
          <w:rFonts w:hint="eastAsia"/>
        </w:rPr>
        <w:t xml:space="preserve"> </w:t>
      </w:r>
      <w:r>
        <w:rPr>
          <w:rFonts w:hint="eastAsia"/>
        </w:rPr>
        <w:t>結論與反思</w:t>
      </w:r>
    </w:p>
    <w:p w14:paraId="4253D09A" w14:textId="77777777" w:rsidR="003D50A2" w:rsidRDefault="00A4763F" w:rsidP="00A4763F">
      <w:pPr>
        <w:pStyle w:val="a9"/>
        <w:numPr>
          <w:ilvl w:val="0"/>
          <w:numId w:val="4"/>
        </w:numPr>
      </w:pPr>
      <w:r>
        <w:rPr>
          <w:rFonts w:hint="eastAsia"/>
        </w:rPr>
        <w:t>統計面：本報告嚴格採用樣本標準差公式，以反映每日樣本觀測值的真實離散程度。</w:t>
      </w:r>
    </w:p>
    <w:p w14:paraId="144724EB" w14:textId="0000627F" w:rsidR="003C11BF" w:rsidRDefault="00A4763F" w:rsidP="00A4763F">
      <w:pPr>
        <w:pStyle w:val="a9"/>
        <w:numPr>
          <w:ilvl w:val="0"/>
          <w:numId w:val="4"/>
        </w:numPr>
      </w:pPr>
      <w:r>
        <w:rPr>
          <w:rFonts w:hint="eastAsia"/>
        </w:rPr>
        <w:t>財務面：</w:t>
      </w:r>
      <w:r>
        <w:rPr>
          <w:rFonts w:hint="eastAsia"/>
        </w:rPr>
        <w:t xml:space="preserve">2023 </w:t>
      </w:r>
      <w:r>
        <w:rPr>
          <w:rFonts w:hint="eastAsia"/>
        </w:rPr>
        <w:t>年度的資料處理顯示，透過</w:t>
      </w:r>
      <w:r>
        <w:rPr>
          <w:rFonts w:hint="eastAsia"/>
        </w:rPr>
        <w:t xml:space="preserve"> IV </w:t>
      </w:r>
      <w:r>
        <w:rPr>
          <w:rFonts w:hint="eastAsia"/>
        </w:rPr>
        <w:t>與</w:t>
      </w:r>
      <w:r>
        <w:rPr>
          <w:rFonts w:hint="eastAsia"/>
        </w:rPr>
        <w:t xml:space="preserve"> PCR </w:t>
      </w:r>
      <w:r>
        <w:rPr>
          <w:rFonts w:hint="eastAsia"/>
        </w:rPr>
        <w:t>的交叉比對，能更審慎地區分市場是「單純波動預期上升」還是「特定的偏多</w:t>
      </w:r>
      <w:r>
        <w:rPr>
          <w:rFonts w:hint="eastAsia"/>
        </w:rPr>
        <w:t>/</w:t>
      </w:r>
      <w:r>
        <w:rPr>
          <w:rFonts w:hint="eastAsia"/>
        </w:rPr>
        <w:t>偏空情緒升高」。</w:t>
      </w:r>
    </w:p>
    <w:sectPr w:rsidR="003C11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914A8"/>
    <w:multiLevelType w:val="hybridMultilevel"/>
    <w:tmpl w:val="50FE74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A371366"/>
    <w:multiLevelType w:val="hybridMultilevel"/>
    <w:tmpl w:val="B95C8436"/>
    <w:lvl w:ilvl="0" w:tplc="6D7C9DC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6E1E4CCB"/>
    <w:multiLevelType w:val="hybridMultilevel"/>
    <w:tmpl w:val="CF4643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8DB3E2C"/>
    <w:multiLevelType w:val="hybridMultilevel"/>
    <w:tmpl w:val="A22AA9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54230929">
    <w:abstractNumId w:val="0"/>
  </w:num>
  <w:num w:numId="2" w16cid:durableId="720515958">
    <w:abstractNumId w:val="2"/>
  </w:num>
  <w:num w:numId="3" w16cid:durableId="938878826">
    <w:abstractNumId w:val="1"/>
  </w:num>
  <w:num w:numId="4" w16cid:durableId="173039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3F"/>
    <w:rsid w:val="00022515"/>
    <w:rsid w:val="00192E12"/>
    <w:rsid w:val="003C11BF"/>
    <w:rsid w:val="003D50A2"/>
    <w:rsid w:val="00452AFF"/>
    <w:rsid w:val="007015EC"/>
    <w:rsid w:val="00A4763F"/>
    <w:rsid w:val="00A92662"/>
    <w:rsid w:val="00B95C99"/>
    <w:rsid w:val="00ED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562C"/>
  <w15:chartTrackingRefBased/>
  <w15:docId w15:val="{D4962C6C-1320-4828-82B4-FD1047BE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6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63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63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63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63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63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63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763F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A476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A4763F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A476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A4763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763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763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763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76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6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A476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476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A476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4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76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6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6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76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7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奕如 陳</dc:creator>
  <cp:keywords/>
  <dc:description/>
  <cp:lastModifiedBy>奕如 陳</cp:lastModifiedBy>
  <cp:revision>1</cp:revision>
  <dcterms:created xsi:type="dcterms:W3CDTF">2026-04-30T12:51:00Z</dcterms:created>
  <dcterms:modified xsi:type="dcterms:W3CDTF">2026-04-30T13:31:00Z</dcterms:modified>
</cp:coreProperties>
</file>