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799EB1" w14:textId="77777777" w:rsidR="008C4362" w:rsidRDefault="008C4362" w:rsidP="008C4362">
      <w:pPr>
        <w:ind w:firstLine="480"/>
        <w:jc w:val="center"/>
      </w:pPr>
    </w:p>
    <w:p w14:paraId="1EDDB1A1" w14:textId="77777777" w:rsidR="008C4362" w:rsidRDefault="008C4362" w:rsidP="008C4362">
      <w:pPr>
        <w:ind w:firstLine="480"/>
        <w:jc w:val="center"/>
      </w:pPr>
    </w:p>
    <w:p w14:paraId="07075512" w14:textId="77777777" w:rsidR="008C4362" w:rsidRDefault="008C4362" w:rsidP="008C4362">
      <w:pPr>
        <w:ind w:firstLine="480"/>
        <w:jc w:val="center"/>
      </w:pPr>
    </w:p>
    <w:p w14:paraId="5492621E" w14:textId="77777777" w:rsidR="008C4362" w:rsidRDefault="008C4362" w:rsidP="008C4362">
      <w:pPr>
        <w:ind w:firstLine="480"/>
        <w:jc w:val="center"/>
      </w:pPr>
    </w:p>
    <w:p w14:paraId="0FDC7231" w14:textId="77777777" w:rsidR="008C4362" w:rsidRDefault="008C4362" w:rsidP="008C4362">
      <w:pPr>
        <w:ind w:firstLine="480"/>
        <w:jc w:val="center"/>
      </w:pPr>
    </w:p>
    <w:p w14:paraId="7330017B" w14:textId="77777777" w:rsidR="0005576E" w:rsidRDefault="005F6BDD" w:rsidP="0005576E">
      <w:pPr>
        <w:ind w:firstLine="480"/>
        <w:jc w:val="center"/>
      </w:pPr>
      <w:r>
        <w:rPr>
          <w:rFonts w:hint="eastAsia"/>
        </w:rPr>
        <w:t>運用</w:t>
      </w:r>
      <w:r>
        <w:rPr>
          <w:rFonts w:hint="eastAsia"/>
        </w:rPr>
        <w:t xml:space="preserve"> AI </w:t>
      </w:r>
      <w:r>
        <w:rPr>
          <w:rFonts w:hint="eastAsia"/>
        </w:rPr>
        <w:t>協助建構</w:t>
      </w:r>
    </w:p>
    <w:p w14:paraId="5AE99C9F" w14:textId="0F957180" w:rsidR="008C4362" w:rsidRDefault="0005576E" w:rsidP="0005576E">
      <w:pPr>
        <w:ind w:firstLine="480"/>
        <w:jc w:val="center"/>
      </w:pPr>
      <w:r w:rsidRPr="00A86FF2">
        <w:t>跨越</w:t>
      </w:r>
      <w:proofErr w:type="gramStart"/>
      <w:r w:rsidRPr="00A86FF2">
        <w:t>疫情與</w:t>
      </w:r>
      <w:proofErr w:type="gramEnd"/>
      <w:r w:rsidRPr="00A86FF2">
        <w:t>復甦：</w:t>
      </w:r>
      <w:r w:rsidRPr="00A86FF2">
        <w:t>2021-2024</w:t>
      </w:r>
      <w:r w:rsidRPr="00A86FF2">
        <w:t>年</w:t>
      </w:r>
      <w:proofErr w:type="gramStart"/>
      <w:r w:rsidRPr="00A86FF2">
        <w:t>臺</w:t>
      </w:r>
      <w:proofErr w:type="gramEnd"/>
      <w:r w:rsidRPr="00A86FF2">
        <w:t>指選擇權隱含波動率與市場情緒之整合分析</w:t>
      </w:r>
    </w:p>
    <w:p w14:paraId="6FB5E826" w14:textId="77777777" w:rsidR="005F6BDD" w:rsidRPr="005F6BDD" w:rsidRDefault="005F6BDD" w:rsidP="008C4362">
      <w:pPr>
        <w:ind w:firstLine="480"/>
        <w:jc w:val="center"/>
      </w:pPr>
    </w:p>
    <w:p w14:paraId="65E160C9" w14:textId="77777777" w:rsidR="008C4362" w:rsidRDefault="008C4362" w:rsidP="008C4362">
      <w:pPr>
        <w:ind w:firstLine="480"/>
        <w:jc w:val="center"/>
      </w:pPr>
    </w:p>
    <w:p w14:paraId="2E51C0EB" w14:textId="77777777" w:rsidR="008C4362" w:rsidRDefault="008C4362" w:rsidP="008C4362">
      <w:pPr>
        <w:ind w:firstLine="480"/>
        <w:jc w:val="center"/>
      </w:pPr>
    </w:p>
    <w:p w14:paraId="2EF8C2AE" w14:textId="77777777" w:rsidR="008C4362" w:rsidRDefault="008C4362" w:rsidP="008C4362">
      <w:pPr>
        <w:ind w:firstLine="480"/>
        <w:jc w:val="center"/>
      </w:pPr>
    </w:p>
    <w:p w14:paraId="156B8887" w14:textId="77777777" w:rsidR="008C4362" w:rsidRDefault="008C4362" w:rsidP="008C4362">
      <w:pPr>
        <w:ind w:firstLine="480"/>
        <w:jc w:val="center"/>
      </w:pPr>
    </w:p>
    <w:p w14:paraId="057AF3E9" w14:textId="77777777" w:rsidR="005F6BDD" w:rsidRDefault="005F6BDD" w:rsidP="005F6BDD">
      <w:pPr>
        <w:ind w:firstLine="480"/>
        <w:jc w:val="center"/>
      </w:pPr>
      <w:r>
        <w:rPr>
          <w:rFonts w:hint="eastAsia"/>
        </w:rPr>
        <w:t>課程名稱：</w:t>
      </w:r>
      <w:r w:rsidRPr="005F6BDD">
        <w:t>金融資料探</w:t>
      </w:r>
      <w:proofErr w:type="gramStart"/>
      <w:r w:rsidRPr="005F6BDD">
        <w:t>勘</w:t>
      </w:r>
      <w:proofErr w:type="gramEnd"/>
    </w:p>
    <w:p w14:paraId="72550571" w14:textId="77777777" w:rsidR="005F6BDD" w:rsidRDefault="005F6BDD" w:rsidP="005F6BDD">
      <w:pPr>
        <w:ind w:firstLine="480"/>
        <w:jc w:val="center"/>
      </w:pPr>
      <w:r>
        <w:rPr>
          <w:rFonts w:hint="eastAsia"/>
        </w:rPr>
        <w:t>作業名稱：</w:t>
      </w:r>
    </w:p>
    <w:p w14:paraId="0D85859A" w14:textId="77777777" w:rsidR="0005576E" w:rsidRDefault="0005576E" w:rsidP="0005576E">
      <w:pPr>
        <w:ind w:firstLine="480"/>
        <w:jc w:val="center"/>
      </w:pPr>
      <w:r>
        <w:rPr>
          <w:rFonts w:hint="eastAsia"/>
        </w:rPr>
        <w:t>運用</w:t>
      </w:r>
      <w:r>
        <w:rPr>
          <w:rFonts w:hint="eastAsia"/>
        </w:rPr>
        <w:t xml:space="preserve"> AI </w:t>
      </w:r>
      <w:r>
        <w:rPr>
          <w:rFonts w:hint="eastAsia"/>
        </w:rPr>
        <w:t>協助建構</w:t>
      </w:r>
    </w:p>
    <w:p w14:paraId="56631C9E" w14:textId="77777777" w:rsidR="0005576E" w:rsidRDefault="0005576E" w:rsidP="0005576E">
      <w:pPr>
        <w:ind w:firstLine="480"/>
        <w:jc w:val="center"/>
      </w:pPr>
      <w:r w:rsidRPr="00A86FF2">
        <w:t>跨越</w:t>
      </w:r>
      <w:proofErr w:type="gramStart"/>
      <w:r w:rsidRPr="00A86FF2">
        <w:t>疫情與</w:t>
      </w:r>
      <w:proofErr w:type="gramEnd"/>
      <w:r w:rsidRPr="00A86FF2">
        <w:t>復甦：</w:t>
      </w:r>
      <w:r w:rsidRPr="00A86FF2">
        <w:t>2021-2024</w:t>
      </w:r>
      <w:r w:rsidRPr="00A86FF2">
        <w:t>年</w:t>
      </w:r>
      <w:proofErr w:type="gramStart"/>
      <w:r w:rsidRPr="00A86FF2">
        <w:t>臺</w:t>
      </w:r>
      <w:proofErr w:type="gramEnd"/>
      <w:r w:rsidRPr="00A86FF2">
        <w:t>指選擇權隱含波動率與市場情緒之整合分析</w:t>
      </w:r>
    </w:p>
    <w:p w14:paraId="36620DA2" w14:textId="77777777" w:rsidR="00A86FF2" w:rsidRPr="00A86FF2" w:rsidRDefault="00A86FF2" w:rsidP="00A86FF2">
      <w:pPr>
        <w:ind w:firstLine="480"/>
        <w:jc w:val="center"/>
      </w:pPr>
      <w:r w:rsidRPr="00A86FF2">
        <w:t>組員</w:t>
      </w:r>
      <w:r w:rsidRPr="00A86FF2">
        <w:t xml:space="preserve"> </w:t>
      </w:r>
      <w:r w:rsidRPr="00A86FF2">
        <w:t>譚君立：</w:t>
      </w:r>
      <w:r w:rsidRPr="00A86FF2">
        <w:t xml:space="preserve"> </w:t>
      </w:r>
      <w:r w:rsidRPr="00A86FF2">
        <w:t>負責</w:t>
      </w:r>
      <w:r w:rsidRPr="00A86FF2">
        <w:t xml:space="preserve"> 2021 </w:t>
      </w:r>
      <w:r w:rsidRPr="00A86FF2">
        <w:t>年度</w:t>
      </w:r>
    </w:p>
    <w:p w14:paraId="6AB1CCA7" w14:textId="77777777" w:rsidR="00A86FF2" w:rsidRPr="00A86FF2" w:rsidRDefault="00A86FF2" w:rsidP="00A86FF2">
      <w:pPr>
        <w:ind w:firstLine="480"/>
        <w:jc w:val="center"/>
      </w:pPr>
      <w:r w:rsidRPr="00A86FF2">
        <w:t>組員</w:t>
      </w:r>
      <w:r w:rsidRPr="00A86FF2">
        <w:t xml:space="preserve"> </w:t>
      </w:r>
      <w:r w:rsidRPr="00A86FF2">
        <w:t>郭洪凱：</w:t>
      </w:r>
      <w:r w:rsidRPr="00A86FF2">
        <w:t xml:space="preserve"> </w:t>
      </w:r>
      <w:r w:rsidRPr="00A86FF2">
        <w:t>負責</w:t>
      </w:r>
      <w:r w:rsidRPr="00A86FF2">
        <w:t xml:space="preserve"> 2022 </w:t>
      </w:r>
      <w:r w:rsidRPr="00A86FF2">
        <w:t>年度</w:t>
      </w:r>
    </w:p>
    <w:p w14:paraId="4205037A" w14:textId="77777777" w:rsidR="00A86FF2" w:rsidRPr="00A86FF2" w:rsidRDefault="00A86FF2" w:rsidP="00A86FF2">
      <w:pPr>
        <w:ind w:firstLine="480"/>
        <w:jc w:val="center"/>
      </w:pPr>
      <w:r w:rsidRPr="00A86FF2">
        <w:t>組員</w:t>
      </w:r>
      <w:r w:rsidRPr="00A86FF2">
        <w:t xml:space="preserve"> </w:t>
      </w:r>
      <w:r w:rsidRPr="00A86FF2">
        <w:t>郭榮恩：</w:t>
      </w:r>
      <w:r w:rsidRPr="00A86FF2">
        <w:t xml:space="preserve"> </w:t>
      </w:r>
      <w:r w:rsidRPr="00A86FF2">
        <w:t>負責</w:t>
      </w:r>
      <w:r w:rsidRPr="00A86FF2">
        <w:t xml:space="preserve"> 2023 </w:t>
      </w:r>
      <w:r w:rsidRPr="00A86FF2">
        <w:t>年度</w:t>
      </w:r>
    </w:p>
    <w:p w14:paraId="55632CDF" w14:textId="77777777" w:rsidR="00A86FF2" w:rsidRPr="00A86FF2" w:rsidRDefault="00A86FF2" w:rsidP="00A86FF2">
      <w:pPr>
        <w:ind w:firstLine="480"/>
        <w:jc w:val="center"/>
      </w:pPr>
      <w:r w:rsidRPr="00A86FF2">
        <w:t>組員</w:t>
      </w:r>
      <w:r w:rsidRPr="00A86FF2">
        <w:t xml:space="preserve"> </w:t>
      </w:r>
      <w:r w:rsidRPr="00A86FF2">
        <w:t>楊盛凱：</w:t>
      </w:r>
      <w:r w:rsidRPr="00A86FF2">
        <w:t xml:space="preserve"> </w:t>
      </w:r>
      <w:r w:rsidRPr="00A86FF2">
        <w:t>負責</w:t>
      </w:r>
      <w:r w:rsidRPr="00A86FF2">
        <w:t xml:space="preserve"> 2024 </w:t>
      </w:r>
      <w:r w:rsidRPr="00A86FF2">
        <w:t>年度</w:t>
      </w:r>
    </w:p>
    <w:p w14:paraId="3CA2B35D" w14:textId="7D2679D8" w:rsidR="005F6BDD" w:rsidRDefault="005F6BDD" w:rsidP="005F6BDD">
      <w:pPr>
        <w:ind w:firstLine="480"/>
        <w:jc w:val="center"/>
      </w:pPr>
      <w:r>
        <w:rPr>
          <w:rFonts w:hint="eastAsia"/>
        </w:rPr>
        <w:t>組別：</w:t>
      </w:r>
      <w:r w:rsidR="000F6FC0" w:rsidRPr="000F6FC0">
        <w:t>第</w:t>
      </w:r>
      <w:r w:rsidR="000F6FC0" w:rsidRPr="000F6FC0">
        <w:t>5</w:t>
      </w:r>
      <w:r w:rsidR="000F6FC0" w:rsidRPr="000F6FC0">
        <w:t>組</w:t>
      </w:r>
    </w:p>
    <w:p w14:paraId="3CFDB828" w14:textId="10A67073" w:rsidR="008C4362" w:rsidRDefault="005F6BDD" w:rsidP="005F6BDD">
      <w:pPr>
        <w:ind w:firstLine="480"/>
        <w:jc w:val="center"/>
        <w:rPr>
          <w:rFonts w:hint="eastAsia"/>
        </w:rPr>
        <w:sectPr w:rsidR="008C4362" w:rsidSect="008C4362">
          <w:footerReference w:type="default" r:id="rId8"/>
          <w:pgSz w:w="11906" w:h="16838"/>
          <w:pgMar w:top="1418" w:right="1418" w:bottom="1559" w:left="1418" w:header="851" w:footer="992" w:gutter="0"/>
          <w:pgNumType w:start="0"/>
          <w:cols w:space="425"/>
          <w:titlePg/>
          <w:docGrid w:type="lines" w:linePitch="360"/>
        </w:sectPr>
      </w:pPr>
      <w:r>
        <w:rPr>
          <w:rFonts w:hint="eastAsia"/>
        </w:rPr>
        <w:t>繳交日期：</w:t>
      </w:r>
      <w:r>
        <w:rPr>
          <w:rFonts w:hint="eastAsia"/>
        </w:rPr>
        <w:t>4/</w:t>
      </w:r>
      <w:r w:rsidR="00A86FF2">
        <w:rPr>
          <w:rFonts w:hint="eastAsia"/>
        </w:rPr>
        <w:t>30</w:t>
      </w:r>
    </w:p>
    <w:p w14:paraId="060725E3" w14:textId="416DB589" w:rsidR="00DD0E96" w:rsidRPr="002F2597" w:rsidRDefault="002F2597" w:rsidP="00DD0E96">
      <w:pPr>
        <w:pStyle w:val="1"/>
      </w:pPr>
      <w:r>
        <w:rPr>
          <w:rFonts w:hint="eastAsia"/>
        </w:rPr>
        <w:lastRenderedPageBreak/>
        <w:t>第一章</w:t>
      </w:r>
      <w:r>
        <w:rPr>
          <w:rFonts w:hint="eastAsia"/>
        </w:rPr>
        <w:t xml:space="preserve"> </w:t>
      </w:r>
      <w:r w:rsidR="00A86FF2" w:rsidRPr="00A86FF2">
        <w:t>研究主題與研究動機</w:t>
      </w:r>
    </w:p>
    <w:p w14:paraId="1AB34F73" w14:textId="036D763F" w:rsidR="00DD0E96" w:rsidRDefault="00DD0E96" w:rsidP="00DD0E96">
      <w:pPr>
        <w:pStyle w:val="2"/>
        <w:spacing w:before="360"/>
      </w:pPr>
      <w:r>
        <w:rPr>
          <w:rFonts w:hint="eastAsia"/>
        </w:rPr>
        <w:t>1.1</w:t>
      </w:r>
      <w:r w:rsidR="00A86FF2" w:rsidRPr="00A86FF2">
        <w:t>研究主題</w:t>
      </w:r>
      <w:r w:rsidR="002F2597">
        <w:t xml:space="preserve"> </w:t>
      </w:r>
    </w:p>
    <w:p w14:paraId="779A2F1C" w14:textId="6CE7E0C9" w:rsidR="00A86FF2" w:rsidRPr="00A86FF2" w:rsidRDefault="00A86FF2" w:rsidP="00A86FF2">
      <w:pPr>
        <w:ind w:firstLine="480"/>
        <w:rPr>
          <w:rFonts w:hint="eastAsia"/>
        </w:rPr>
      </w:pPr>
      <w:r w:rsidRPr="00A86FF2">
        <w:t>本研究以「跨越</w:t>
      </w:r>
      <w:proofErr w:type="gramStart"/>
      <w:r w:rsidRPr="00A86FF2">
        <w:t>疫情與</w:t>
      </w:r>
      <w:proofErr w:type="gramEnd"/>
      <w:r w:rsidRPr="00A86FF2">
        <w:t>復甦：</w:t>
      </w:r>
      <w:r w:rsidRPr="00A86FF2">
        <w:t>2021-2024</w:t>
      </w:r>
      <w:r w:rsidRPr="00A86FF2">
        <w:t>年</w:t>
      </w:r>
      <w:proofErr w:type="gramStart"/>
      <w:r w:rsidRPr="00A86FF2">
        <w:t>臺</w:t>
      </w:r>
      <w:proofErr w:type="gramEnd"/>
      <w:r w:rsidRPr="00A86FF2">
        <w:t>指選擇權隱含波動率與市場情緒之整合分析」為題。透過分析</w:t>
      </w:r>
      <w:r w:rsidRPr="00A86FF2">
        <w:t xml:space="preserve"> 2021 </w:t>
      </w:r>
      <w:r w:rsidRPr="00A86FF2">
        <w:t>年至</w:t>
      </w:r>
      <w:r w:rsidRPr="00A86FF2">
        <w:t xml:space="preserve"> 2024 </w:t>
      </w:r>
      <w:r w:rsidRPr="00A86FF2">
        <w:t>年間，</w:t>
      </w:r>
      <w:proofErr w:type="gramStart"/>
      <w:r w:rsidRPr="00A86FF2">
        <w:t>臺</w:t>
      </w:r>
      <w:proofErr w:type="gramEnd"/>
      <w:r w:rsidRPr="00A86FF2">
        <w:t>指選擇權（</w:t>
      </w:r>
      <w:r w:rsidRPr="00A86FF2">
        <w:t>TXO</w:t>
      </w:r>
      <w:r w:rsidRPr="00A86FF2">
        <w:t>）逐筆交易資料所推算之每日隱含波動率（</w:t>
      </w:r>
      <w:r w:rsidRPr="00A86FF2">
        <w:t>Implied Volatility, IV</w:t>
      </w:r>
      <w:r w:rsidRPr="00A86FF2">
        <w:t>）及買賣權比（</w:t>
      </w:r>
      <w:r w:rsidRPr="00A86FF2">
        <w:t>Put/Call Ratio, PCR</w:t>
      </w:r>
      <w:r w:rsidRPr="00A86FF2">
        <w:t>），探討臺灣期權市場投資人在面對不同總體環境與系統性風險事件時的情緒變動與預期行為。</w:t>
      </w:r>
    </w:p>
    <w:p w14:paraId="6FC411E4" w14:textId="50AAB090" w:rsidR="00DD0E96" w:rsidRDefault="00FF5D8E" w:rsidP="005F6BDD">
      <w:pPr>
        <w:pStyle w:val="2"/>
        <w:spacing w:before="360"/>
      </w:pPr>
      <w:r>
        <w:rPr>
          <w:rFonts w:hint="eastAsia"/>
        </w:rPr>
        <w:t xml:space="preserve">1.2 </w:t>
      </w:r>
      <w:r w:rsidR="00A86FF2" w:rsidRPr="00A86FF2">
        <w:t>研究動機</w:t>
      </w:r>
    </w:p>
    <w:p w14:paraId="30AE9DD8" w14:textId="10CD256D" w:rsidR="00A86FF2" w:rsidRPr="00A86FF2" w:rsidRDefault="00A86FF2" w:rsidP="00A86FF2">
      <w:pPr>
        <w:ind w:firstLine="480"/>
      </w:pPr>
      <w:r w:rsidRPr="00A86FF2">
        <w:t>選擇</w:t>
      </w:r>
      <w:r w:rsidRPr="00A86FF2">
        <w:t xml:space="preserve"> 2021 </w:t>
      </w:r>
      <w:r w:rsidRPr="00A86FF2">
        <w:t>年至</w:t>
      </w:r>
      <w:r w:rsidRPr="00A86FF2">
        <w:t xml:space="preserve"> 2024 </w:t>
      </w:r>
      <w:r w:rsidRPr="00A86FF2">
        <w:t>年作為連續四年的研究區間，基於以下三點財務動機：</w:t>
      </w:r>
    </w:p>
    <w:p w14:paraId="35EA3339" w14:textId="4AF1A4E0" w:rsidR="00A86FF2" w:rsidRPr="00A86FF2" w:rsidRDefault="00A86FF2" w:rsidP="00A86FF2">
      <w:pPr>
        <w:numPr>
          <w:ilvl w:val="0"/>
          <w:numId w:val="21"/>
        </w:numPr>
        <w:ind w:firstLine="480"/>
      </w:pPr>
      <w:r w:rsidRPr="00A86FF2">
        <w:rPr>
          <w:b/>
          <w:bCs/>
        </w:rPr>
        <w:t>極端風險事件與市場定價能力的對比</w:t>
      </w:r>
      <w:r w:rsidRPr="00A86FF2">
        <w:t>：</w:t>
      </w:r>
      <w:r w:rsidRPr="00A86FF2">
        <w:t xml:space="preserve"> 2021 </w:t>
      </w:r>
      <w:r w:rsidRPr="00A86FF2">
        <w:t>年</w:t>
      </w:r>
      <w:proofErr w:type="gramStart"/>
      <w:r w:rsidRPr="00A86FF2">
        <w:t>處於新冠肺炎</w:t>
      </w:r>
      <w:proofErr w:type="gramEnd"/>
      <w:r w:rsidRPr="00A86FF2">
        <w:t>（</w:t>
      </w:r>
      <w:r w:rsidRPr="00A86FF2">
        <w:t>COVID-19</w:t>
      </w:r>
      <w:r w:rsidRPr="00A86FF2">
        <w:t>）</w:t>
      </w:r>
      <w:proofErr w:type="gramStart"/>
      <w:r w:rsidRPr="00A86FF2">
        <w:t>疫</w:t>
      </w:r>
      <w:proofErr w:type="gramEnd"/>
      <w:r w:rsidRPr="00A86FF2">
        <w:t>情衝擊最劇烈、市場恐慌情緒反覆的階段；而</w:t>
      </w:r>
      <w:r w:rsidRPr="00A86FF2">
        <w:t xml:space="preserve"> 2024 </w:t>
      </w:r>
      <w:r w:rsidRPr="00A86FF2">
        <w:t>年則進入後</w:t>
      </w:r>
      <w:proofErr w:type="gramStart"/>
      <w:r w:rsidRPr="00A86FF2">
        <w:t>疫</w:t>
      </w:r>
      <w:proofErr w:type="gramEnd"/>
      <w:r w:rsidRPr="00A86FF2">
        <w:t>情時代，市場關注焦點轉向通膨、降息預期與</w:t>
      </w:r>
      <w:r w:rsidRPr="00A86FF2">
        <w:t xml:space="preserve"> AI </w:t>
      </w:r>
      <w:r w:rsidRPr="00A86FF2">
        <w:t>產業帶動的景氣復甦。本研究欲探討投資人在「</w:t>
      </w:r>
      <w:proofErr w:type="gramStart"/>
      <w:r w:rsidRPr="00A86FF2">
        <w:t>疫</w:t>
      </w:r>
      <w:proofErr w:type="gramEnd"/>
      <w:r w:rsidRPr="00A86FF2">
        <w:t>情爆發期」與「景氣復甦期」對未來風險預期的評價差異</w:t>
      </w:r>
    </w:p>
    <w:p w14:paraId="74BBDDAE" w14:textId="342A043F" w:rsidR="00A86FF2" w:rsidRPr="00A86FF2" w:rsidRDefault="00A86FF2" w:rsidP="00A86FF2">
      <w:pPr>
        <w:numPr>
          <w:ilvl w:val="0"/>
          <w:numId w:val="21"/>
        </w:numPr>
        <w:ind w:firstLine="480"/>
      </w:pPr>
      <w:r w:rsidRPr="00A86FF2">
        <w:rPr>
          <w:b/>
          <w:bCs/>
        </w:rPr>
        <w:t>探討看漲與看跌投資人之風險溢價差異</w:t>
      </w:r>
      <w:r w:rsidRPr="00A86FF2">
        <w:t>：</w:t>
      </w:r>
      <w:r w:rsidRPr="00A86FF2">
        <w:t xml:space="preserve"> </w:t>
      </w:r>
      <w:r w:rsidRPr="00A86FF2">
        <w:t>隱含波動率反映了投資人對未來風險的評價。我們希望透過區分「看漲投資人（</w:t>
      </w:r>
      <w:r w:rsidRPr="00A86FF2">
        <w:t>Call</w:t>
      </w:r>
      <w:r w:rsidRPr="00A86FF2">
        <w:t>）」與「看跌投資人（</w:t>
      </w:r>
      <w:r w:rsidRPr="00A86FF2">
        <w:t>Put</w:t>
      </w:r>
      <w:r w:rsidRPr="00A86FF2">
        <w:t>）」的</w:t>
      </w:r>
      <w:r w:rsidRPr="00A86FF2">
        <w:t xml:space="preserve"> IV </w:t>
      </w:r>
      <w:proofErr w:type="gramStart"/>
      <w:r w:rsidRPr="00A86FF2">
        <w:t>均值與</w:t>
      </w:r>
      <w:proofErr w:type="gramEnd"/>
      <w:r w:rsidRPr="00A86FF2">
        <w:t>標準差，觀察在不同景氣循環下，避險買盤（</w:t>
      </w:r>
      <w:r w:rsidRPr="00A86FF2">
        <w:t>Put</w:t>
      </w:r>
      <w:r w:rsidRPr="00A86FF2">
        <w:t>）與套利買盤（</w:t>
      </w:r>
      <w:r w:rsidRPr="00A86FF2">
        <w:t>Call</w:t>
      </w:r>
      <w:r w:rsidRPr="00A86FF2">
        <w:t>）的成本波動，以及其對市場走勢的預測性。</w:t>
      </w:r>
    </w:p>
    <w:p w14:paraId="52BAD7E2" w14:textId="7AD19C65" w:rsidR="00A86FF2" w:rsidRPr="00A86FF2" w:rsidRDefault="00A86FF2" w:rsidP="00A86FF2">
      <w:pPr>
        <w:numPr>
          <w:ilvl w:val="0"/>
          <w:numId w:val="21"/>
        </w:numPr>
        <w:ind w:firstLine="480"/>
        <w:rPr>
          <w:rFonts w:hint="eastAsia"/>
        </w:rPr>
      </w:pPr>
      <w:r w:rsidRPr="00A86FF2">
        <w:rPr>
          <w:b/>
          <w:bCs/>
        </w:rPr>
        <w:t>結合</w:t>
      </w:r>
      <w:r w:rsidRPr="00A86FF2">
        <w:rPr>
          <w:b/>
          <w:bCs/>
        </w:rPr>
        <w:t xml:space="preserve"> PCR </w:t>
      </w:r>
      <w:r w:rsidRPr="00A86FF2">
        <w:rPr>
          <w:b/>
          <w:bCs/>
        </w:rPr>
        <w:t>情緒指標檢驗市場效率性</w:t>
      </w:r>
      <w:r w:rsidRPr="00A86FF2">
        <w:t>：</w:t>
      </w:r>
      <w:r w:rsidRPr="00A86FF2">
        <w:t xml:space="preserve"> Put/Call Ratio </w:t>
      </w:r>
      <w:r w:rsidRPr="00A86FF2">
        <w:t>作為衡量市場多空氛圍的重要指標，其與</w:t>
      </w:r>
      <w:r w:rsidRPr="00A86FF2">
        <w:t xml:space="preserve"> IV </w:t>
      </w:r>
      <w:r w:rsidRPr="00A86FF2">
        <w:t>的連動關係往往隱含市場轉折的訊號。本研究旨在透過這四年的完整數據，捕捉如</w:t>
      </w:r>
      <w:r w:rsidRPr="00A86FF2">
        <w:t xml:space="preserve"> 2024 </w:t>
      </w:r>
      <w:r w:rsidRPr="00A86FF2">
        <w:t>年</w:t>
      </w:r>
      <w:r w:rsidRPr="00A86FF2">
        <w:t xml:space="preserve"> 8 </w:t>
      </w:r>
      <w:r w:rsidRPr="00A86FF2">
        <w:t>月全球</w:t>
      </w:r>
      <w:proofErr w:type="gramStart"/>
      <w:r w:rsidRPr="00A86FF2">
        <w:t>股災等具</w:t>
      </w:r>
      <w:proofErr w:type="gramEnd"/>
      <w:r w:rsidRPr="00A86FF2">
        <w:t>代表性的時間點，驗證臺灣期權市場在面臨重大黑天鵝事件時，風險指標如何迅速修正並定價。</w:t>
      </w:r>
    </w:p>
    <w:p w14:paraId="7E4D5E84" w14:textId="792FF246" w:rsidR="005F6BDD" w:rsidRPr="005F6BDD" w:rsidRDefault="004470B9" w:rsidP="004470B9">
      <w:pPr>
        <w:widowControl/>
        <w:spacing w:after="160" w:line="278" w:lineRule="auto"/>
        <w:ind w:firstLineChars="0" w:firstLine="0"/>
      </w:pPr>
      <w:r>
        <w:br w:type="page"/>
      </w:r>
    </w:p>
    <w:p w14:paraId="260345D4" w14:textId="6FB6A602" w:rsidR="00FF5D8E" w:rsidRDefault="002F2597" w:rsidP="00FF5D8E">
      <w:pPr>
        <w:pStyle w:val="1"/>
        <w:rPr>
          <w:rFonts w:hint="eastAsia"/>
        </w:rPr>
      </w:pPr>
      <w:r>
        <w:rPr>
          <w:rFonts w:hint="eastAsia"/>
        </w:rPr>
        <w:lastRenderedPageBreak/>
        <w:t>第二章</w:t>
      </w:r>
      <w:r>
        <w:rPr>
          <w:rFonts w:hint="eastAsia"/>
        </w:rPr>
        <w:t xml:space="preserve"> </w:t>
      </w:r>
      <w:r w:rsidR="00A86FF2" w:rsidRPr="00A86FF2">
        <w:t>研究期間與分工說明</w:t>
      </w:r>
      <w:r w:rsidR="00A86FF2">
        <w:rPr>
          <w:rFonts w:hint="eastAsia"/>
        </w:rPr>
        <w:t>與</w:t>
      </w:r>
      <w:r w:rsidR="00A86FF2" w:rsidRPr="00A86FF2">
        <w:t>資料來源</w:t>
      </w:r>
    </w:p>
    <w:p w14:paraId="3971C49A" w14:textId="2BFED058" w:rsidR="00FF5D8E" w:rsidRDefault="00FF5D8E" w:rsidP="00FF5D8E">
      <w:pPr>
        <w:pStyle w:val="2"/>
        <w:spacing w:before="360"/>
      </w:pPr>
      <w:r>
        <w:rPr>
          <w:rFonts w:hint="eastAsia"/>
        </w:rPr>
        <w:t xml:space="preserve">2.1 </w:t>
      </w:r>
      <w:r w:rsidR="00A86FF2" w:rsidRPr="00A86FF2">
        <w:t>研究期間與組員分工</w:t>
      </w:r>
    </w:p>
    <w:p w14:paraId="7F0E44FC" w14:textId="5C7ED66D" w:rsidR="00A86FF2" w:rsidRDefault="00A86FF2" w:rsidP="00A86FF2">
      <w:pPr>
        <w:ind w:firstLine="480"/>
      </w:pPr>
    </w:p>
    <w:tbl>
      <w:tblPr>
        <w:tblW w:w="8619" w:type="dxa"/>
        <w:tblCellSpacing w:w="15" w:type="dxa"/>
        <w:tblCellMar>
          <w:left w:w="0" w:type="dxa"/>
          <w:right w:w="0" w:type="dxa"/>
        </w:tblCellMar>
        <w:tblLook w:val="04A0" w:firstRow="1" w:lastRow="0" w:firstColumn="1" w:lastColumn="0" w:noHBand="0" w:noVBand="1"/>
      </w:tblPr>
      <w:tblGrid>
        <w:gridCol w:w="1638"/>
        <w:gridCol w:w="1467"/>
        <w:gridCol w:w="1869"/>
        <w:gridCol w:w="3645"/>
      </w:tblGrid>
      <w:tr w:rsidR="00A86FF2" w:rsidRPr="00A86FF2" w14:paraId="1691EE4E" w14:textId="77777777" w:rsidTr="00A86FF2">
        <w:trPr>
          <w:trHeight w:val="1033"/>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B6F25E3" w14:textId="77777777" w:rsidR="00A86FF2" w:rsidRPr="00A86FF2" w:rsidRDefault="00A86FF2" w:rsidP="00A86FF2">
            <w:pPr>
              <w:ind w:firstLine="480"/>
            </w:pPr>
            <w:r w:rsidRPr="00A86FF2">
              <w:rPr>
                <w:b/>
                <w:bCs/>
              </w:rPr>
              <w:t>研究年度</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20D6DCC" w14:textId="77777777" w:rsidR="00A86FF2" w:rsidRPr="00A86FF2" w:rsidRDefault="00A86FF2" w:rsidP="00A86FF2">
            <w:pPr>
              <w:ind w:firstLine="480"/>
            </w:pPr>
            <w:r w:rsidRPr="00A86FF2">
              <w:rPr>
                <w:b/>
                <w:bCs/>
              </w:rPr>
              <w:t>負責組員</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83A2087" w14:textId="77777777" w:rsidR="00A86FF2" w:rsidRPr="00A86FF2" w:rsidRDefault="00A86FF2" w:rsidP="00A86FF2">
            <w:pPr>
              <w:ind w:firstLine="480"/>
            </w:pPr>
            <w:r w:rsidRPr="00A86FF2">
              <w:rPr>
                <w:b/>
                <w:bCs/>
              </w:rPr>
              <w:t>樣本筆數</w:t>
            </w:r>
            <w:r w:rsidRPr="00A86FF2">
              <w:rPr>
                <w:b/>
                <w:bCs/>
              </w:rPr>
              <w:t xml:space="preserve"> (</w:t>
            </w:r>
            <w:r w:rsidRPr="00A86FF2">
              <w:rPr>
                <w:b/>
                <w:bCs/>
              </w:rPr>
              <w:t>日</w:t>
            </w:r>
            <w:r w:rsidRPr="00A86FF2">
              <w:rPr>
                <w:b/>
                <w:bCs/>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8FE806F" w14:textId="77777777" w:rsidR="00A86FF2" w:rsidRPr="00A86FF2" w:rsidRDefault="00A86FF2" w:rsidP="00A86FF2">
            <w:pPr>
              <w:ind w:firstLine="480"/>
            </w:pPr>
            <w:r w:rsidRPr="00A86FF2">
              <w:rPr>
                <w:b/>
                <w:bCs/>
              </w:rPr>
              <w:t>關鍵檢核事項</w:t>
            </w:r>
          </w:p>
        </w:tc>
      </w:tr>
      <w:tr w:rsidR="00A86FF2" w:rsidRPr="00A86FF2" w14:paraId="3456E632" w14:textId="77777777" w:rsidTr="00A86FF2">
        <w:trPr>
          <w:trHeight w:val="1033"/>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76FE0DA" w14:textId="77777777" w:rsidR="00A86FF2" w:rsidRPr="00A86FF2" w:rsidRDefault="00A86FF2" w:rsidP="00A86FF2">
            <w:pPr>
              <w:ind w:firstLine="480"/>
            </w:pPr>
            <w:r w:rsidRPr="00A86FF2">
              <w:rPr>
                <w:b/>
                <w:bCs/>
              </w:rPr>
              <w:t xml:space="preserve">2021 </w:t>
            </w:r>
            <w:r w:rsidRPr="00A86FF2">
              <w:rPr>
                <w:b/>
                <w:bCs/>
              </w:rPr>
              <w:t>年度</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A120615" w14:textId="77777777" w:rsidR="00A86FF2" w:rsidRPr="00A86FF2" w:rsidRDefault="00A86FF2" w:rsidP="00A86FF2">
            <w:pPr>
              <w:ind w:firstLine="480"/>
            </w:pPr>
            <w:r w:rsidRPr="00A86FF2">
              <w:t>譚君立</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08002E9" w14:textId="77777777" w:rsidR="00A86FF2" w:rsidRPr="00A86FF2" w:rsidRDefault="00A86FF2" w:rsidP="00A86FF2">
            <w:pPr>
              <w:ind w:firstLine="480"/>
            </w:pPr>
            <w:r w:rsidRPr="00A86FF2">
              <w:t xml:space="preserve">244 </w:t>
            </w:r>
            <w:r w:rsidRPr="00A86FF2">
              <w:t>筆</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9FC6FBA" w14:textId="77777777" w:rsidR="00A86FF2" w:rsidRPr="00A86FF2" w:rsidRDefault="00A86FF2" w:rsidP="00A86FF2">
            <w:pPr>
              <w:ind w:firstLine="480"/>
            </w:pPr>
            <w:r w:rsidRPr="00A86FF2">
              <w:t>完成日期格式統一與</w:t>
            </w:r>
            <w:r w:rsidRPr="00A86FF2">
              <w:t xml:space="preserve"> PCR </w:t>
            </w:r>
            <w:r w:rsidRPr="00A86FF2">
              <w:t>計算</w:t>
            </w:r>
          </w:p>
        </w:tc>
      </w:tr>
      <w:tr w:rsidR="00A86FF2" w:rsidRPr="00A86FF2" w14:paraId="1BB44401" w14:textId="77777777" w:rsidTr="00A86FF2">
        <w:trPr>
          <w:trHeight w:val="1033"/>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4C9EBC7" w14:textId="77777777" w:rsidR="00A86FF2" w:rsidRPr="00A86FF2" w:rsidRDefault="00A86FF2" w:rsidP="00A86FF2">
            <w:pPr>
              <w:ind w:firstLine="480"/>
            </w:pPr>
            <w:r w:rsidRPr="00A86FF2">
              <w:rPr>
                <w:b/>
                <w:bCs/>
              </w:rPr>
              <w:t xml:space="preserve">2022 </w:t>
            </w:r>
            <w:r w:rsidRPr="00A86FF2">
              <w:rPr>
                <w:b/>
                <w:bCs/>
              </w:rPr>
              <w:t>年度</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166DC14" w14:textId="77777777" w:rsidR="00A86FF2" w:rsidRPr="00A86FF2" w:rsidRDefault="00A86FF2" w:rsidP="00A86FF2">
            <w:pPr>
              <w:ind w:firstLine="480"/>
            </w:pPr>
            <w:r w:rsidRPr="00A86FF2">
              <w:t>郭洪凱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215BA3D" w14:textId="77777777" w:rsidR="00A86FF2" w:rsidRPr="00A86FF2" w:rsidRDefault="00A86FF2" w:rsidP="00A86FF2">
            <w:pPr>
              <w:ind w:firstLine="480"/>
            </w:pPr>
            <w:r w:rsidRPr="00A86FF2">
              <w:t xml:space="preserve">246 </w:t>
            </w:r>
            <w:r w:rsidRPr="00A86FF2">
              <w:t>筆</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696A13C" w14:textId="77777777" w:rsidR="00A86FF2" w:rsidRPr="00A86FF2" w:rsidRDefault="00A86FF2" w:rsidP="00A86FF2">
            <w:pPr>
              <w:ind w:firstLine="480"/>
            </w:pPr>
            <w:r w:rsidRPr="00A86FF2">
              <w:t>完成日期格式統一與</w:t>
            </w:r>
            <w:r w:rsidRPr="00A86FF2">
              <w:t xml:space="preserve"> PCR </w:t>
            </w:r>
            <w:r w:rsidRPr="00A86FF2">
              <w:t>計算</w:t>
            </w:r>
          </w:p>
        </w:tc>
      </w:tr>
      <w:tr w:rsidR="00A86FF2" w:rsidRPr="00A86FF2" w14:paraId="00DB4871" w14:textId="77777777" w:rsidTr="00A86FF2">
        <w:trPr>
          <w:trHeight w:val="1033"/>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DA19F98" w14:textId="77777777" w:rsidR="00A86FF2" w:rsidRPr="00A86FF2" w:rsidRDefault="00A86FF2" w:rsidP="00A86FF2">
            <w:pPr>
              <w:ind w:firstLine="480"/>
            </w:pPr>
            <w:r w:rsidRPr="00A86FF2">
              <w:rPr>
                <w:b/>
                <w:bCs/>
              </w:rPr>
              <w:t xml:space="preserve">2023 </w:t>
            </w:r>
            <w:r w:rsidRPr="00A86FF2">
              <w:rPr>
                <w:b/>
                <w:bCs/>
              </w:rPr>
              <w:t>年度</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C748420" w14:textId="77777777" w:rsidR="00A86FF2" w:rsidRPr="00A86FF2" w:rsidRDefault="00A86FF2" w:rsidP="00A86FF2">
            <w:pPr>
              <w:ind w:firstLine="480"/>
            </w:pPr>
            <w:r w:rsidRPr="00A86FF2">
              <w:t>郭榮恩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CFDADD8" w14:textId="77777777" w:rsidR="00A86FF2" w:rsidRPr="00A86FF2" w:rsidRDefault="00A86FF2" w:rsidP="00A86FF2">
            <w:pPr>
              <w:ind w:firstLine="480"/>
            </w:pPr>
            <w:r w:rsidRPr="00A86FF2">
              <w:t xml:space="preserve">239 </w:t>
            </w:r>
            <w:r w:rsidRPr="00A86FF2">
              <w:t>筆</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B0318CD" w14:textId="3251EB7B" w:rsidR="00A86FF2" w:rsidRPr="00A86FF2" w:rsidRDefault="00A86FF2" w:rsidP="00A86FF2">
            <w:pPr>
              <w:ind w:firstLine="480"/>
            </w:pPr>
            <w:r w:rsidRPr="00A86FF2">
              <w:t>完成日期格式統一與</w:t>
            </w:r>
            <w:r w:rsidRPr="00A86FF2">
              <w:t xml:space="preserve"> PCR </w:t>
            </w:r>
            <w:r w:rsidRPr="00A86FF2">
              <w:t>計算</w:t>
            </w:r>
          </w:p>
        </w:tc>
      </w:tr>
      <w:tr w:rsidR="00A86FF2" w:rsidRPr="00A86FF2" w14:paraId="49B1AB91" w14:textId="77777777" w:rsidTr="00A86FF2">
        <w:trPr>
          <w:trHeight w:val="1044"/>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776D3F7" w14:textId="77777777" w:rsidR="00A86FF2" w:rsidRPr="00A86FF2" w:rsidRDefault="00A86FF2" w:rsidP="00A86FF2">
            <w:pPr>
              <w:ind w:firstLine="480"/>
            </w:pPr>
            <w:r w:rsidRPr="00A86FF2">
              <w:rPr>
                <w:b/>
                <w:bCs/>
              </w:rPr>
              <w:t xml:space="preserve">2024 </w:t>
            </w:r>
            <w:r w:rsidRPr="00A86FF2">
              <w:rPr>
                <w:b/>
                <w:bCs/>
              </w:rPr>
              <w:t>年度</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4AE9E6C" w14:textId="77777777" w:rsidR="00A86FF2" w:rsidRPr="00A86FF2" w:rsidRDefault="00A86FF2" w:rsidP="00A86FF2">
            <w:pPr>
              <w:ind w:firstLine="480"/>
            </w:pPr>
            <w:r w:rsidRPr="00A86FF2">
              <w:t>楊盛凱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A0065A2" w14:textId="77777777" w:rsidR="00A86FF2" w:rsidRPr="00A86FF2" w:rsidRDefault="00A86FF2" w:rsidP="00A86FF2">
            <w:pPr>
              <w:ind w:firstLine="480"/>
            </w:pPr>
            <w:r w:rsidRPr="00A86FF2">
              <w:t xml:space="preserve">242 </w:t>
            </w:r>
            <w:r w:rsidRPr="00A86FF2">
              <w:t>筆</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C47CDDE" w14:textId="68DDF6ED" w:rsidR="00A86FF2" w:rsidRPr="00A86FF2" w:rsidRDefault="00A86FF2" w:rsidP="00A86FF2">
            <w:pPr>
              <w:ind w:firstLine="480"/>
            </w:pPr>
            <w:r w:rsidRPr="00A86FF2">
              <w:t>完成日期格式統一與</w:t>
            </w:r>
            <w:r w:rsidRPr="00A86FF2">
              <w:t xml:space="preserve"> PCR </w:t>
            </w:r>
            <w:r w:rsidRPr="00A86FF2">
              <w:t>計算</w:t>
            </w:r>
            <w:r>
              <w:rPr>
                <w:rFonts w:hint="eastAsia"/>
              </w:rPr>
              <w:t>以及報告</w:t>
            </w:r>
          </w:p>
        </w:tc>
      </w:tr>
    </w:tbl>
    <w:p w14:paraId="7854A2EF" w14:textId="2A07CBF4" w:rsidR="00A86FF2" w:rsidRPr="00A86FF2" w:rsidRDefault="00A86FF2" w:rsidP="00A86FF2">
      <w:pPr>
        <w:ind w:firstLine="480"/>
        <w:rPr>
          <w:rFonts w:hint="eastAsia"/>
        </w:rPr>
      </w:pPr>
      <w:r w:rsidRPr="00A86FF2">
        <w:t>表</w:t>
      </w:r>
      <w:r w:rsidRPr="00A86FF2">
        <w:t>1</w:t>
      </w:r>
      <w:r w:rsidRPr="00A86FF2">
        <w:t>：小組年度分工與資料檢核摘要表</w:t>
      </w:r>
    </w:p>
    <w:p w14:paraId="72F223AB" w14:textId="5276F997" w:rsidR="00F2787D" w:rsidRDefault="002F2597" w:rsidP="00F2787D">
      <w:pPr>
        <w:pStyle w:val="2"/>
        <w:spacing w:before="360"/>
      </w:pPr>
      <w:r>
        <w:rPr>
          <w:rFonts w:hint="eastAsia"/>
        </w:rPr>
        <w:t>2</w:t>
      </w:r>
      <w:r w:rsidR="00F2787D">
        <w:rPr>
          <w:rFonts w:hint="eastAsia"/>
        </w:rPr>
        <w:t xml:space="preserve">.2 </w:t>
      </w:r>
      <w:r w:rsidR="00A86FF2" w:rsidRPr="00A86FF2">
        <w:t>資料來源</w:t>
      </w:r>
    </w:p>
    <w:p w14:paraId="639AA418" w14:textId="77777777" w:rsidR="00A86FF2" w:rsidRPr="00A86FF2" w:rsidRDefault="00A86FF2" w:rsidP="00A86FF2">
      <w:pPr>
        <w:widowControl/>
        <w:numPr>
          <w:ilvl w:val="0"/>
          <w:numId w:val="22"/>
        </w:numPr>
        <w:spacing w:after="160" w:line="278" w:lineRule="auto"/>
        <w:ind w:firstLineChars="0"/>
      </w:pPr>
      <w:r w:rsidRPr="00A86FF2">
        <w:t>採用老師提供之「台灣</w:t>
      </w:r>
      <w:r w:rsidRPr="00A86FF2">
        <w:t xml:space="preserve"> 2021-2024 </w:t>
      </w:r>
      <w:r w:rsidRPr="00A86FF2">
        <w:t>年全年度</w:t>
      </w:r>
      <w:proofErr w:type="gramStart"/>
      <w:r w:rsidRPr="00A86FF2">
        <w:t>臺</w:t>
      </w:r>
      <w:proofErr w:type="gramEnd"/>
      <w:r w:rsidRPr="00A86FF2">
        <w:t>指選擇權</w:t>
      </w:r>
      <w:r w:rsidRPr="00A86FF2">
        <w:t xml:space="preserve"> (TXO) </w:t>
      </w:r>
      <w:r w:rsidRPr="00A86FF2">
        <w:t>逐筆交易資料」。</w:t>
      </w:r>
    </w:p>
    <w:p w14:paraId="5E33D803" w14:textId="05F2E42E" w:rsidR="004470B9" w:rsidRPr="002F2597" w:rsidRDefault="004470B9" w:rsidP="002F2597">
      <w:pPr>
        <w:widowControl/>
        <w:spacing w:after="160" w:line="278" w:lineRule="auto"/>
        <w:ind w:firstLineChars="0" w:firstLine="0"/>
        <w:rPr>
          <w:rFonts w:cstheme="majorBidi"/>
          <w:color w:val="000000" w:themeColor="text1"/>
          <w:sz w:val="40"/>
          <w:szCs w:val="48"/>
        </w:rPr>
      </w:pPr>
      <w:r>
        <w:rPr>
          <w:rFonts w:cstheme="majorBidi"/>
          <w:color w:val="000000" w:themeColor="text1"/>
          <w:sz w:val="40"/>
          <w:szCs w:val="48"/>
        </w:rPr>
        <w:br w:type="page"/>
      </w:r>
    </w:p>
    <w:p w14:paraId="46AA0A73" w14:textId="49475A8B" w:rsidR="00C57FCC" w:rsidRPr="002F2597" w:rsidRDefault="002F2597" w:rsidP="00607CC9">
      <w:pPr>
        <w:pStyle w:val="1"/>
      </w:pPr>
      <w:r>
        <w:rPr>
          <w:rFonts w:hint="eastAsia"/>
        </w:rPr>
        <w:lastRenderedPageBreak/>
        <w:t>第三章</w:t>
      </w:r>
      <w:r>
        <w:rPr>
          <w:rFonts w:hint="eastAsia"/>
        </w:rPr>
        <w:t xml:space="preserve"> </w:t>
      </w:r>
      <w:r w:rsidR="00A86FF2" w:rsidRPr="00A86FF2">
        <w:t>資料整理與整合流程</w:t>
      </w:r>
    </w:p>
    <w:p w14:paraId="7602A33D" w14:textId="60E5F4CE" w:rsidR="004470B9" w:rsidRDefault="000B28EC" w:rsidP="004470B9">
      <w:pPr>
        <w:pStyle w:val="2"/>
        <w:spacing w:before="360"/>
      </w:pPr>
      <w:r>
        <w:rPr>
          <w:rFonts w:hint="eastAsia"/>
        </w:rPr>
        <w:t xml:space="preserve">3.1 </w:t>
      </w:r>
      <w:r w:rsidR="00186CBC" w:rsidRPr="00186CBC">
        <w:rPr>
          <w:rFonts w:hint="eastAsia"/>
        </w:rPr>
        <w:t>數據處理流程圖</w:t>
      </w:r>
      <w:r w:rsidR="00186CBC" w:rsidRPr="00186CBC">
        <w:rPr>
          <w:rFonts w:hint="eastAsia"/>
        </w:rPr>
        <w:t xml:space="preserve"> (Workflow)</w:t>
      </w:r>
    </w:p>
    <w:p w14:paraId="36B657EF" w14:textId="3BEDB8E0" w:rsidR="00186CBC" w:rsidRPr="00186CBC" w:rsidRDefault="0005576E" w:rsidP="00186CBC">
      <w:pPr>
        <w:ind w:firstLine="480"/>
      </w:pPr>
      <w:r>
        <w:rPr>
          <w:noProof/>
        </w:rPr>
        <w:drawing>
          <wp:inline distT="0" distB="0" distL="0" distR="0" wp14:anchorId="0772516E" wp14:editId="27B33BD7">
            <wp:extent cx="3352800" cy="5029200"/>
            <wp:effectExtent l="0" t="0" r="0" b="0"/>
            <wp:docPr id="1554787328"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352800" cy="5029200"/>
                    </a:xfrm>
                    <a:prstGeom prst="rect">
                      <a:avLst/>
                    </a:prstGeom>
                    <a:noFill/>
                    <a:ln>
                      <a:noFill/>
                    </a:ln>
                  </pic:spPr>
                </pic:pic>
              </a:graphicData>
            </a:graphic>
          </wp:inline>
        </w:drawing>
      </w:r>
    </w:p>
    <w:p w14:paraId="5E9018EE" w14:textId="6389ABCD" w:rsidR="00186CBC" w:rsidRDefault="00186CBC" w:rsidP="00186CBC">
      <w:pPr>
        <w:ind w:firstLine="480"/>
      </w:pPr>
      <w:r>
        <w:t>圖</w:t>
      </w:r>
      <w:r>
        <w:rPr>
          <w:rFonts w:hint="eastAsia"/>
        </w:rPr>
        <w:t xml:space="preserve">1 </w:t>
      </w:r>
      <w:r>
        <w:t>流程圖</w:t>
      </w:r>
      <w:r>
        <w:t xml:space="preserve"> </w:t>
      </w:r>
      <w:r>
        <w:t>來源</w:t>
      </w:r>
      <w:r>
        <w:t>:</w:t>
      </w:r>
      <w:proofErr w:type="spellStart"/>
      <w:r w:rsidR="0005576E">
        <w:rPr>
          <w:rFonts w:hint="eastAsia"/>
        </w:rPr>
        <w:t>ChatGpt</w:t>
      </w:r>
      <w:proofErr w:type="spellEnd"/>
      <w:r>
        <w:t>製作</w:t>
      </w:r>
    </w:p>
    <w:p w14:paraId="04D7183A" w14:textId="2D63E61F" w:rsidR="00186CBC" w:rsidRDefault="00186CBC" w:rsidP="00186CBC">
      <w:pPr>
        <w:pStyle w:val="2"/>
        <w:spacing w:before="360"/>
      </w:pPr>
      <w:r>
        <w:rPr>
          <w:rFonts w:hint="eastAsia"/>
        </w:rPr>
        <w:t>3.</w:t>
      </w:r>
      <w:r w:rsidRPr="00186CBC">
        <w:t xml:space="preserve">2 </w:t>
      </w:r>
      <w:r w:rsidRPr="00186CBC">
        <w:t>流程詳細步驟說明</w:t>
      </w:r>
    </w:p>
    <w:p w14:paraId="3A5E8E4C" w14:textId="36BA12BF" w:rsidR="00186CBC" w:rsidRDefault="00186CBC" w:rsidP="00186CBC">
      <w:pPr>
        <w:pStyle w:val="3"/>
        <w:spacing w:before="72"/>
      </w:pPr>
      <w:r w:rsidRPr="00186CBC">
        <w:t xml:space="preserve">3.2.1 </w:t>
      </w:r>
      <w:r w:rsidR="0005576E" w:rsidRPr="0005576E">
        <w:t>雲端環境掛載與資料解壓縮</w:t>
      </w:r>
    </w:p>
    <w:p w14:paraId="6A513A64" w14:textId="1A21A4BC" w:rsidR="00FA4A74" w:rsidRPr="00FA4A74" w:rsidRDefault="00FA4A74" w:rsidP="00FA4A74">
      <w:pPr>
        <w:ind w:firstLine="480"/>
        <w:rPr>
          <w:rFonts w:hint="eastAsia"/>
        </w:rPr>
      </w:pPr>
      <w:r w:rsidRPr="00FA4A74">
        <w:t>本研究透過</w:t>
      </w:r>
      <w:r w:rsidRPr="00FA4A74">
        <w:t xml:space="preserve"> AI </w:t>
      </w:r>
      <w:r w:rsidRPr="00FA4A74">
        <w:t>工具協助撰寫</w:t>
      </w:r>
      <w:r w:rsidRPr="00FA4A74">
        <w:t xml:space="preserve"> Python </w:t>
      </w:r>
      <w:r w:rsidRPr="00FA4A74">
        <w:t>程式碼（由</w:t>
      </w:r>
      <w:r w:rsidRPr="00FA4A74">
        <w:t xml:space="preserve"> Gemini </w:t>
      </w:r>
      <w:r w:rsidRPr="00FA4A74">
        <w:t>生成），將各年度逐筆資料壓縮檔上傳至</w:t>
      </w:r>
      <w:r w:rsidRPr="00FA4A74">
        <w:t xml:space="preserve"> Google Drive</w:t>
      </w:r>
      <w:r w:rsidRPr="00FA4A74">
        <w:t>，並於</w:t>
      </w:r>
      <w:r w:rsidRPr="00FA4A74">
        <w:t xml:space="preserve"> Google </w:t>
      </w:r>
      <w:proofErr w:type="spellStart"/>
      <w:r w:rsidRPr="00FA4A74">
        <w:t>Colab</w:t>
      </w:r>
      <w:proofErr w:type="spellEnd"/>
      <w:r w:rsidRPr="00FA4A74">
        <w:t xml:space="preserve"> </w:t>
      </w:r>
      <w:r w:rsidRPr="00FA4A74">
        <w:t>掛載雲端硬碟，再利用程式</w:t>
      </w:r>
      <w:proofErr w:type="gramStart"/>
      <w:r w:rsidRPr="00FA4A74">
        <w:t>進行線上解</w:t>
      </w:r>
      <w:proofErr w:type="gramEnd"/>
      <w:r w:rsidRPr="00FA4A74">
        <w:t>壓縮與資料讀取，以提升處理效率。</w:t>
      </w:r>
    </w:p>
    <w:p w14:paraId="0EA17F49" w14:textId="74CB81C4" w:rsidR="00186CBC" w:rsidRDefault="00186CBC" w:rsidP="00186CBC">
      <w:pPr>
        <w:pStyle w:val="3"/>
        <w:spacing w:before="72"/>
      </w:pPr>
      <w:r w:rsidRPr="00186CBC">
        <w:lastRenderedPageBreak/>
        <w:t xml:space="preserve">3.2.2 </w:t>
      </w:r>
      <w:r w:rsidR="0005576E" w:rsidRPr="0005576E">
        <w:t>標的篩選與流動性過濾</w:t>
      </w:r>
    </w:p>
    <w:p w14:paraId="48313985" w14:textId="1BF2AAC3" w:rsidR="00FA4A74" w:rsidRPr="00FA4A74" w:rsidRDefault="00FA4A74" w:rsidP="00FA4A74">
      <w:pPr>
        <w:ind w:firstLine="480"/>
        <w:rPr>
          <w:rFonts w:hint="eastAsia"/>
        </w:rPr>
      </w:pPr>
      <w:r w:rsidRPr="00FA4A74">
        <w:t>透過</w:t>
      </w:r>
      <w:r w:rsidRPr="00FA4A74">
        <w:t xml:space="preserve"> AI </w:t>
      </w:r>
      <w:r w:rsidRPr="00FA4A74">
        <w:t>協助生成之篩選程式碼，自原始資料中擷取商品代號為</w:t>
      </w:r>
      <w:proofErr w:type="gramStart"/>
      <w:r w:rsidRPr="00FA4A74">
        <w:t>臺</w:t>
      </w:r>
      <w:proofErr w:type="gramEnd"/>
      <w:r w:rsidRPr="00FA4A74">
        <w:t>指選擇權（</w:t>
      </w:r>
      <w:r w:rsidRPr="00FA4A74">
        <w:t>TXO</w:t>
      </w:r>
      <w:r w:rsidRPr="00FA4A74">
        <w:t>）之交易紀錄，並設定成交量大於</w:t>
      </w:r>
      <w:r w:rsidRPr="00FA4A74">
        <w:t xml:space="preserve"> 30 </w:t>
      </w:r>
      <w:r w:rsidRPr="00FA4A74">
        <w:t>口之條件，以排除流動性不足樣本，提升資料品質。</w:t>
      </w:r>
    </w:p>
    <w:p w14:paraId="7C5C9D4E" w14:textId="2D201CD9" w:rsidR="00186CBC" w:rsidRDefault="00186CBC" w:rsidP="00186CBC">
      <w:pPr>
        <w:pStyle w:val="3"/>
        <w:spacing w:before="72"/>
      </w:pPr>
      <w:r w:rsidRPr="00186CBC">
        <w:t>3.2.3</w:t>
      </w:r>
      <w:r w:rsidR="0005576E" w:rsidRPr="0005576E">
        <w:t>隱含波動率（</w:t>
      </w:r>
      <w:r w:rsidR="0005576E" w:rsidRPr="0005576E">
        <w:t>IV</w:t>
      </w:r>
      <w:r w:rsidR="0005576E" w:rsidRPr="0005576E">
        <w:t>）反</w:t>
      </w:r>
      <w:proofErr w:type="gramStart"/>
      <w:r w:rsidR="0005576E" w:rsidRPr="0005576E">
        <w:t>推與防呆</w:t>
      </w:r>
      <w:proofErr w:type="gramEnd"/>
      <w:r w:rsidR="0005576E" w:rsidRPr="0005576E">
        <w:t>機制</w:t>
      </w:r>
    </w:p>
    <w:p w14:paraId="57AC8EB4" w14:textId="518C9BAD" w:rsidR="00FA4A74" w:rsidRPr="00FA4A74" w:rsidRDefault="00FA4A74" w:rsidP="00FA4A74">
      <w:pPr>
        <w:ind w:firstLine="480"/>
        <w:rPr>
          <w:rFonts w:hint="eastAsia"/>
        </w:rPr>
      </w:pPr>
      <w:r w:rsidRPr="00FA4A74">
        <w:t>本研究透過</w:t>
      </w:r>
      <w:r w:rsidRPr="00FA4A74">
        <w:t xml:space="preserve"> AI </w:t>
      </w:r>
      <w:r w:rsidRPr="00FA4A74">
        <w:t>協助撰寫</w:t>
      </w:r>
      <w:r w:rsidRPr="00FA4A74">
        <w:t xml:space="preserve"> Black-Scholes </w:t>
      </w:r>
      <w:r w:rsidRPr="00FA4A74">
        <w:t>模型運算程式，代入標的價格、履約價、到期時間與無風險利率等參數，</w:t>
      </w:r>
      <w:proofErr w:type="gramStart"/>
      <w:r w:rsidRPr="00FA4A74">
        <w:t>逐筆反推</w:t>
      </w:r>
      <w:proofErr w:type="gramEnd"/>
      <w:r w:rsidRPr="00FA4A74">
        <w:t>隱含波動率（</w:t>
      </w:r>
      <w:r w:rsidRPr="00FA4A74">
        <w:t>IV</w:t>
      </w:r>
      <w:r w:rsidRPr="00FA4A74">
        <w:t>）。另</w:t>
      </w:r>
      <w:proofErr w:type="gramStart"/>
      <w:r w:rsidRPr="00FA4A74">
        <w:t>加入防呆機制</w:t>
      </w:r>
      <w:proofErr w:type="gramEnd"/>
      <w:r w:rsidRPr="00FA4A74">
        <w:t>，當遇到結算日</w:t>
      </w:r>
      <w:r w:rsidRPr="00FA4A74">
        <w:t xml:space="preserve"> </w:t>
      </w:r>
      <m:oMath>
        <m:r>
          <w:rPr>
            <w:rFonts w:ascii="Cambria Math" w:hAnsi="Cambria Math"/>
          </w:rPr>
          <m:t>T=0</m:t>
        </m:r>
      </m:oMath>
      <w:r w:rsidRPr="00FA4A74">
        <w:t>時，自動跳過</w:t>
      </w:r>
      <w:r w:rsidRPr="00FA4A74">
        <w:t xml:space="preserve"> IV </w:t>
      </w:r>
      <w:r w:rsidRPr="00FA4A74">
        <w:t>計算並保留成交量資料。</w:t>
      </w:r>
    </w:p>
    <w:p w14:paraId="7B73360D" w14:textId="77777777" w:rsidR="00FA4A74" w:rsidRDefault="00186CBC" w:rsidP="00186CBC">
      <w:pPr>
        <w:pStyle w:val="3"/>
        <w:spacing w:before="72"/>
      </w:pPr>
      <w:r w:rsidRPr="00186CBC">
        <w:t xml:space="preserve">3.2.4 </w:t>
      </w:r>
      <w:r w:rsidR="0005576E" w:rsidRPr="0005576E">
        <w:t>敘述性統計與指標計算</w:t>
      </w:r>
    </w:p>
    <w:p w14:paraId="6AE6C7FC" w14:textId="3DB2D800" w:rsidR="00FA4A74" w:rsidRPr="00FA4A74" w:rsidRDefault="00FA4A74" w:rsidP="00FA4A74">
      <w:pPr>
        <w:ind w:firstLine="480"/>
        <w:rPr>
          <w:rFonts w:hint="eastAsia"/>
        </w:rPr>
      </w:pPr>
      <w:r w:rsidRPr="00FA4A74">
        <w:t>透過</w:t>
      </w:r>
      <w:r w:rsidRPr="00FA4A74">
        <w:t xml:space="preserve"> AI </w:t>
      </w:r>
      <w:r w:rsidRPr="00FA4A74">
        <w:t>協助生成之資料整理程式，以交易日期及</w:t>
      </w:r>
      <w:proofErr w:type="gramStart"/>
      <w:r w:rsidRPr="00FA4A74">
        <w:t>買賣權別</w:t>
      </w:r>
      <w:proofErr w:type="gramEnd"/>
      <w:r w:rsidRPr="00FA4A74">
        <w:t>（</w:t>
      </w:r>
      <w:r w:rsidRPr="00FA4A74">
        <w:t>Call / Put</w:t>
      </w:r>
      <w:r w:rsidRPr="00FA4A74">
        <w:t>）進行分組，計算每日</w:t>
      </w:r>
      <w:r w:rsidRPr="00FA4A74">
        <w:t xml:space="preserve"> IV </w:t>
      </w:r>
      <w:r w:rsidRPr="00FA4A74">
        <w:t>平均數與樣本標準差，並加總成交量後求得買賣權比（</w:t>
      </w:r>
      <w:r w:rsidRPr="00FA4A74">
        <w:t>PCR</w:t>
      </w:r>
      <w:r w:rsidRPr="00FA4A74">
        <w:t>）。</w:t>
      </w:r>
    </w:p>
    <w:p w14:paraId="5449F326" w14:textId="3683DAF2" w:rsidR="00186CBC" w:rsidRDefault="00186CBC" w:rsidP="00186CBC">
      <w:pPr>
        <w:pStyle w:val="3"/>
        <w:spacing w:before="72"/>
      </w:pPr>
      <w:r w:rsidRPr="00186CBC">
        <w:t xml:space="preserve">3.2.5 </w:t>
      </w:r>
      <w:r w:rsidR="0005576E" w:rsidRPr="0005576E">
        <w:t>多人資料整</w:t>
      </w:r>
      <w:proofErr w:type="gramStart"/>
      <w:r w:rsidR="0005576E" w:rsidRPr="0005576E">
        <w:t>併</w:t>
      </w:r>
      <w:proofErr w:type="gramEnd"/>
      <w:r w:rsidR="0005576E" w:rsidRPr="0005576E">
        <w:t>與索引合併</w:t>
      </w:r>
    </w:p>
    <w:p w14:paraId="6FD0E176" w14:textId="4112BED6" w:rsidR="00FA4A74" w:rsidRPr="00FA4A74" w:rsidRDefault="00FA4A74" w:rsidP="00FA4A74">
      <w:pPr>
        <w:ind w:firstLine="480"/>
        <w:rPr>
          <w:rFonts w:hint="eastAsia"/>
        </w:rPr>
      </w:pPr>
      <w:r w:rsidRPr="00FA4A74">
        <w:t>由於本研究</w:t>
      </w:r>
      <w:proofErr w:type="gramStart"/>
      <w:r w:rsidRPr="00FA4A74">
        <w:t>採</w:t>
      </w:r>
      <w:proofErr w:type="gramEnd"/>
      <w:r w:rsidRPr="00FA4A74">
        <w:t>分工方式進行，各組員分別處理不同年度資料，因此透過</w:t>
      </w:r>
      <w:r w:rsidRPr="00FA4A74">
        <w:t xml:space="preserve"> AI </w:t>
      </w:r>
      <w:r w:rsidRPr="00FA4A74">
        <w:t>協助撰寫整</w:t>
      </w:r>
      <w:proofErr w:type="gramStart"/>
      <w:r w:rsidRPr="00FA4A74">
        <w:t>併</w:t>
      </w:r>
      <w:proofErr w:type="gramEnd"/>
      <w:r w:rsidRPr="00FA4A74">
        <w:t>程式，將四位組員輸出的</w:t>
      </w:r>
      <w:r w:rsidRPr="00FA4A74">
        <w:t xml:space="preserve"> CSV </w:t>
      </w:r>
      <w:r w:rsidRPr="00FA4A74">
        <w:t>索引檔依統一欄位格式進行合併，建立完整之跨年度資料庫，作為後續分析基礎。</w:t>
      </w:r>
    </w:p>
    <w:p w14:paraId="6D550220" w14:textId="70380082" w:rsidR="0005576E" w:rsidRDefault="0005576E" w:rsidP="0005576E">
      <w:pPr>
        <w:pStyle w:val="3"/>
        <w:spacing w:before="72"/>
      </w:pPr>
      <w:r w:rsidRPr="00186CBC">
        <w:t>3.2.</w:t>
      </w:r>
      <w:r>
        <w:rPr>
          <w:rFonts w:hint="eastAsia"/>
        </w:rPr>
        <w:t>6</w:t>
      </w:r>
      <w:r w:rsidRPr="00186CBC">
        <w:t xml:space="preserve"> </w:t>
      </w:r>
      <w:r w:rsidRPr="0005576E">
        <w:t>視覺化分析與圖表輸出</w:t>
      </w:r>
    </w:p>
    <w:p w14:paraId="1DAC4302" w14:textId="667E5B90" w:rsidR="00FA4A74" w:rsidRPr="00FA4A74" w:rsidRDefault="00FA4A74" w:rsidP="00FA4A74">
      <w:pPr>
        <w:ind w:firstLine="480"/>
        <w:rPr>
          <w:rFonts w:hint="eastAsia"/>
        </w:rPr>
      </w:pPr>
      <w:r w:rsidRPr="00FA4A74">
        <w:t>完成資料整</w:t>
      </w:r>
      <w:proofErr w:type="gramStart"/>
      <w:r w:rsidRPr="00FA4A74">
        <w:t>併</w:t>
      </w:r>
      <w:proofErr w:type="gramEnd"/>
      <w:r w:rsidRPr="00FA4A74">
        <w:t>後，透過</w:t>
      </w:r>
      <w:r w:rsidRPr="00FA4A74">
        <w:t xml:space="preserve"> AI </w:t>
      </w:r>
      <w:r w:rsidRPr="00FA4A74">
        <w:t>協助生成繪圖程式，針對</w:t>
      </w:r>
      <w:r w:rsidRPr="00FA4A74">
        <w:t xml:space="preserve"> IV </w:t>
      </w:r>
      <w:r w:rsidRPr="00FA4A74">
        <w:t>平均數、標準差及</w:t>
      </w:r>
      <w:r w:rsidRPr="00FA4A74">
        <w:t xml:space="preserve"> </w:t>
      </w:r>
      <w:r>
        <w:rPr>
          <w:rFonts w:hint="eastAsia"/>
        </w:rPr>
        <w:t>特定月份圖</w:t>
      </w:r>
      <w:r w:rsidRPr="00FA4A74">
        <w:t>進行趨勢圖與比較圖繪製，以觀察不同年度間市場情緒與波動變化。</w:t>
      </w:r>
    </w:p>
    <w:p w14:paraId="67684A29" w14:textId="73CEFEEA" w:rsidR="0005576E" w:rsidRDefault="0005576E" w:rsidP="0005576E">
      <w:pPr>
        <w:pStyle w:val="3"/>
        <w:spacing w:before="72"/>
      </w:pPr>
      <w:r w:rsidRPr="00186CBC">
        <w:t>3.2.</w:t>
      </w:r>
      <w:r>
        <w:rPr>
          <w:rFonts w:hint="eastAsia"/>
        </w:rPr>
        <w:t>7</w:t>
      </w:r>
      <w:r w:rsidRPr="00186CBC">
        <w:t xml:space="preserve"> </w:t>
      </w:r>
      <w:r w:rsidRPr="0005576E">
        <w:t>標準化檔案輸出</w:t>
      </w:r>
    </w:p>
    <w:p w14:paraId="23D3E15B" w14:textId="06E0CA1E" w:rsidR="00DE76F1" w:rsidRDefault="00DE76F1" w:rsidP="00DE76F1">
      <w:pPr>
        <w:ind w:firstLine="480"/>
      </w:pPr>
      <w:r w:rsidRPr="00DE76F1">
        <w:t>最後，將整理完成之整體資料與圖表結果統一輸出，作為本研究報告撰寫與後續分析之依據。</w:t>
      </w:r>
    </w:p>
    <w:p w14:paraId="13BAE983" w14:textId="5ED4C6C2" w:rsidR="002F2597" w:rsidRPr="00DE76F1" w:rsidRDefault="00DE76F1" w:rsidP="004470B9">
      <w:pPr>
        <w:widowControl/>
        <w:spacing w:after="160" w:line="278" w:lineRule="auto"/>
        <w:ind w:firstLineChars="0" w:firstLine="0"/>
        <w:rPr>
          <w:rFonts w:hint="eastAsia"/>
        </w:rPr>
      </w:pPr>
      <w:r>
        <w:br w:type="page"/>
      </w:r>
    </w:p>
    <w:p w14:paraId="4AB19B33" w14:textId="46C66490" w:rsidR="00963C99" w:rsidRDefault="00963C99" w:rsidP="00963C99">
      <w:pPr>
        <w:pStyle w:val="1"/>
      </w:pPr>
      <w:r>
        <w:rPr>
          <w:rFonts w:hint="eastAsia"/>
        </w:rPr>
        <w:lastRenderedPageBreak/>
        <w:t>第四章</w:t>
      </w:r>
      <w:r>
        <w:rPr>
          <w:rFonts w:hint="eastAsia"/>
        </w:rPr>
        <w:t xml:space="preserve"> </w:t>
      </w:r>
      <w:r w:rsidR="00A86FF2" w:rsidRPr="00A86FF2">
        <w:rPr>
          <w:rFonts w:cs="Times New Roman"/>
        </w:rPr>
        <w:t>指標定義與統計方法</w:t>
      </w:r>
    </w:p>
    <w:p w14:paraId="3A106573" w14:textId="705B1579" w:rsidR="00626B2A" w:rsidRDefault="00DE76F1" w:rsidP="00DE76F1">
      <w:pPr>
        <w:pStyle w:val="2"/>
        <w:spacing w:before="360"/>
      </w:pPr>
      <w:r w:rsidRPr="00DE76F1">
        <w:t xml:space="preserve">4.1 </w:t>
      </w:r>
      <w:r w:rsidRPr="00DE76F1">
        <w:t>資料清理流程</w:t>
      </w:r>
    </w:p>
    <w:p w14:paraId="2291D608" w14:textId="77777777" w:rsidR="00DE76F1" w:rsidRPr="00DE76F1" w:rsidRDefault="00DE76F1" w:rsidP="00DE76F1">
      <w:pPr>
        <w:ind w:firstLine="480"/>
      </w:pPr>
      <w:r w:rsidRPr="00DE76F1">
        <w:t>本小組運用</w:t>
      </w:r>
      <w:r w:rsidRPr="00DE76F1">
        <w:t xml:space="preserve"> AI </w:t>
      </w:r>
      <w:r w:rsidRPr="00DE76F1">
        <w:t>輔助與</w:t>
      </w:r>
      <w:r w:rsidRPr="00DE76F1">
        <w:t xml:space="preserve"> Python </w:t>
      </w:r>
      <w:r w:rsidRPr="00DE76F1">
        <w:t>程式進行自動化處理，具體流程分為以下四個階段：</w:t>
      </w:r>
    </w:p>
    <w:p w14:paraId="4FCCB0AB" w14:textId="77777777" w:rsidR="00DE76F1" w:rsidRPr="00DE76F1" w:rsidRDefault="00DE76F1" w:rsidP="00DE76F1">
      <w:pPr>
        <w:numPr>
          <w:ilvl w:val="0"/>
          <w:numId w:val="23"/>
        </w:numPr>
        <w:ind w:firstLine="480"/>
      </w:pPr>
      <w:r w:rsidRPr="00DE76F1">
        <w:rPr>
          <w:b/>
          <w:bCs/>
        </w:rPr>
        <w:t>資料解壓與初步篩選</w:t>
      </w:r>
      <w:r w:rsidRPr="00DE76F1">
        <w:t>：將老師提供之各年度壓縮</w:t>
      </w:r>
      <w:proofErr w:type="gramStart"/>
      <w:r w:rsidRPr="00DE76F1">
        <w:t>檔</w:t>
      </w:r>
      <w:proofErr w:type="gramEnd"/>
      <w:r w:rsidRPr="00DE76F1">
        <w:t>解壓至</w:t>
      </w:r>
      <w:r w:rsidRPr="00DE76F1">
        <w:t xml:space="preserve"> </w:t>
      </w:r>
      <w:proofErr w:type="spellStart"/>
      <w:r w:rsidRPr="00DE76F1">
        <w:t>Colab</w:t>
      </w:r>
      <w:proofErr w:type="spellEnd"/>
      <w:r w:rsidRPr="00DE76F1">
        <w:t xml:space="preserve"> </w:t>
      </w:r>
      <w:r w:rsidRPr="00DE76F1">
        <w:t>環境，過濾商品代碼僅保留「</w:t>
      </w:r>
      <w:r w:rsidRPr="00DE76F1">
        <w:t>TXO</w:t>
      </w:r>
      <w:r w:rsidRPr="00DE76F1">
        <w:t>」，並先行剔除「成交數量</w:t>
      </w:r>
      <w:r w:rsidRPr="00DE76F1">
        <w:t xml:space="preserve"> &lt; 30</w:t>
      </w:r>
      <w:r w:rsidRPr="00DE76F1">
        <w:t>」之樣本以確保流動性。</w:t>
      </w:r>
    </w:p>
    <w:p w14:paraId="7AA28010" w14:textId="77777777" w:rsidR="00DE76F1" w:rsidRPr="00DE76F1" w:rsidRDefault="00DE76F1" w:rsidP="00DE76F1">
      <w:pPr>
        <w:numPr>
          <w:ilvl w:val="0"/>
          <w:numId w:val="23"/>
        </w:numPr>
        <w:ind w:firstLine="480"/>
      </w:pPr>
      <w:r w:rsidRPr="00DE76F1">
        <w:rPr>
          <w:b/>
          <w:bCs/>
        </w:rPr>
        <w:t>格式標準化與到期日對應</w:t>
      </w:r>
      <w:r w:rsidRPr="00DE76F1">
        <w:t>：偵測各年度日期欄位格式，統一轉換為</w:t>
      </w:r>
      <w:r w:rsidRPr="00DE76F1">
        <w:t xml:space="preserve"> YYYY-MM-DD</w:t>
      </w:r>
      <w:r w:rsidRPr="00DE76F1">
        <w:t>。同時依據合約名稱自動對應其到期日，計算剩餘天數。</w:t>
      </w:r>
    </w:p>
    <w:p w14:paraId="4717CDE3" w14:textId="6CD19862" w:rsidR="00DE76F1" w:rsidRPr="00DE76F1" w:rsidRDefault="00DE76F1" w:rsidP="00DE76F1">
      <w:pPr>
        <w:numPr>
          <w:ilvl w:val="0"/>
          <w:numId w:val="23"/>
        </w:numPr>
        <w:ind w:firstLine="480"/>
      </w:pPr>
      <w:r w:rsidRPr="00DE76F1">
        <w:rPr>
          <w:b/>
          <w:bCs/>
        </w:rPr>
        <w:t>模型運算</w:t>
      </w:r>
      <w:proofErr w:type="gramStart"/>
      <w:r w:rsidRPr="00DE76F1">
        <w:rPr>
          <w:b/>
          <w:bCs/>
        </w:rPr>
        <w:t>與防呆</w:t>
      </w:r>
      <w:proofErr w:type="gramEnd"/>
      <w:r w:rsidRPr="00DE76F1">
        <w:t>：導入</w:t>
      </w:r>
      <w:r w:rsidRPr="00DE76F1">
        <w:t xml:space="preserve"> Black-Scholes </w:t>
      </w:r>
      <w:r w:rsidRPr="00DE76F1">
        <w:t>模型，結合</w:t>
      </w:r>
      <w:r w:rsidRPr="00DE76F1">
        <w:t xml:space="preserve"> Bisection Method</w:t>
      </w:r>
      <w:r w:rsidRPr="00DE76F1">
        <w:t>（二分法）反推隱含波動率（</w:t>
      </w:r>
      <w:r w:rsidRPr="00DE76F1">
        <w:t>IV</w:t>
      </w:r>
      <w:r w:rsidRPr="00DE76F1">
        <w:t>）。程式自動判斷若遇到結算當日（</w:t>
      </w:r>
      <w:r w:rsidRPr="00DE76F1">
        <w:t xml:space="preserve">T </w:t>
      </w:r>
      <w:r>
        <w:rPr>
          <w:rFonts w:hint="eastAsia"/>
        </w:rPr>
        <w:t>=</w:t>
      </w:r>
      <w:r w:rsidRPr="00DE76F1">
        <w:t xml:space="preserve"> 0</w:t>
      </w:r>
      <w:r w:rsidRPr="00DE76F1">
        <w:t>）則不予計算，避免分母為零之報錯。</w:t>
      </w:r>
    </w:p>
    <w:p w14:paraId="19388D35" w14:textId="5913085E" w:rsidR="00DE76F1" w:rsidRPr="00DE76F1" w:rsidRDefault="00DE76F1" w:rsidP="00DE76F1">
      <w:pPr>
        <w:numPr>
          <w:ilvl w:val="0"/>
          <w:numId w:val="23"/>
        </w:numPr>
        <w:ind w:firstLine="480"/>
        <w:rPr>
          <w:rFonts w:hint="eastAsia"/>
        </w:rPr>
      </w:pPr>
      <w:r w:rsidRPr="00DE76F1">
        <w:rPr>
          <w:b/>
          <w:bCs/>
        </w:rPr>
        <w:t>四年數據垂直整合</w:t>
      </w:r>
      <w:r w:rsidRPr="00DE76F1">
        <w:t>：將四位組員產出的年度統計</w:t>
      </w:r>
      <w:r w:rsidRPr="00DE76F1">
        <w:t xml:space="preserve"> CSV </w:t>
      </w:r>
      <w:r w:rsidRPr="00DE76F1">
        <w:t>檔，透過</w:t>
      </w:r>
      <w:r w:rsidRPr="00DE76F1">
        <w:t xml:space="preserve"> Python </w:t>
      </w:r>
      <w:r w:rsidRPr="00DE76F1">
        <w:t>進行</w:t>
      </w:r>
      <w:proofErr w:type="gramStart"/>
      <w:r w:rsidRPr="00DE76F1">
        <w:t>垂直拼</w:t>
      </w:r>
      <w:proofErr w:type="gramEnd"/>
      <w:r w:rsidRPr="00DE76F1">
        <w:t>接，確保時間序列之連續性。</w:t>
      </w:r>
    </w:p>
    <w:p w14:paraId="12448FDE" w14:textId="304B159B" w:rsidR="00DE76F1" w:rsidRDefault="00DE76F1" w:rsidP="00DE76F1">
      <w:pPr>
        <w:pStyle w:val="2"/>
        <w:spacing w:before="360"/>
      </w:pPr>
      <w:r w:rsidRPr="00DE76F1">
        <w:t xml:space="preserve">4.2 </w:t>
      </w:r>
      <w:r w:rsidRPr="00DE76F1">
        <w:t>關鍵指標計算公式</w:t>
      </w:r>
    </w:p>
    <w:p w14:paraId="336980A6" w14:textId="75B28242" w:rsidR="00DE76F1" w:rsidRDefault="00DE76F1" w:rsidP="00DE76F1">
      <w:pPr>
        <w:ind w:firstLine="480"/>
      </w:pPr>
      <w:r w:rsidRPr="00DE76F1">
        <w:t>本研究針對各項財務指標定義如下：</w:t>
      </w:r>
    </w:p>
    <w:p w14:paraId="6ADFEBCA" w14:textId="4FB09B32" w:rsidR="00DE76F1" w:rsidRPr="00DE76F1" w:rsidRDefault="00DE76F1" w:rsidP="00DE76F1">
      <w:pPr>
        <w:ind w:firstLine="480"/>
      </w:pPr>
      <w:r w:rsidRPr="00DE76F1">
        <w:t>到期時間</w:t>
      </w:r>
      <w:r w:rsidRPr="00DE76F1">
        <w:t xml:space="preserve"> (Maturity, T)</w:t>
      </w:r>
      <w:r w:rsidRPr="00DE76F1">
        <w:t>：</w:t>
      </w:r>
      <w:r w:rsidRPr="00DE76F1">
        <w:t xml:space="preserve"> </w:t>
      </w:r>
      <w:proofErr w:type="gramStart"/>
      <w:r w:rsidRPr="00DE76F1">
        <w:t>採</w:t>
      </w:r>
      <w:proofErr w:type="gramEnd"/>
      <w:r w:rsidRPr="00DE76F1">
        <w:t>日曆天數計算。</w:t>
      </w:r>
      <w:r w:rsidRPr="00DE76F1">
        <w:t xml:space="preserve"> </w:t>
      </w:r>
      <w:r w:rsidRPr="00DE76F1">
        <w:t>計算方式：</w:t>
      </w:r>
      <w:r w:rsidRPr="00DE76F1">
        <w:t>T = (</w:t>
      </w:r>
      <w:r w:rsidRPr="00DE76F1">
        <w:t>到期日</w:t>
      </w:r>
      <w:r w:rsidRPr="00DE76F1">
        <w:t xml:space="preserve"> - </w:t>
      </w:r>
      <w:r w:rsidRPr="00DE76F1">
        <w:t>交易日</w:t>
      </w:r>
      <w:r w:rsidRPr="00DE76F1">
        <w:t>) / 365</w:t>
      </w:r>
      <w:r w:rsidRPr="00DE76F1">
        <w:t>。</w:t>
      </w:r>
    </w:p>
    <w:p w14:paraId="2B65845E" w14:textId="453EBEAE" w:rsidR="00DE76F1" w:rsidRPr="00DE76F1" w:rsidRDefault="00DE76F1" w:rsidP="00DE76F1">
      <w:pPr>
        <w:ind w:firstLine="480"/>
      </w:pPr>
      <w:r w:rsidRPr="00DE76F1">
        <w:t>無風險利率</w:t>
      </w:r>
      <w:r w:rsidRPr="00DE76F1">
        <w:t xml:space="preserve"> (Rf)</w:t>
      </w:r>
      <w:r w:rsidRPr="00DE76F1">
        <w:t>：</w:t>
      </w:r>
      <w:r w:rsidRPr="00DE76F1">
        <w:t xml:space="preserve"> </w:t>
      </w:r>
      <w:r w:rsidRPr="00DE76F1">
        <w:t>參考台灣銀行各對應期間之定期存款利率，並進行年化轉換。</w:t>
      </w:r>
    </w:p>
    <w:p w14:paraId="7093D7D9" w14:textId="1325FA2C" w:rsidR="00DE76F1" w:rsidRPr="00DE76F1" w:rsidRDefault="00DE76F1" w:rsidP="00DE76F1">
      <w:pPr>
        <w:ind w:firstLine="480"/>
      </w:pPr>
      <w:r w:rsidRPr="00DE76F1">
        <w:t>隱含波動率</w:t>
      </w:r>
      <w:r w:rsidRPr="00DE76F1">
        <w:t xml:space="preserve"> (Implied Volatility, IV)</w:t>
      </w:r>
      <w:r w:rsidRPr="00DE76F1">
        <w:t>：</w:t>
      </w:r>
      <w:r w:rsidRPr="00DE76F1">
        <w:t xml:space="preserve"> </w:t>
      </w:r>
      <w:r w:rsidRPr="00DE76F1">
        <w:t>使用</w:t>
      </w:r>
      <w:r w:rsidRPr="00DE76F1">
        <w:t xml:space="preserve"> Black-Scholes </w:t>
      </w:r>
      <w:r w:rsidRPr="00DE76F1">
        <w:t>定價模型，帶入標的價格、履約價、無風險利率、到期時間及實際成交價，以二分法反推得到波動率數值。</w:t>
      </w:r>
    </w:p>
    <w:p w14:paraId="72CC8788" w14:textId="6E15A6E5" w:rsidR="00DE76F1" w:rsidRPr="00DE76F1" w:rsidRDefault="00DE76F1" w:rsidP="00DE76F1">
      <w:pPr>
        <w:ind w:firstLine="480"/>
      </w:pPr>
      <w:r w:rsidRPr="00DE76F1">
        <w:t>買賣權比</w:t>
      </w:r>
      <w:r w:rsidRPr="00DE76F1">
        <w:t xml:space="preserve"> (Put/Call Ratio, PCR)</w:t>
      </w:r>
      <w:r w:rsidRPr="00DE76F1">
        <w:t>：</w:t>
      </w:r>
      <w:r w:rsidRPr="00DE76F1">
        <w:t xml:space="preserve"> </w:t>
      </w:r>
      <w:r w:rsidRPr="00DE76F1">
        <w:t>衡量市場多空情緒之量能指標。</w:t>
      </w:r>
      <w:r w:rsidRPr="00DE76F1">
        <w:t xml:space="preserve"> </w:t>
      </w:r>
      <w:r w:rsidRPr="00DE76F1">
        <w:t>計算方式：</w:t>
      </w:r>
      <w:r w:rsidRPr="00DE76F1">
        <w:t xml:space="preserve">PCR = </w:t>
      </w:r>
      <w:r w:rsidRPr="00DE76F1">
        <w:t>當日所有賣權</w:t>
      </w:r>
      <w:r w:rsidRPr="00DE76F1">
        <w:t xml:space="preserve"> (Put) </w:t>
      </w:r>
      <w:r w:rsidRPr="00DE76F1">
        <w:t>總成交量</w:t>
      </w:r>
      <w:r w:rsidRPr="00DE76F1">
        <w:t xml:space="preserve"> / </w:t>
      </w:r>
      <w:r w:rsidRPr="00DE76F1">
        <w:t>當日所有買權</w:t>
      </w:r>
      <w:r w:rsidRPr="00DE76F1">
        <w:t xml:space="preserve"> (Call) </w:t>
      </w:r>
      <w:r w:rsidRPr="00DE76F1">
        <w:t>總成交量。</w:t>
      </w:r>
    </w:p>
    <w:p w14:paraId="4047571A" w14:textId="091C9055" w:rsidR="00DE76F1" w:rsidRPr="00DE76F1" w:rsidRDefault="00DE76F1" w:rsidP="00DE76F1">
      <w:pPr>
        <w:pStyle w:val="2"/>
        <w:spacing w:before="360"/>
        <w:rPr>
          <w:rFonts w:hint="eastAsia"/>
        </w:rPr>
      </w:pPr>
      <w:r w:rsidRPr="00DE76F1">
        <w:lastRenderedPageBreak/>
        <w:t xml:space="preserve">4.3 </w:t>
      </w:r>
      <w:r w:rsidRPr="00DE76F1">
        <w:rPr>
          <w:rStyle w:val="20"/>
        </w:rPr>
        <w:t>統計</w:t>
      </w:r>
      <w:r w:rsidRPr="00DE76F1">
        <w:t>方法</w:t>
      </w:r>
    </w:p>
    <w:p w14:paraId="5A98ADE3" w14:textId="77777777" w:rsidR="00DE76F1" w:rsidRPr="00DE76F1" w:rsidRDefault="00DE76F1" w:rsidP="00DE76F1">
      <w:pPr>
        <w:ind w:firstLine="480"/>
      </w:pPr>
      <w:r w:rsidRPr="00DE76F1">
        <w:t>本研究針對「看漲投資人</w:t>
      </w:r>
      <w:r w:rsidRPr="00DE76F1">
        <w:t xml:space="preserve"> (Call </w:t>
      </w:r>
      <w:r w:rsidRPr="00DE76F1">
        <w:t>樣本</w:t>
      </w:r>
      <w:r w:rsidRPr="00DE76F1">
        <w:t>)</w:t>
      </w:r>
      <w:r w:rsidRPr="00DE76F1">
        <w:t>」與「看跌投資人</w:t>
      </w:r>
      <w:r w:rsidRPr="00DE76F1">
        <w:t xml:space="preserve"> (Put </w:t>
      </w:r>
      <w:r w:rsidRPr="00DE76F1">
        <w:t>樣本</w:t>
      </w:r>
      <w:r w:rsidRPr="00DE76F1">
        <w:t>)</w:t>
      </w:r>
      <w:r w:rsidRPr="00DE76F1">
        <w:t>」分別進行以下統計量之計算：</w:t>
      </w:r>
    </w:p>
    <w:p w14:paraId="2E53B1E9" w14:textId="6DBB461F" w:rsidR="00DE76F1" w:rsidRPr="00DE76F1" w:rsidRDefault="00DE76F1" w:rsidP="00DE76F1">
      <w:pPr>
        <w:numPr>
          <w:ilvl w:val="0"/>
          <w:numId w:val="24"/>
        </w:numPr>
        <w:ind w:firstLine="480"/>
      </w:pPr>
      <w:r w:rsidRPr="00DE76F1">
        <w:rPr>
          <w:b/>
          <w:bCs/>
        </w:rPr>
        <w:t xml:space="preserve">IV </w:t>
      </w:r>
      <w:r w:rsidRPr="00DE76F1">
        <w:rPr>
          <w:b/>
          <w:bCs/>
        </w:rPr>
        <w:t>平均數</w:t>
      </w:r>
      <w:r w:rsidRPr="00DE76F1">
        <w:t>：</w:t>
      </w:r>
      <w:r w:rsidRPr="00DE76F1">
        <w:t xml:space="preserve"> </w:t>
      </w:r>
      <w:r w:rsidRPr="00DE76F1">
        <w:t>反映當日該類別投資人對於未來波動預期的集中趨勢。</w:t>
      </w:r>
      <w:r w:rsidRPr="00DE76F1">
        <w:t xml:space="preserve"> </w:t>
      </w:r>
      <w:r w:rsidRPr="00DE76F1">
        <w:t>計算方式：當日所有有效樣本</w:t>
      </w:r>
      <w:r w:rsidRPr="00DE76F1">
        <w:t xml:space="preserve"> IV </w:t>
      </w:r>
      <w:r w:rsidRPr="00DE76F1">
        <w:t>之總和</w:t>
      </w:r>
      <w:r w:rsidRPr="00DE76F1">
        <w:t xml:space="preserve"> / </w:t>
      </w:r>
      <w:r w:rsidRPr="00DE76F1">
        <w:t>樣本數。</w:t>
      </w:r>
    </w:p>
    <w:p w14:paraId="5BDD0651" w14:textId="447DFC76" w:rsidR="00DE76F1" w:rsidRPr="00DE76F1" w:rsidRDefault="00DE76F1" w:rsidP="00DE76F1">
      <w:pPr>
        <w:numPr>
          <w:ilvl w:val="0"/>
          <w:numId w:val="24"/>
        </w:numPr>
        <w:ind w:firstLine="480"/>
      </w:pPr>
      <w:r w:rsidRPr="00DE76F1">
        <w:rPr>
          <w:b/>
          <w:bCs/>
        </w:rPr>
        <w:t xml:space="preserve">IV </w:t>
      </w:r>
      <w:r w:rsidRPr="00DE76F1">
        <w:rPr>
          <w:b/>
          <w:bCs/>
        </w:rPr>
        <w:t>樣本標準差</w:t>
      </w:r>
      <w:r w:rsidRPr="00DE76F1">
        <w:t>：</w:t>
      </w:r>
      <w:r w:rsidRPr="00DE76F1">
        <w:t xml:space="preserve"> </w:t>
      </w:r>
      <w:r w:rsidRPr="00DE76F1">
        <w:t>反映當日市場對於未來風險預期的分歧程度。</w:t>
      </w:r>
      <w:r w:rsidRPr="00DE76F1">
        <w:t xml:space="preserve"> </w:t>
      </w:r>
      <w:r w:rsidRPr="00DE76F1">
        <w:t>計算方式：</w:t>
      </w:r>
      <w:proofErr w:type="gramStart"/>
      <w:r w:rsidRPr="00DE76F1">
        <w:t>採</w:t>
      </w:r>
      <w:proofErr w:type="gramEnd"/>
      <w:r w:rsidRPr="00DE76F1">
        <w:t>樣本標準差公式</w:t>
      </w:r>
      <w:r w:rsidRPr="00DE76F1">
        <w:t xml:space="preserve"> (</w:t>
      </w:r>
      <w:r w:rsidRPr="00DE76F1">
        <w:t>分母為</w:t>
      </w:r>
      <w:r w:rsidRPr="00DE76F1">
        <w:t xml:space="preserve"> n-1)</w:t>
      </w:r>
      <w:r w:rsidRPr="00DE76F1">
        <w:t>，計算當日各樣本</w:t>
      </w:r>
      <w:r w:rsidRPr="00DE76F1">
        <w:t xml:space="preserve"> IV </w:t>
      </w:r>
      <w:r w:rsidRPr="00DE76F1">
        <w:t>相對於平均值的離散程度。</w:t>
      </w:r>
    </w:p>
    <w:p w14:paraId="318A0AE2" w14:textId="4ECD2C47" w:rsidR="00DE76F1" w:rsidRDefault="00DE76F1" w:rsidP="00DE76F1">
      <w:pPr>
        <w:pStyle w:val="2"/>
        <w:spacing w:before="360"/>
      </w:pPr>
      <w:r w:rsidRPr="00DE76F1">
        <w:t xml:space="preserve">4.4 </w:t>
      </w:r>
      <w:r w:rsidRPr="00DE76F1">
        <w:t>欄位定義說明</w:t>
      </w:r>
    </w:p>
    <w:p w14:paraId="30600918" w14:textId="77777777" w:rsidR="00DE76F1" w:rsidRPr="00DE76F1" w:rsidRDefault="00DE76F1" w:rsidP="00DE76F1">
      <w:pPr>
        <w:ind w:firstLine="480"/>
      </w:pPr>
      <w:r w:rsidRPr="00DE76F1">
        <w:t>最終產出之整合統計檔</w:t>
      </w:r>
      <w:proofErr w:type="gramStart"/>
      <w:r w:rsidRPr="00DE76F1">
        <w:t>（</w:t>
      </w:r>
      <w:proofErr w:type="gramEnd"/>
      <w:r w:rsidRPr="00DE76F1">
        <w:t>Combined_Stats.csv</w:t>
      </w:r>
      <w:proofErr w:type="gramStart"/>
      <w:r w:rsidRPr="00DE76F1">
        <w:t>）</w:t>
      </w:r>
      <w:proofErr w:type="gramEnd"/>
      <w:r w:rsidRPr="00DE76F1">
        <w:t>包含以下欄位：</w:t>
      </w:r>
    </w:p>
    <w:p w14:paraId="6F499AB5" w14:textId="77777777" w:rsidR="00DE76F1" w:rsidRPr="00DE76F1" w:rsidRDefault="00DE76F1" w:rsidP="00DE76F1">
      <w:pPr>
        <w:numPr>
          <w:ilvl w:val="0"/>
          <w:numId w:val="25"/>
        </w:numPr>
        <w:ind w:firstLine="480"/>
      </w:pPr>
      <w:r w:rsidRPr="00DE76F1">
        <w:rPr>
          <w:b/>
          <w:bCs/>
        </w:rPr>
        <w:t>Date</w:t>
      </w:r>
      <w:r w:rsidRPr="00DE76F1">
        <w:t>：交易日期</w:t>
      </w:r>
    </w:p>
    <w:p w14:paraId="75C10C69" w14:textId="77777777" w:rsidR="00DE76F1" w:rsidRPr="00DE76F1" w:rsidRDefault="00DE76F1" w:rsidP="00DE76F1">
      <w:pPr>
        <w:numPr>
          <w:ilvl w:val="0"/>
          <w:numId w:val="25"/>
        </w:numPr>
        <w:ind w:firstLine="480"/>
      </w:pPr>
      <w:r w:rsidRPr="00DE76F1">
        <w:rPr>
          <w:b/>
          <w:bCs/>
        </w:rPr>
        <w:t>PCR</w:t>
      </w:r>
      <w:r w:rsidRPr="00DE76F1">
        <w:t>：當日成交量之買賣權比</w:t>
      </w:r>
    </w:p>
    <w:p w14:paraId="0A05FF53" w14:textId="77777777" w:rsidR="00DE76F1" w:rsidRPr="00DE76F1" w:rsidRDefault="00DE76F1" w:rsidP="00DE76F1">
      <w:pPr>
        <w:numPr>
          <w:ilvl w:val="0"/>
          <w:numId w:val="25"/>
        </w:numPr>
        <w:ind w:firstLine="480"/>
      </w:pPr>
      <w:proofErr w:type="spellStart"/>
      <w:r w:rsidRPr="00DE76F1">
        <w:rPr>
          <w:b/>
          <w:bCs/>
        </w:rPr>
        <w:t>Call_IV_Mean</w:t>
      </w:r>
      <w:proofErr w:type="spellEnd"/>
      <w:r w:rsidRPr="00DE76F1">
        <w:t>：看漲投資人隱含波動率日平均值</w:t>
      </w:r>
    </w:p>
    <w:p w14:paraId="2320CB47" w14:textId="77777777" w:rsidR="00DE76F1" w:rsidRPr="00DE76F1" w:rsidRDefault="00DE76F1" w:rsidP="00DE76F1">
      <w:pPr>
        <w:numPr>
          <w:ilvl w:val="0"/>
          <w:numId w:val="25"/>
        </w:numPr>
        <w:ind w:firstLine="480"/>
      </w:pPr>
      <w:proofErr w:type="spellStart"/>
      <w:r w:rsidRPr="00DE76F1">
        <w:rPr>
          <w:b/>
          <w:bCs/>
        </w:rPr>
        <w:t>Call_IV_Std</w:t>
      </w:r>
      <w:proofErr w:type="spellEnd"/>
      <w:r w:rsidRPr="00DE76F1">
        <w:t>：看漲投資人隱含波動率日樣本標準差</w:t>
      </w:r>
    </w:p>
    <w:p w14:paraId="3C231824" w14:textId="77777777" w:rsidR="00DE76F1" w:rsidRPr="00DE76F1" w:rsidRDefault="00DE76F1" w:rsidP="00DE76F1">
      <w:pPr>
        <w:numPr>
          <w:ilvl w:val="0"/>
          <w:numId w:val="25"/>
        </w:numPr>
        <w:ind w:firstLine="480"/>
      </w:pPr>
      <w:proofErr w:type="spellStart"/>
      <w:r w:rsidRPr="00DE76F1">
        <w:rPr>
          <w:b/>
          <w:bCs/>
        </w:rPr>
        <w:t>Put_IV_Mean</w:t>
      </w:r>
      <w:proofErr w:type="spellEnd"/>
      <w:r w:rsidRPr="00DE76F1">
        <w:t>：看跌投資人隱含波動率日平均值</w:t>
      </w:r>
    </w:p>
    <w:p w14:paraId="29620382" w14:textId="77777777" w:rsidR="00DE76F1" w:rsidRPr="00DE76F1" w:rsidRDefault="00DE76F1" w:rsidP="00DE76F1">
      <w:pPr>
        <w:numPr>
          <w:ilvl w:val="0"/>
          <w:numId w:val="25"/>
        </w:numPr>
        <w:ind w:firstLine="480"/>
      </w:pPr>
      <w:proofErr w:type="spellStart"/>
      <w:r w:rsidRPr="00DE76F1">
        <w:rPr>
          <w:b/>
          <w:bCs/>
        </w:rPr>
        <w:t>Put_IV_Std</w:t>
      </w:r>
      <w:proofErr w:type="spellEnd"/>
      <w:r w:rsidRPr="00DE76F1">
        <w:t>：看跌投資人隱含波動率日樣本標準差</w:t>
      </w:r>
    </w:p>
    <w:p w14:paraId="33A8FFF5" w14:textId="77777777" w:rsidR="00DE76F1" w:rsidRPr="00DE76F1" w:rsidRDefault="00DE76F1" w:rsidP="00DE76F1">
      <w:pPr>
        <w:ind w:firstLine="480"/>
        <w:rPr>
          <w:rFonts w:hint="eastAsia"/>
        </w:rPr>
      </w:pPr>
    </w:p>
    <w:p w14:paraId="2A85F6F1" w14:textId="77777777" w:rsidR="00963C99" w:rsidRDefault="00963C99">
      <w:pPr>
        <w:widowControl/>
        <w:spacing w:after="160" w:line="278" w:lineRule="auto"/>
        <w:ind w:firstLineChars="0" w:firstLine="0"/>
        <w:rPr>
          <w:rFonts w:cstheme="majorBidi"/>
          <w:color w:val="000000" w:themeColor="text1"/>
          <w:sz w:val="40"/>
          <w:szCs w:val="48"/>
        </w:rPr>
      </w:pPr>
      <w:r>
        <w:br w:type="page"/>
      </w:r>
    </w:p>
    <w:p w14:paraId="4E40C225" w14:textId="1459ACDA" w:rsidR="00963C99" w:rsidRDefault="00963C99" w:rsidP="00963C99">
      <w:pPr>
        <w:pStyle w:val="1"/>
        <w:rPr>
          <w:rFonts w:cs="Times New Roman"/>
        </w:rPr>
      </w:pPr>
      <w:r>
        <w:rPr>
          <w:rFonts w:hint="eastAsia"/>
        </w:rPr>
        <w:lastRenderedPageBreak/>
        <w:t>第五章</w:t>
      </w:r>
      <w:r>
        <w:rPr>
          <w:rFonts w:hint="eastAsia"/>
        </w:rPr>
        <w:t xml:space="preserve"> </w:t>
      </w:r>
      <w:r w:rsidR="00A86FF2" w:rsidRPr="00A86FF2">
        <w:rPr>
          <w:rFonts w:cs="Times New Roman"/>
        </w:rPr>
        <w:t>實證結果與圖表分析</w:t>
      </w:r>
    </w:p>
    <w:p w14:paraId="046580DE" w14:textId="4A4D4E5C" w:rsidR="00043445" w:rsidRDefault="004D51F2" w:rsidP="00E55D64">
      <w:pPr>
        <w:pStyle w:val="2"/>
        <w:spacing w:before="360"/>
        <w:ind w:firstLine="800"/>
      </w:pPr>
      <w:r>
        <w:rPr>
          <w:rFonts w:hint="eastAsia"/>
        </w:rPr>
        <w:t>5.1</w:t>
      </w:r>
      <w:r w:rsidR="00043445">
        <w:rPr>
          <w:rFonts w:hint="eastAsia"/>
        </w:rPr>
        <w:t xml:space="preserve"> </w:t>
      </w:r>
      <w:r w:rsidR="00E55D64" w:rsidRPr="00E55D64">
        <w:t>看漲與看跌選擇權隱含波動率</w:t>
      </w:r>
      <w:r w:rsidR="00E55D64" w:rsidRPr="00E55D64">
        <w:t xml:space="preserve"> (IV) </w:t>
      </w:r>
      <w:r w:rsidR="00E55D64" w:rsidRPr="00E55D64">
        <w:t>趨勢分析</w:t>
      </w:r>
    </w:p>
    <w:p w14:paraId="405F533A" w14:textId="06B9AD32" w:rsidR="00E55D64" w:rsidRDefault="00E55D64" w:rsidP="00E55D64">
      <w:pPr>
        <w:ind w:firstLine="480"/>
        <w:rPr>
          <w:rFonts w:hint="eastAsia"/>
        </w:rPr>
      </w:pPr>
      <w:r w:rsidRPr="00E55D64">
        <w:t>本研究首先分析</w:t>
      </w:r>
      <w:r w:rsidRPr="00E55D64">
        <w:t xml:space="preserve"> 2021 </w:t>
      </w:r>
      <w:r w:rsidRPr="00E55D64">
        <w:t>年至</w:t>
      </w:r>
      <w:r w:rsidRPr="00E55D64">
        <w:t xml:space="preserve"> 2024 </w:t>
      </w:r>
      <w:r w:rsidRPr="00E55D64">
        <w:t>年</w:t>
      </w:r>
      <w:proofErr w:type="gramStart"/>
      <w:r w:rsidRPr="00E55D64">
        <w:t>臺</w:t>
      </w:r>
      <w:proofErr w:type="gramEnd"/>
      <w:r w:rsidRPr="00E55D64">
        <w:t>指選擇權（</w:t>
      </w:r>
      <w:r w:rsidRPr="00E55D64">
        <w:t>TXO</w:t>
      </w:r>
      <w:r w:rsidRPr="00E55D64">
        <w:t>）之每日隱含波動率平均值變化。隱含波動率被視為市場的「恐慌指標」，當數值升高時，反映投資人預期未來市場將有劇烈波動，進而推升選擇權權利金成本。</w:t>
      </w:r>
    </w:p>
    <w:p w14:paraId="464EF812" w14:textId="6CD85A5E" w:rsidR="00E55D64" w:rsidRDefault="00E55D64" w:rsidP="00E55D64">
      <w:pPr>
        <w:ind w:firstLine="480"/>
      </w:pPr>
      <w:r>
        <w:rPr>
          <w:rFonts w:hint="eastAsia"/>
          <w:noProof/>
        </w:rPr>
        <w:drawing>
          <wp:inline distT="0" distB="0" distL="0" distR="0" wp14:anchorId="16CC0179" wp14:editId="273D1195">
            <wp:extent cx="5753100" cy="2682240"/>
            <wp:effectExtent l="0" t="0" r="0" b="3810"/>
            <wp:docPr id="12858885"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53100" cy="2682240"/>
                    </a:xfrm>
                    <a:prstGeom prst="rect">
                      <a:avLst/>
                    </a:prstGeom>
                    <a:noFill/>
                    <a:ln>
                      <a:noFill/>
                    </a:ln>
                  </pic:spPr>
                </pic:pic>
              </a:graphicData>
            </a:graphic>
          </wp:inline>
        </w:drawing>
      </w:r>
    </w:p>
    <w:p w14:paraId="4BB1C29E" w14:textId="1A9FA1B9" w:rsidR="00E55D64" w:rsidRDefault="00E55D64" w:rsidP="00E55D64">
      <w:pPr>
        <w:ind w:firstLine="480"/>
      </w:pPr>
      <w:r w:rsidRPr="00E55D64">
        <w:t>圖</w:t>
      </w:r>
      <w:r w:rsidRPr="00E55D64">
        <w:t xml:space="preserve"> </w:t>
      </w:r>
      <w:r>
        <w:rPr>
          <w:rFonts w:hint="eastAsia"/>
        </w:rPr>
        <w:t>2</w:t>
      </w:r>
      <w:r w:rsidRPr="00E55D64">
        <w:t>：</w:t>
      </w:r>
      <w:r w:rsidRPr="00E55D64">
        <w:t xml:space="preserve">2021-2024 </w:t>
      </w:r>
      <w:r w:rsidRPr="00E55D64">
        <w:t>年</w:t>
      </w:r>
      <w:r w:rsidRPr="00E55D64">
        <w:t xml:space="preserve"> TXO </w:t>
      </w:r>
      <w:r w:rsidRPr="00E55D64">
        <w:t>看漲與看跌</w:t>
      </w:r>
      <w:r w:rsidRPr="00E55D64">
        <w:t xml:space="preserve"> IV </w:t>
      </w:r>
      <w:r w:rsidRPr="00E55D64">
        <w:t>平均值趨勢圖</w:t>
      </w:r>
    </w:p>
    <w:p w14:paraId="5AC87C75" w14:textId="522C2C04" w:rsidR="00E55D64" w:rsidRDefault="00E55D64" w:rsidP="00E55D64">
      <w:pPr>
        <w:pStyle w:val="3"/>
        <w:spacing w:before="72"/>
      </w:pPr>
      <w:r>
        <w:rPr>
          <w:rFonts w:hint="eastAsia"/>
        </w:rPr>
        <w:t>5.1.1</w:t>
      </w:r>
      <w:r w:rsidRPr="00E55D64">
        <w:t>圖表觀測解讀</w:t>
      </w:r>
    </w:p>
    <w:p w14:paraId="34F6B9C3" w14:textId="2A14F1BE" w:rsidR="00E55D64" w:rsidRDefault="00E55D64" w:rsidP="00E55D64">
      <w:pPr>
        <w:ind w:firstLine="480"/>
      </w:pPr>
      <w:r w:rsidRPr="00E55D64">
        <w:t>從圖可以觀察到，代表看跌投資人的紅線（</w:t>
      </w:r>
      <w:r w:rsidRPr="00E55D64">
        <w:t xml:space="preserve">Put IV </w:t>
      </w:r>
      <w:r w:rsidRPr="00E55D64">
        <w:t>平均值）在絕大多數時間均位於代表看漲投資人的綠線（</w:t>
      </w:r>
      <w:r w:rsidRPr="00E55D64">
        <w:t xml:space="preserve">Call IV </w:t>
      </w:r>
      <w:r w:rsidRPr="00E55D64">
        <w:t>平均值）之上。這在財務實務上代表「波動率偏斜（</w:t>
      </w:r>
      <w:r w:rsidRPr="00E55D64">
        <w:t>Volatility Skew</w:t>
      </w:r>
      <w:r w:rsidRPr="00E55D64">
        <w:t>）」，顯示投資人對於股市下跌的恐懼程度遠高於對上漲的預期，因此願意支付較高的成本購買賣權避險。</w:t>
      </w:r>
    </w:p>
    <w:p w14:paraId="682E7050" w14:textId="2C4A9C2E" w:rsidR="00E55D64" w:rsidRDefault="00E55D64" w:rsidP="00E55D64">
      <w:pPr>
        <w:pStyle w:val="3"/>
        <w:spacing w:before="72"/>
      </w:pPr>
      <w:r>
        <w:rPr>
          <w:rFonts w:hint="eastAsia"/>
        </w:rPr>
        <w:t>5.1.2</w:t>
      </w:r>
      <w:proofErr w:type="gramStart"/>
      <w:r w:rsidR="008A1E31" w:rsidRPr="008A1E31">
        <w:t>兩</w:t>
      </w:r>
      <w:proofErr w:type="gramEnd"/>
      <w:r w:rsidR="008A1E31" w:rsidRPr="008A1E31">
        <w:t>樣本檢定統計分析（</w:t>
      </w:r>
      <w:r w:rsidR="008A1E31">
        <w:rPr>
          <w:rFonts w:hint="eastAsia"/>
        </w:rPr>
        <w:t>Z</w:t>
      </w:r>
      <w:r w:rsidR="008A1E31" w:rsidRPr="008A1E31">
        <w:t xml:space="preserve"> </w:t>
      </w:r>
      <w:r w:rsidR="008A1E31" w:rsidRPr="008A1E31">
        <w:t>檢定）</w:t>
      </w:r>
    </w:p>
    <w:p w14:paraId="2D38B1D1" w14:textId="6CCD79A3" w:rsidR="00E55D64" w:rsidRDefault="00E55D64" w:rsidP="00E55D64">
      <w:pPr>
        <w:ind w:firstLine="480"/>
      </w:pPr>
      <w:r>
        <w:rPr>
          <w:rFonts w:hint="eastAsia"/>
        </w:rPr>
        <w:t>由於老師在上課提議我們可以做一個簡單的</w:t>
      </w:r>
      <w:r w:rsidR="008A1E31" w:rsidRPr="008A1E31">
        <w:t>兩樣本檢定統計分析</w:t>
      </w:r>
    </w:p>
    <w:p w14:paraId="5839AFF7" w14:textId="203564E9" w:rsidR="008A1E31" w:rsidRPr="008A1E31" w:rsidRDefault="008A1E31" w:rsidP="008A1E31">
      <w:pPr>
        <w:ind w:firstLine="480"/>
      </w:pPr>
      <w:r w:rsidRPr="008A1E31">
        <w:rPr>
          <w:b/>
          <w:bCs/>
        </w:rPr>
        <w:t>檢定目標</w:t>
      </w:r>
      <w:r w:rsidRPr="008A1E31">
        <w:t>：確認看跌投資人與看漲投資人之風險預期是否存在顯著差異。</w:t>
      </w:r>
    </w:p>
    <w:p w14:paraId="38208912" w14:textId="3B6D127D" w:rsidR="008A1E31" w:rsidRPr="008A1E31" w:rsidRDefault="008A1E31" w:rsidP="008A1E31">
      <w:pPr>
        <w:ind w:firstLine="480"/>
      </w:pPr>
      <w:r w:rsidRPr="008A1E31">
        <w:rPr>
          <w:b/>
          <w:bCs/>
        </w:rPr>
        <w:t>統計假設</w:t>
      </w:r>
      <w:r w:rsidRPr="008A1E31">
        <w:t>：</w:t>
      </w:r>
    </w:p>
    <w:p w14:paraId="5337586C" w14:textId="6BF62D8F" w:rsidR="008A1E31" w:rsidRPr="008A1E31" w:rsidRDefault="008A1E31" w:rsidP="008A1E31">
      <w:pPr>
        <w:numPr>
          <w:ilvl w:val="0"/>
          <w:numId w:val="26"/>
        </w:numPr>
        <w:ind w:firstLine="480"/>
      </w:pPr>
      <w:r w:rsidRPr="008A1E31">
        <w:rPr>
          <w:b/>
          <w:bCs/>
        </w:rPr>
        <w:lastRenderedPageBreak/>
        <w:t>H0</w:t>
      </w:r>
      <w:r w:rsidRPr="008A1E31">
        <w:t>：看跌</w:t>
      </w:r>
      <w:r w:rsidRPr="008A1E31">
        <w:t xml:space="preserve"> IV </w:t>
      </w:r>
      <w:r w:rsidRPr="008A1E31">
        <w:t>平均數</w:t>
      </w:r>
      <w:r w:rsidRPr="008A1E31">
        <w:t xml:space="preserve"> </w:t>
      </w:r>
      <w:r>
        <w:rPr>
          <w:rFonts w:hint="eastAsia"/>
        </w:rPr>
        <w:t>&lt;=</w:t>
      </w:r>
      <w:r w:rsidRPr="008A1E31">
        <w:t>看跌</w:t>
      </w:r>
      <w:r w:rsidRPr="008A1E31">
        <w:t xml:space="preserve"> IV </w:t>
      </w:r>
      <w:r w:rsidRPr="008A1E31">
        <w:t>平均數</w:t>
      </w:r>
    </w:p>
    <w:p w14:paraId="0D47FBC2" w14:textId="0C2BC641" w:rsidR="008A1E31" w:rsidRPr="008A1E31" w:rsidRDefault="008A1E31" w:rsidP="008A1E31">
      <w:pPr>
        <w:numPr>
          <w:ilvl w:val="0"/>
          <w:numId w:val="26"/>
        </w:numPr>
        <w:ind w:firstLine="480"/>
      </w:pPr>
      <w:r w:rsidRPr="008A1E31">
        <w:rPr>
          <w:b/>
          <w:bCs/>
        </w:rPr>
        <w:t>H1</w:t>
      </w:r>
      <w:r w:rsidRPr="008A1E31">
        <w:t>：看跌</w:t>
      </w:r>
      <w:r w:rsidRPr="008A1E31">
        <w:t xml:space="preserve"> IV </w:t>
      </w:r>
      <w:r w:rsidRPr="008A1E31">
        <w:t>平均數</w:t>
      </w:r>
      <w:r>
        <w:rPr>
          <w:rFonts w:hint="eastAsia"/>
        </w:rPr>
        <w:t>&gt;</w:t>
      </w:r>
      <w:r w:rsidRPr="008A1E31">
        <w:t>看漲</w:t>
      </w:r>
      <w:r w:rsidRPr="008A1E31">
        <w:t xml:space="preserve"> IV </w:t>
      </w:r>
      <w:r w:rsidRPr="008A1E31">
        <w:t>平均數。</w:t>
      </w:r>
    </w:p>
    <w:p w14:paraId="02CE0D8F" w14:textId="3FDC9948" w:rsidR="008A1E31" w:rsidRPr="008A1E31" w:rsidRDefault="008A1E31" w:rsidP="008A1E31">
      <w:pPr>
        <w:ind w:firstLine="480"/>
      </w:pPr>
      <w:r w:rsidRPr="008A1E31">
        <w:rPr>
          <w:b/>
          <w:bCs/>
        </w:rPr>
        <w:t>檢定統計量說明</w:t>
      </w:r>
      <w:r w:rsidRPr="008A1E31">
        <w:t>：。</w:t>
      </w:r>
    </w:p>
    <w:p w14:paraId="35EADA93" w14:textId="00E6C1FF" w:rsidR="008A1E31" w:rsidRPr="008A1E31" w:rsidRDefault="008A1E31" w:rsidP="008A1E31">
      <w:pPr>
        <w:numPr>
          <w:ilvl w:val="0"/>
          <w:numId w:val="27"/>
        </w:numPr>
        <w:ind w:firstLine="480"/>
      </w:pPr>
      <w:r>
        <w:rPr>
          <w:rFonts w:hint="eastAsia"/>
          <w:b/>
          <w:bCs/>
        </w:rPr>
        <w:t>Z</w:t>
      </w:r>
      <w:r w:rsidRPr="008A1E31">
        <w:rPr>
          <w:b/>
          <w:bCs/>
        </w:rPr>
        <w:t>統計量</w:t>
      </w:r>
      <w:r w:rsidRPr="008A1E31">
        <w:t>：計算結果遠大</w:t>
      </w:r>
      <w:proofErr w:type="gramStart"/>
      <w:r w:rsidRPr="008A1E31">
        <w:t>於雙尾檢定</w:t>
      </w:r>
      <w:proofErr w:type="gramEnd"/>
      <w:r w:rsidRPr="008A1E31">
        <w:t>之臨界值，顯示差異具備極高穩定性。</w:t>
      </w:r>
    </w:p>
    <w:p w14:paraId="0DD01904" w14:textId="2C5BE8CA" w:rsidR="008A1E31" w:rsidRPr="008A1E31" w:rsidRDefault="008A1E31" w:rsidP="008A1E31">
      <w:pPr>
        <w:numPr>
          <w:ilvl w:val="0"/>
          <w:numId w:val="27"/>
        </w:numPr>
        <w:ind w:firstLine="480"/>
      </w:pPr>
      <w:r w:rsidRPr="008A1E31">
        <w:rPr>
          <w:b/>
          <w:bCs/>
        </w:rPr>
        <w:t xml:space="preserve">P </w:t>
      </w:r>
      <w:r w:rsidRPr="008A1E31">
        <w:rPr>
          <w:b/>
          <w:bCs/>
        </w:rPr>
        <w:t>值</w:t>
      </w:r>
      <w:r w:rsidRPr="008A1E31">
        <w:t>：計算結果小於</w:t>
      </w:r>
      <w:r w:rsidRPr="008A1E31">
        <w:t xml:space="preserve"> 0.001</w:t>
      </w:r>
      <w:r w:rsidRPr="008A1E31">
        <w:t>，代表在</w:t>
      </w:r>
      <w:r w:rsidRPr="008A1E31">
        <w:t xml:space="preserve"> 99% </w:t>
      </w:r>
      <w:r w:rsidRPr="008A1E31">
        <w:t>的信心水準下，我們有極強的證據可以拒絕</w:t>
      </w:r>
      <w:r>
        <w:rPr>
          <w:rFonts w:hint="eastAsia"/>
        </w:rPr>
        <w:t>H0</w:t>
      </w:r>
      <w:r w:rsidRPr="008A1E31">
        <w:t>。</w:t>
      </w:r>
    </w:p>
    <w:p w14:paraId="39EE7C80" w14:textId="56550044" w:rsidR="008A1E31" w:rsidRPr="008A1E31" w:rsidRDefault="008A1E31" w:rsidP="008A1E31">
      <w:pPr>
        <w:ind w:firstLine="480"/>
        <w:rPr>
          <w:rFonts w:hint="eastAsia"/>
        </w:rPr>
      </w:pPr>
      <w:r w:rsidRPr="008A1E31">
        <w:rPr>
          <w:b/>
          <w:bCs/>
        </w:rPr>
        <w:t>財務含意</w:t>
      </w:r>
      <w:r w:rsidRPr="008A1E31">
        <w:t>：統計檢定結果</w:t>
      </w:r>
      <w:r>
        <w:rPr>
          <w:rFonts w:hint="eastAsia"/>
        </w:rPr>
        <w:t>Reject H0 at a=0.01</w:t>
      </w:r>
      <w:r w:rsidRPr="008A1E31">
        <w:t>，看跌投資人的隱含波動率顯著高於看漲投資人。這代表在臺灣期權市場中，賣權的權利金長期隱含較高的風險溢價，反映出強烈的避險驅動性市場特質。</w:t>
      </w:r>
    </w:p>
    <w:p w14:paraId="3C7EC627" w14:textId="33E3268C" w:rsidR="00043445" w:rsidRDefault="00043445" w:rsidP="00DD653F">
      <w:pPr>
        <w:pStyle w:val="2"/>
        <w:numPr>
          <w:ilvl w:val="0"/>
          <w:numId w:val="23"/>
        </w:numPr>
        <w:spacing w:before="360"/>
      </w:pPr>
      <w:r>
        <w:rPr>
          <w:rFonts w:hint="eastAsia"/>
        </w:rPr>
        <w:t>2</w:t>
      </w:r>
      <w:r w:rsidRPr="00043445">
        <w:rPr>
          <w:rFonts w:hint="eastAsia"/>
        </w:rPr>
        <w:t xml:space="preserve"> </w:t>
      </w:r>
      <w:r w:rsidR="008A1E31" w:rsidRPr="008A1E31">
        <w:t>隱含波動率</w:t>
      </w:r>
      <w:r w:rsidR="008A1E31" w:rsidRPr="008A1E31">
        <w:t xml:space="preserve"> (IV) </w:t>
      </w:r>
      <w:r w:rsidR="008A1E31" w:rsidRPr="008A1E31">
        <w:t>樣本標準差分析</w:t>
      </w:r>
    </w:p>
    <w:p w14:paraId="6AACF8BA" w14:textId="23969AF1" w:rsidR="008A1E31" w:rsidRPr="008A1E31" w:rsidRDefault="008A1E31" w:rsidP="008A1E31">
      <w:pPr>
        <w:ind w:left="360" w:firstLineChars="0" w:firstLine="0"/>
        <w:rPr>
          <w:rFonts w:hint="eastAsia"/>
        </w:rPr>
      </w:pPr>
      <w:r>
        <w:rPr>
          <w:noProof/>
        </w:rPr>
        <w:drawing>
          <wp:inline distT="0" distB="0" distL="0" distR="0" wp14:anchorId="45DE12F5" wp14:editId="190D0572">
            <wp:extent cx="5749925" cy="2658110"/>
            <wp:effectExtent l="0" t="0" r="3175" b="8890"/>
            <wp:docPr id="291218934"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49925" cy="2658110"/>
                    </a:xfrm>
                    <a:prstGeom prst="rect">
                      <a:avLst/>
                    </a:prstGeom>
                    <a:noFill/>
                    <a:ln>
                      <a:noFill/>
                    </a:ln>
                  </pic:spPr>
                </pic:pic>
              </a:graphicData>
            </a:graphic>
          </wp:inline>
        </w:drawing>
      </w:r>
    </w:p>
    <w:p w14:paraId="54B2AFBF" w14:textId="1A990E9A" w:rsidR="008A1E31" w:rsidRDefault="008A1E31" w:rsidP="008A1E31">
      <w:pPr>
        <w:ind w:firstLine="480"/>
      </w:pPr>
      <w:r w:rsidRPr="00E55D64">
        <w:t>圖</w:t>
      </w:r>
      <w:r w:rsidRPr="00E55D64">
        <w:t xml:space="preserve"> </w:t>
      </w:r>
      <w:r>
        <w:rPr>
          <w:rFonts w:hint="eastAsia"/>
        </w:rPr>
        <w:t>3</w:t>
      </w:r>
      <w:r w:rsidRPr="00E55D64">
        <w:t>：</w:t>
      </w:r>
      <w:r w:rsidRPr="00E55D64">
        <w:t xml:space="preserve">2021-2024 </w:t>
      </w:r>
      <w:r w:rsidRPr="00E55D64">
        <w:t>年</w:t>
      </w:r>
      <w:r w:rsidRPr="00E55D64">
        <w:t xml:space="preserve"> TXO </w:t>
      </w:r>
      <w:r w:rsidRPr="00E55D64">
        <w:t>看漲與看跌</w:t>
      </w:r>
      <w:r w:rsidRPr="00E55D64">
        <w:t xml:space="preserve"> IV </w:t>
      </w:r>
      <w:r>
        <w:rPr>
          <w:rFonts w:hint="eastAsia"/>
        </w:rPr>
        <w:t>標準差</w:t>
      </w:r>
      <w:r w:rsidRPr="00E55D64">
        <w:t>趨勢圖</w:t>
      </w:r>
    </w:p>
    <w:p w14:paraId="782C472D" w14:textId="6A1CC038" w:rsidR="00043445" w:rsidRDefault="00043445" w:rsidP="00043445">
      <w:pPr>
        <w:pStyle w:val="3"/>
        <w:spacing w:before="72"/>
      </w:pPr>
      <w:r>
        <w:rPr>
          <w:rFonts w:hint="eastAsia"/>
        </w:rPr>
        <w:t>5.</w:t>
      </w:r>
      <w:r w:rsidR="002F317D">
        <w:rPr>
          <w:rFonts w:hint="eastAsia"/>
        </w:rPr>
        <w:t>2</w:t>
      </w:r>
      <w:r>
        <w:rPr>
          <w:rFonts w:hint="eastAsia"/>
        </w:rPr>
        <w:t xml:space="preserve">.1 </w:t>
      </w:r>
      <w:r w:rsidR="002F317D" w:rsidRPr="002F317D">
        <w:t>圖表觀測與經濟環境對照</w:t>
      </w:r>
    </w:p>
    <w:p w14:paraId="6D378854" w14:textId="223FDB23" w:rsidR="002F317D" w:rsidRPr="002F317D" w:rsidRDefault="002F317D" w:rsidP="002F317D">
      <w:pPr>
        <w:ind w:firstLine="480"/>
        <w:rPr>
          <w:rFonts w:hint="eastAsia"/>
        </w:rPr>
      </w:pPr>
      <w:r w:rsidRPr="002F317D">
        <w:t xml:space="preserve">2022 </w:t>
      </w:r>
      <w:r w:rsidRPr="002F317D">
        <w:t>年期間標準差出現頻繁且劇烈的震盪，且整體水位顯著高於其他年度。這反映了在俄烏戰爭爆發、全球供應鏈中斷以及聯</w:t>
      </w:r>
      <w:proofErr w:type="gramStart"/>
      <w:r w:rsidRPr="002F317D">
        <w:t>準</w:t>
      </w:r>
      <w:proofErr w:type="gramEnd"/>
      <w:r w:rsidRPr="002F317D">
        <w:t>會（</w:t>
      </w:r>
      <w:r w:rsidRPr="002F317D">
        <w:t>Fed</w:t>
      </w:r>
      <w:r w:rsidRPr="002F317D">
        <w:t>）啟動強力升息循環的雙重衝擊下，總體經濟環境極端不穩定。此時，投資人對於未來利率路徑與地緣政治風險的</w:t>
      </w:r>
      <w:r w:rsidRPr="002F317D">
        <w:lastRenderedPageBreak/>
        <w:t>定價產生極大爭議，導致</w:t>
      </w:r>
      <w:r w:rsidRPr="002F317D">
        <w:t xml:space="preserve"> IV </w:t>
      </w:r>
      <w:r w:rsidRPr="002F317D">
        <w:t>的離散程度加劇，市場共識難以達成。</w:t>
      </w:r>
    </w:p>
    <w:p w14:paraId="79B2B0EF" w14:textId="7F2F0F54" w:rsidR="00043445" w:rsidRDefault="00043445" w:rsidP="00043445">
      <w:pPr>
        <w:pStyle w:val="3"/>
        <w:spacing w:before="72"/>
      </w:pPr>
      <w:r>
        <w:rPr>
          <w:rFonts w:hint="eastAsia"/>
        </w:rPr>
        <w:t>5.</w:t>
      </w:r>
      <w:r w:rsidR="002F317D">
        <w:rPr>
          <w:rFonts w:hint="eastAsia"/>
        </w:rPr>
        <w:t>2</w:t>
      </w:r>
      <w:r>
        <w:rPr>
          <w:rFonts w:hint="eastAsia"/>
        </w:rPr>
        <w:t xml:space="preserve">.2 </w:t>
      </w:r>
      <w:r w:rsidR="002F317D" w:rsidRPr="002F317D">
        <w:t>看跌投資人的高度分歧</w:t>
      </w:r>
    </w:p>
    <w:p w14:paraId="4EF41161" w14:textId="68731FE8" w:rsidR="002F317D" w:rsidRPr="002F317D" w:rsidRDefault="002F317D" w:rsidP="002F317D">
      <w:pPr>
        <w:ind w:firstLine="480"/>
        <w:rPr>
          <w:rFonts w:hint="eastAsia"/>
        </w:rPr>
      </w:pPr>
      <w:r w:rsidRPr="002F317D">
        <w:t>紅色線（</w:t>
      </w:r>
      <w:r w:rsidRPr="002F317D">
        <w:t xml:space="preserve">Put IV </w:t>
      </w:r>
      <w:r w:rsidRPr="002F317D">
        <w:t>標準差）在多個風險高峰點顯著超越綠色線（</w:t>
      </w:r>
      <w:r w:rsidRPr="002F317D">
        <w:t xml:space="preserve">Call IV </w:t>
      </w:r>
      <w:r w:rsidRPr="002F317D">
        <w:t>標準差），這說明在面臨崩跌風險時，不同部位、不同避險需求的投資人對於「底部在哪裡」或「跌幅多大」的判斷存在巨大分歧。</w:t>
      </w:r>
    </w:p>
    <w:p w14:paraId="43A33B43" w14:textId="049795ED" w:rsidR="00043445" w:rsidRDefault="00043445" w:rsidP="00043445">
      <w:pPr>
        <w:pStyle w:val="3"/>
        <w:spacing w:before="72"/>
      </w:pPr>
      <w:r w:rsidRPr="00043445">
        <w:rPr>
          <w:rStyle w:val="30"/>
          <w:rFonts w:hint="eastAsia"/>
        </w:rPr>
        <w:t>5.</w:t>
      </w:r>
      <w:r w:rsidR="002F317D">
        <w:rPr>
          <w:rStyle w:val="30"/>
          <w:rFonts w:hint="eastAsia"/>
        </w:rPr>
        <w:t>2</w:t>
      </w:r>
      <w:r w:rsidRPr="00043445">
        <w:rPr>
          <w:rStyle w:val="30"/>
          <w:rFonts w:hint="eastAsia"/>
        </w:rPr>
        <w:t xml:space="preserve">.3 </w:t>
      </w:r>
      <w:r w:rsidR="002F317D" w:rsidRPr="002F317D">
        <w:t>從危機到復甦的看法收斂</w:t>
      </w:r>
    </w:p>
    <w:p w14:paraId="3ED55929" w14:textId="36CA9E1D" w:rsidR="002F317D" w:rsidRDefault="002F317D" w:rsidP="002F317D">
      <w:pPr>
        <w:ind w:firstLine="480"/>
      </w:pPr>
      <w:r w:rsidRPr="002F317D">
        <w:t>若將此圖視為一個景氣循環的縮影，可以發現從</w:t>
      </w:r>
      <w:r w:rsidRPr="002F317D">
        <w:t xml:space="preserve"> 2021-2022 </w:t>
      </w:r>
      <w:r w:rsidRPr="002F317D">
        <w:t>年的「危機與高分歧期」，過渡到</w:t>
      </w:r>
      <w:r w:rsidRPr="002F317D">
        <w:t xml:space="preserve"> 2023 </w:t>
      </w:r>
      <w:r w:rsidRPr="002F317D">
        <w:t>年至</w:t>
      </w:r>
      <w:r w:rsidRPr="002F317D">
        <w:t xml:space="preserve"> 2024 </w:t>
      </w:r>
      <w:r w:rsidRPr="002F317D">
        <w:t>年初的「供應鏈恢復與</w:t>
      </w:r>
      <w:r w:rsidRPr="002F317D">
        <w:t xml:space="preserve"> AI </w:t>
      </w:r>
      <w:r w:rsidRPr="002F317D">
        <w:t>轉型期」，標準差的波動頻率與幅度有相對收斂的趨勢</w:t>
      </w:r>
      <w:r>
        <w:rPr>
          <w:rFonts w:hint="eastAsia"/>
        </w:rPr>
        <w:t>。</w:t>
      </w:r>
      <w:r w:rsidRPr="002F317D">
        <w:t>這顯示當經濟環境從極端的政策不確定性走向明確的景氣復甦路徑時，投資人的風險預期會趨於一致，市場的資訊處理效率也隨之回穩。</w:t>
      </w:r>
    </w:p>
    <w:p w14:paraId="412C8FCB" w14:textId="682C2FA4" w:rsidR="002F317D" w:rsidRDefault="002F317D" w:rsidP="002F317D">
      <w:pPr>
        <w:pStyle w:val="2"/>
        <w:spacing w:before="360"/>
      </w:pPr>
      <w:r>
        <w:rPr>
          <w:rFonts w:hint="eastAsia"/>
        </w:rPr>
        <w:t xml:space="preserve">5.3 </w:t>
      </w:r>
      <w:r w:rsidRPr="002F317D">
        <w:t xml:space="preserve">2021 </w:t>
      </w:r>
      <w:r w:rsidRPr="002F317D">
        <w:t>年</w:t>
      </w:r>
      <w:r w:rsidRPr="002F317D">
        <w:t xml:space="preserve"> 5 </w:t>
      </w:r>
      <w:r w:rsidRPr="002F317D">
        <w:t>月</w:t>
      </w:r>
      <w:proofErr w:type="gramStart"/>
      <w:r w:rsidRPr="002F317D">
        <w:t>疫</w:t>
      </w:r>
      <w:proofErr w:type="gramEnd"/>
      <w:r w:rsidRPr="002F317D">
        <w:t>情爆發</w:t>
      </w:r>
      <w:proofErr w:type="gramStart"/>
      <w:r w:rsidRPr="002F317D">
        <w:t>與閃崩</w:t>
      </w:r>
      <w:proofErr w:type="gramEnd"/>
    </w:p>
    <w:p w14:paraId="70F4A630" w14:textId="68EFF1CE" w:rsidR="00EF0FBA" w:rsidRDefault="00EF0FBA" w:rsidP="00EF0FBA">
      <w:pPr>
        <w:ind w:firstLine="480"/>
      </w:pPr>
      <w:r>
        <w:rPr>
          <w:noProof/>
        </w:rPr>
        <w:drawing>
          <wp:inline distT="0" distB="0" distL="0" distR="0" wp14:anchorId="1ED5CFC3" wp14:editId="7E0034A1">
            <wp:extent cx="5757545" cy="2813050"/>
            <wp:effectExtent l="0" t="0" r="0" b="6350"/>
            <wp:docPr id="277222800"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57545" cy="2813050"/>
                    </a:xfrm>
                    <a:prstGeom prst="rect">
                      <a:avLst/>
                    </a:prstGeom>
                    <a:noFill/>
                    <a:ln>
                      <a:noFill/>
                    </a:ln>
                  </pic:spPr>
                </pic:pic>
              </a:graphicData>
            </a:graphic>
          </wp:inline>
        </w:drawing>
      </w:r>
    </w:p>
    <w:p w14:paraId="6BE295BA" w14:textId="07FA65C5" w:rsidR="00C77C67" w:rsidRDefault="00C77C67" w:rsidP="00C77C67">
      <w:pPr>
        <w:ind w:firstLine="480"/>
      </w:pPr>
      <w:r w:rsidRPr="00E55D64">
        <w:t>圖</w:t>
      </w:r>
      <w:r w:rsidRPr="00E55D64">
        <w:t xml:space="preserve"> </w:t>
      </w:r>
      <w:r>
        <w:rPr>
          <w:rFonts w:hint="eastAsia"/>
        </w:rPr>
        <w:t>4</w:t>
      </w:r>
      <w:r w:rsidRPr="00E55D64">
        <w:t>：</w:t>
      </w:r>
      <w:r w:rsidRPr="00C77C67">
        <w:t xml:space="preserve">2021 </w:t>
      </w:r>
      <w:r w:rsidRPr="00C77C67">
        <w:t>年</w:t>
      </w:r>
      <w:r w:rsidRPr="00C77C67">
        <w:t xml:space="preserve"> 5 </w:t>
      </w:r>
      <w:r w:rsidRPr="00C77C67">
        <w:t>月</w:t>
      </w:r>
      <w:r w:rsidRPr="00C77C67">
        <w:t xml:space="preserve"> TXO </w:t>
      </w:r>
      <w:r w:rsidRPr="00C77C67">
        <w:t>看漲與看跌</w:t>
      </w:r>
      <w:r w:rsidRPr="00C77C67">
        <w:t xml:space="preserve"> IV </w:t>
      </w:r>
      <w:r w:rsidRPr="00C77C67">
        <w:t>樣本標準差局部放大圖</w:t>
      </w:r>
    </w:p>
    <w:p w14:paraId="246627F0" w14:textId="31D8EE00" w:rsidR="00C77C67" w:rsidRDefault="00C77C67" w:rsidP="00C77C67">
      <w:pPr>
        <w:pStyle w:val="3"/>
        <w:spacing w:before="72"/>
        <w:rPr>
          <w:rFonts w:hint="eastAsia"/>
        </w:rPr>
      </w:pPr>
      <w:r>
        <w:rPr>
          <w:rFonts w:hint="eastAsia"/>
        </w:rPr>
        <w:t>5.3.1</w:t>
      </w:r>
      <w:r w:rsidRPr="00C77C67">
        <w:t>「看跌</w:t>
      </w:r>
      <w:proofErr w:type="gramStart"/>
      <w:r w:rsidRPr="00C77C67">
        <w:t>恐慌」</w:t>
      </w:r>
      <w:proofErr w:type="gramEnd"/>
      <w:r w:rsidRPr="00C77C67">
        <w:t>與預期分歧的實證</w:t>
      </w:r>
    </w:p>
    <w:p w14:paraId="39B83C00" w14:textId="35073844" w:rsidR="00C77C67" w:rsidRDefault="00C77C67" w:rsidP="00EF0FBA">
      <w:pPr>
        <w:ind w:firstLine="480"/>
      </w:pPr>
      <w:r w:rsidRPr="00C77C67">
        <w:t>從圖中可以明顯觀察到，在</w:t>
      </w:r>
      <w:r w:rsidRPr="00C77C67">
        <w:t xml:space="preserve"> 5 </w:t>
      </w:r>
      <w:r w:rsidRPr="00C77C67">
        <w:t>月</w:t>
      </w:r>
      <w:r w:rsidRPr="00C77C67">
        <w:t xml:space="preserve"> 12 </w:t>
      </w:r>
      <w:proofErr w:type="gramStart"/>
      <w:r w:rsidRPr="00C77C67">
        <w:t>日閃崩發生</w:t>
      </w:r>
      <w:proofErr w:type="gramEnd"/>
      <w:r w:rsidRPr="00C77C67">
        <w:t>後，紅色線（</w:t>
      </w:r>
      <w:r w:rsidRPr="00C77C67">
        <w:t xml:space="preserve">Put IV </w:t>
      </w:r>
      <w:r w:rsidRPr="00C77C67">
        <w:t>樣本標準</w:t>
      </w:r>
      <w:r w:rsidRPr="00C77C67">
        <w:lastRenderedPageBreak/>
        <w:t>差）出現了近乎垂直的噴發，最高點甚至超過</w:t>
      </w:r>
      <w:r w:rsidRPr="00C77C67">
        <w:t xml:space="preserve"> 0.5</w:t>
      </w:r>
      <w:r w:rsidRPr="00C77C67">
        <w:t>。這代表當市場出現非理性下跌時，投資人對未來的預期已完全失去共識。市場不僅僅是在「下跌」，參與者對於「底部在哪裡」以及「還要跌</w:t>
      </w:r>
      <w:proofErr w:type="gramStart"/>
      <w:r w:rsidRPr="00C77C67">
        <w:t>多久」</w:t>
      </w:r>
      <w:proofErr w:type="gramEnd"/>
      <w:r w:rsidRPr="00C77C67">
        <w:t>的看法產生了極大的分歧。這種高標準差的現象，具體呈現了市場在面臨系統性風險時的「看跌</w:t>
      </w:r>
      <w:proofErr w:type="gramStart"/>
      <w:r w:rsidRPr="00C77C67">
        <w:t>恐慌」</w:t>
      </w:r>
      <w:proofErr w:type="gramEnd"/>
      <w:r w:rsidRPr="00C77C67">
        <w:t>心理。</w:t>
      </w:r>
    </w:p>
    <w:p w14:paraId="348B373C" w14:textId="49BFDAB1" w:rsidR="00C77C67" w:rsidRDefault="00C77C67" w:rsidP="00C77C67">
      <w:pPr>
        <w:pStyle w:val="3"/>
        <w:spacing w:before="72"/>
      </w:pPr>
      <w:r>
        <w:rPr>
          <w:rFonts w:hint="eastAsia"/>
        </w:rPr>
        <w:t>5.3.2</w:t>
      </w:r>
      <w:r w:rsidRPr="00C77C67">
        <w:t>看漲與看跌預期的不對稱性</w:t>
      </w:r>
    </w:p>
    <w:p w14:paraId="74A78FE5" w14:textId="142E7460" w:rsidR="00C77C67" w:rsidRPr="00C77C67" w:rsidRDefault="00C77C67" w:rsidP="00C77C67">
      <w:pPr>
        <w:ind w:firstLine="480"/>
        <w:rPr>
          <w:rFonts w:hint="eastAsia"/>
        </w:rPr>
      </w:pPr>
      <w:r w:rsidRPr="00C77C67">
        <w:t>相較於</w:t>
      </w:r>
      <w:r w:rsidRPr="00C77C67">
        <w:t xml:space="preserve"> Put IV </w:t>
      </w:r>
      <w:r w:rsidRPr="00C77C67">
        <w:t>標準差的劇烈波動，綠色線（</w:t>
      </w:r>
      <w:r w:rsidRPr="00C77C67">
        <w:t xml:space="preserve">Call IV </w:t>
      </w:r>
      <w:r w:rsidRPr="00C77C67">
        <w:t>標準差）雖然也有上升，但幅度遠小於紅色線。這再次印證了在臺灣選擇權市場中，投資人對「利空」的反應遠比「利多」更為激烈且混亂。當恐慌蔓延時，賣權（</w:t>
      </w:r>
      <w:r w:rsidRPr="00C77C67">
        <w:t>Put</w:t>
      </w:r>
      <w:r w:rsidRPr="00C77C67">
        <w:t>）的定價會因為投資人極度分歧的保險需求而被大幅推向極端且不穩定的區間。</w:t>
      </w:r>
    </w:p>
    <w:p w14:paraId="445683C7" w14:textId="460A5052" w:rsidR="00043445" w:rsidRPr="00C77C67" w:rsidRDefault="00043445" w:rsidP="00043445">
      <w:pPr>
        <w:widowControl/>
        <w:spacing w:after="160" w:line="278" w:lineRule="auto"/>
        <w:ind w:firstLineChars="0" w:firstLine="0"/>
      </w:pPr>
      <w:r>
        <w:br w:type="page"/>
      </w:r>
    </w:p>
    <w:p w14:paraId="3FEE9FB9" w14:textId="2B3352C5" w:rsidR="004470B9" w:rsidRDefault="00AB63BE" w:rsidP="004470B9">
      <w:pPr>
        <w:pStyle w:val="1"/>
      </w:pPr>
      <w:r>
        <w:rPr>
          <w:rFonts w:hint="eastAsia"/>
        </w:rPr>
        <w:lastRenderedPageBreak/>
        <w:t>第六章</w:t>
      </w:r>
      <w:r>
        <w:rPr>
          <w:rFonts w:hint="eastAsia"/>
        </w:rPr>
        <w:t xml:space="preserve"> </w:t>
      </w:r>
      <w:r w:rsidR="00A86FF2" w:rsidRPr="00A86FF2">
        <w:t>財務與統計含意說明</w:t>
      </w:r>
    </w:p>
    <w:p w14:paraId="39EA9305" w14:textId="418E5C01" w:rsidR="00043445" w:rsidRDefault="00043445" w:rsidP="00043445">
      <w:pPr>
        <w:pStyle w:val="2"/>
        <w:spacing w:before="360"/>
        <w:ind w:firstLine="800"/>
      </w:pPr>
      <w:r>
        <w:rPr>
          <w:rFonts w:hint="eastAsia"/>
        </w:rPr>
        <w:t>6.1</w:t>
      </w:r>
      <w:r w:rsidR="00C77C67" w:rsidRPr="00C77C67">
        <w:t>平均數</w:t>
      </w:r>
      <w:r w:rsidR="00004025">
        <w:rPr>
          <w:rFonts w:hint="eastAsia"/>
        </w:rPr>
        <w:t>之</w:t>
      </w:r>
      <w:r w:rsidR="00C77C67" w:rsidRPr="00C77C67">
        <w:t>市場風險的預期水位</w:t>
      </w:r>
      <w:r w:rsidR="00C77C67">
        <w:rPr>
          <w:rFonts w:hint="eastAsia"/>
        </w:rPr>
        <w:t>\</w:t>
      </w:r>
    </w:p>
    <w:p w14:paraId="66E25D75" w14:textId="5133BCBA" w:rsidR="00C77C67" w:rsidRPr="00C77C67" w:rsidRDefault="00C77C67" w:rsidP="00C77C67">
      <w:pPr>
        <w:ind w:firstLine="480"/>
      </w:pPr>
      <w:r w:rsidRPr="00C77C67">
        <w:t>隱含波動率的平均數反映了市場參與者對未來標的指數波動強度的「共識預期」。</w:t>
      </w:r>
    </w:p>
    <w:p w14:paraId="152841E6" w14:textId="77777777" w:rsidR="00C77C67" w:rsidRPr="00C77C67" w:rsidRDefault="00C77C67" w:rsidP="00C77C67">
      <w:pPr>
        <w:numPr>
          <w:ilvl w:val="0"/>
          <w:numId w:val="28"/>
        </w:numPr>
        <w:ind w:firstLine="480"/>
      </w:pPr>
      <w:r w:rsidRPr="00C77C67">
        <w:rPr>
          <w:b/>
          <w:bCs/>
        </w:rPr>
        <w:t>市場意義</w:t>
      </w:r>
      <w:r w:rsidRPr="00C77C67">
        <w:t>：當</w:t>
      </w:r>
      <w:r w:rsidRPr="00C77C67">
        <w:t xml:space="preserve"> IV </w:t>
      </w:r>
      <w:r w:rsidRPr="00C77C67">
        <w:t>平均數上升時，代表市場預期未來標的指數將有大幅度的變動。這通常伴隨著權利金成本的增加，反映出市場整體的避險與投機需求轉強。</w:t>
      </w:r>
    </w:p>
    <w:p w14:paraId="0067AFB5" w14:textId="48901ECD" w:rsidR="00C77C67" w:rsidRPr="00C77C67" w:rsidRDefault="00C77C67" w:rsidP="00004025">
      <w:pPr>
        <w:numPr>
          <w:ilvl w:val="0"/>
          <w:numId w:val="28"/>
        </w:numPr>
        <w:ind w:firstLine="480"/>
        <w:rPr>
          <w:rFonts w:hint="eastAsia"/>
        </w:rPr>
      </w:pPr>
      <w:r w:rsidRPr="00C77C67">
        <w:rPr>
          <w:b/>
          <w:bCs/>
        </w:rPr>
        <w:t>風險意義</w:t>
      </w:r>
      <w:r w:rsidRPr="00C77C67">
        <w:t>：實證顯示</w:t>
      </w:r>
      <w:r w:rsidRPr="00C77C67">
        <w:t xml:space="preserve"> Put IV </w:t>
      </w:r>
      <w:r w:rsidRPr="00C77C67">
        <w:t>平均數長期高於</w:t>
      </w:r>
      <w:r w:rsidRPr="00C77C67">
        <w:t xml:space="preserve"> Call IV</w:t>
      </w:r>
      <w:r w:rsidRPr="00C77C67">
        <w:t>，這代表在財務上存在「波動率偏斜」現象。市場參與者對於股價下跌的保護需求較高，願意支付更高的「風險溢價」來購買賣權，反映出投資人對下行風險的敏感度遠高於上行機會。</w:t>
      </w:r>
    </w:p>
    <w:p w14:paraId="4369B0FC" w14:textId="4873F5DF" w:rsidR="00043445" w:rsidRDefault="00043445" w:rsidP="00043445">
      <w:pPr>
        <w:pStyle w:val="2"/>
        <w:spacing w:before="360"/>
        <w:ind w:firstLine="800"/>
      </w:pPr>
      <w:r w:rsidRPr="003C6DD6">
        <w:rPr>
          <w:rFonts w:hint="eastAsia"/>
        </w:rPr>
        <w:t>6.2</w:t>
      </w:r>
      <w:r w:rsidR="00004025" w:rsidRPr="00004025">
        <w:t>樣本標準差</w:t>
      </w:r>
      <w:r w:rsidR="00004025">
        <w:rPr>
          <w:rFonts w:hint="eastAsia"/>
        </w:rPr>
        <w:t>之</w:t>
      </w:r>
      <w:r w:rsidR="00004025" w:rsidRPr="00004025">
        <w:t>市場預期的離散與分歧程度</w:t>
      </w:r>
    </w:p>
    <w:p w14:paraId="6C47D539" w14:textId="77777777" w:rsidR="00004025" w:rsidRPr="00004025" w:rsidRDefault="00004025" w:rsidP="00004025">
      <w:pPr>
        <w:ind w:firstLine="480"/>
      </w:pPr>
      <w:r w:rsidRPr="00004025">
        <w:t xml:space="preserve">IV </w:t>
      </w:r>
      <w:r w:rsidRPr="00004025">
        <w:t>的樣本標準差衡量的是不同履約價、不同部位投資人之間看法的不一致性。</w:t>
      </w:r>
    </w:p>
    <w:p w14:paraId="1ACBDAAE" w14:textId="77777777" w:rsidR="00004025" w:rsidRPr="00004025" w:rsidRDefault="00004025" w:rsidP="00004025">
      <w:pPr>
        <w:numPr>
          <w:ilvl w:val="0"/>
          <w:numId w:val="29"/>
        </w:numPr>
        <w:ind w:firstLine="480"/>
      </w:pPr>
      <w:r w:rsidRPr="00004025">
        <w:rPr>
          <w:b/>
          <w:bCs/>
        </w:rPr>
        <w:t>統計含意</w:t>
      </w:r>
      <w:r w:rsidRPr="00004025">
        <w:t>：標準差代表資料的「離散程度」。高標準差意味著資料點偏離平均值較遠，代表投資人對於未來波動率的看法存在巨大分歧。</w:t>
      </w:r>
    </w:p>
    <w:p w14:paraId="2B49E31F" w14:textId="7E8F20DF" w:rsidR="00004025" w:rsidRDefault="00004025" w:rsidP="00004025">
      <w:pPr>
        <w:numPr>
          <w:ilvl w:val="0"/>
          <w:numId w:val="29"/>
        </w:numPr>
        <w:ind w:firstLine="480"/>
      </w:pPr>
      <w:r w:rsidRPr="00004025">
        <w:rPr>
          <w:b/>
          <w:bCs/>
        </w:rPr>
        <w:t>市場意義（資訊不對稱與不確定性）</w:t>
      </w:r>
      <w:r w:rsidRPr="00004025">
        <w:t>：如本研究觀察到</w:t>
      </w:r>
      <w:r w:rsidRPr="00004025">
        <w:t xml:space="preserve"> 2021 </w:t>
      </w:r>
      <w:r w:rsidRPr="00004025">
        <w:t>年</w:t>
      </w:r>
      <w:r w:rsidRPr="00004025">
        <w:t xml:space="preserve"> 5 </w:t>
      </w:r>
      <w:r w:rsidRPr="00004025">
        <w:t>月與</w:t>
      </w:r>
      <w:r w:rsidRPr="00004025">
        <w:t xml:space="preserve"> 2022 </w:t>
      </w:r>
      <w:r w:rsidRPr="00004025">
        <w:t>年期間標準差劇烈</w:t>
      </w:r>
      <w:proofErr w:type="gramStart"/>
      <w:r w:rsidRPr="00004025">
        <w:t>飆</w:t>
      </w:r>
      <w:proofErr w:type="gramEnd"/>
      <w:r w:rsidRPr="00004025">
        <w:t>升。這代表在極端事件發生時，市場對於「風險的定價」失去了共識。看跌恐慌使得不同背景的投資人對後市跌幅看法南轅北轍，導致</w:t>
      </w:r>
      <w:r w:rsidRPr="00004025">
        <w:t xml:space="preserve"> IV </w:t>
      </w:r>
      <w:r w:rsidRPr="00004025">
        <w:t>離散程度大幅增加。</w:t>
      </w:r>
    </w:p>
    <w:p w14:paraId="49FBF5E5" w14:textId="5684BEDD" w:rsidR="00004025" w:rsidRPr="00004025" w:rsidRDefault="00004025" w:rsidP="00004025">
      <w:pPr>
        <w:numPr>
          <w:ilvl w:val="0"/>
          <w:numId w:val="29"/>
        </w:numPr>
        <w:ind w:firstLine="480"/>
        <w:rPr>
          <w:rFonts w:hint="eastAsia"/>
        </w:rPr>
      </w:pPr>
      <w:r w:rsidRPr="00004025">
        <w:rPr>
          <w:b/>
          <w:bCs/>
        </w:rPr>
        <w:t>風險意義與連動性</w:t>
      </w:r>
      <w:r w:rsidRPr="00004025">
        <w:t>：本研究發現</w:t>
      </w:r>
      <w:r w:rsidRPr="00004025">
        <w:t xml:space="preserve"> PCR </w:t>
      </w:r>
      <w:r w:rsidRPr="00004025">
        <w:t>與</w:t>
      </w:r>
      <w:r w:rsidRPr="00004025">
        <w:t xml:space="preserve"> IV </w:t>
      </w:r>
      <w:r w:rsidRPr="00004025">
        <w:t>的變動具有高度相關性。在</w:t>
      </w:r>
      <w:r w:rsidRPr="00004025">
        <w:t xml:space="preserve"> 2024 </w:t>
      </w:r>
      <w:r w:rsidRPr="00004025">
        <w:t>年</w:t>
      </w:r>
      <w:r w:rsidRPr="00004025">
        <w:t xml:space="preserve"> 8 </w:t>
      </w:r>
      <w:r w:rsidRPr="00004025">
        <w:t>月等股災</w:t>
      </w:r>
      <w:proofErr w:type="gramStart"/>
      <w:r w:rsidRPr="00004025">
        <w:t>期間，</w:t>
      </w:r>
      <w:proofErr w:type="gramEnd"/>
      <w:r w:rsidRPr="00004025">
        <w:t xml:space="preserve">IV </w:t>
      </w:r>
      <w:r w:rsidRPr="00004025">
        <w:t>的噴發通常伴隨著</w:t>
      </w:r>
      <w:r w:rsidRPr="00004025">
        <w:t xml:space="preserve"> PCR </w:t>
      </w:r>
      <w:r w:rsidRPr="00004025">
        <w:t>的急遽轉折，這顯示市場在面臨極端風險時，情緒（</w:t>
      </w:r>
      <w:r w:rsidRPr="00004025">
        <w:t>PCR</w:t>
      </w:r>
      <w:r w:rsidRPr="00004025">
        <w:t>）與成本預期（</w:t>
      </w:r>
      <w:r w:rsidRPr="00004025">
        <w:t>IV</w:t>
      </w:r>
      <w:r w:rsidRPr="00004025">
        <w:t>）會同步發生劇烈調整。</w:t>
      </w:r>
    </w:p>
    <w:p w14:paraId="66084026" w14:textId="21F818B0" w:rsidR="004470B9" w:rsidRPr="004470B9" w:rsidRDefault="004470B9" w:rsidP="004470B9">
      <w:pPr>
        <w:widowControl/>
        <w:spacing w:after="160" w:line="278" w:lineRule="auto"/>
        <w:ind w:firstLineChars="0" w:firstLine="0"/>
      </w:pPr>
    </w:p>
    <w:p w14:paraId="6E5E2893" w14:textId="172F4DF3" w:rsidR="004D51F2" w:rsidRPr="004470B9" w:rsidRDefault="00A93915" w:rsidP="004470B9">
      <w:pPr>
        <w:pStyle w:val="1"/>
        <w:rPr>
          <w:rFonts w:cs="Times New Roman"/>
        </w:rPr>
      </w:pPr>
      <w:r>
        <w:rPr>
          <w:rFonts w:hint="eastAsia"/>
          <w:noProof/>
        </w:rPr>
        <w:lastRenderedPageBreak/>
        <w:t>第七章</w:t>
      </w:r>
      <w:r>
        <w:rPr>
          <w:rFonts w:hint="eastAsia"/>
          <w:noProof/>
        </w:rPr>
        <w:t xml:space="preserve"> </w:t>
      </w:r>
      <w:r w:rsidR="00A86FF2" w:rsidRPr="00A86FF2">
        <w:rPr>
          <w:rFonts w:cs="Times New Roman"/>
        </w:rPr>
        <w:t>問題、限制與修正方式</w:t>
      </w:r>
    </w:p>
    <w:p w14:paraId="5E9B2132" w14:textId="400E1733" w:rsidR="004D51F2" w:rsidRDefault="004D51F2" w:rsidP="004D51F2">
      <w:pPr>
        <w:pStyle w:val="2"/>
        <w:spacing w:before="360"/>
      </w:pPr>
      <w:r>
        <w:rPr>
          <w:rFonts w:hint="eastAsia"/>
        </w:rPr>
        <w:t xml:space="preserve">7.1 </w:t>
      </w:r>
      <w:r w:rsidR="00043445" w:rsidRPr="00043445">
        <w:rPr>
          <w:rFonts w:hint="eastAsia"/>
        </w:rPr>
        <w:t>任務目標</w:t>
      </w:r>
    </w:p>
    <w:p w14:paraId="0F5AFED1" w14:textId="7A3C9502" w:rsidR="003C6DD6" w:rsidRPr="003C6DD6" w:rsidRDefault="003C6DD6" w:rsidP="003C6DD6">
      <w:pPr>
        <w:ind w:firstLine="480"/>
      </w:pPr>
      <w:r w:rsidRPr="003C6DD6">
        <w:t>將多個不同來源的金融數據（</w:t>
      </w:r>
      <w:r w:rsidRPr="003C6DD6">
        <w:t xml:space="preserve">CSV </w:t>
      </w:r>
      <w:r w:rsidRPr="003C6DD6">
        <w:t>與網頁資訊）整合，並自動化計算期權參數。</w:t>
      </w:r>
      <w:r>
        <w:rPr>
          <w:rFonts w:hint="eastAsia"/>
        </w:rPr>
        <w:t>做成一份方便後續分析的預處理檔案。</w:t>
      </w:r>
    </w:p>
    <w:p w14:paraId="6FF293BE" w14:textId="686748C5" w:rsidR="004D51F2" w:rsidRDefault="004D51F2" w:rsidP="004D51F2">
      <w:pPr>
        <w:pStyle w:val="2"/>
        <w:spacing w:before="360"/>
      </w:pPr>
      <w:r>
        <w:rPr>
          <w:rFonts w:hint="eastAsia"/>
        </w:rPr>
        <w:t xml:space="preserve">7.2 </w:t>
      </w:r>
      <w:r w:rsidR="00043445" w:rsidRPr="00043445">
        <w:rPr>
          <w:rFonts w:hint="eastAsia"/>
        </w:rPr>
        <w:t>指令優化邏輯</w:t>
      </w:r>
    </w:p>
    <w:p w14:paraId="7BE9A21E" w14:textId="3A1A7213" w:rsidR="003C6DD6" w:rsidRDefault="003C6DD6" w:rsidP="003C6DD6">
      <w:pPr>
        <w:pStyle w:val="3"/>
        <w:spacing w:before="72"/>
      </w:pPr>
      <w:r>
        <w:rPr>
          <w:rFonts w:hint="eastAsia"/>
        </w:rPr>
        <w:t>7.2.1</w:t>
      </w:r>
      <w:r w:rsidRPr="003C6DD6">
        <w:t>初始階段</w:t>
      </w:r>
      <w:r>
        <w:rPr>
          <w:rFonts w:hint="eastAsia"/>
        </w:rPr>
        <w:t>：</w:t>
      </w:r>
    </w:p>
    <w:p w14:paraId="031003D1" w14:textId="33548517" w:rsidR="003C6DD6" w:rsidRDefault="003C6DD6" w:rsidP="003C6DD6">
      <w:pPr>
        <w:pStyle w:val="a9"/>
        <w:numPr>
          <w:ilvl w:val="0"/>
          <w:numId w:val="19"/>
        </w:numPr>
        <w:ind w:firstLineChars="0"/>
      </w:pPr>
      <w:r>
        <w:rPr>
          <w:rFonts w:hint="eastAsia"/>
        </w:rPr>
        <w:t>指令描述：僅簡單要求</w:t>
      </w:r>
      <w:r>
        <w:rPr>
          <w:rFonts w:hint="eastAsia"/>
        </w:rPr>
        <w:t xml:space="preserve"> AI </w:t>
      </w:r>
      <w:r>
        <w:rPr>
          <w:rFonts w:hint="eastAsia"/>
        </w:rPr>
        <w:t>「讀取檔案並生成索引欄位」。</w:t>
      </w:r>
    </w:p>
    <w:p w14:paraId="761423C1" w14:textId="186F1343" w:rsidR="003C6DD6" w:rsidRDefault="003C6DD6" w:rsidP="003C6DD6">
      <w:pPr>
        <w:pStyle w:val="a9"/>
        <w:numPr>
          <w:ilvl w:val="0"/>
          <w:numId w:val="19"/>
        </w:numPr>
        <w:ind w:firstLineChars="0"/>
      </w:pPr>
      <w:r>
        <w:rPr>
          <w:rFonts w:hint="eastAsia"/>
        </w:rPr>
        <w:t>遭遇困境：</w:t>
      </w:r>
      <w:r>
        <w:rPr>
          <w:rFonts w:hint="eastAsia"/>
        </w:rPr>
        <w:t xml:space="preserve">AI </w:t>
      </w:r>
      <w:r>
        <w:rPr>
          <w:rFonts w:hint="eastAsia"/>
        </w:rPr>
        <w:t>因為不了解台灣市場的特殊編碼（</w:t>
      </w:r>
      <w:r>
        <w:rPr>
          <w:rFonts w:hint="eastAsia"/>
        </w:rPr>
        <w:t>UTF-16</w:t>
      </w:r>
      <w:r>
        <w:rPr>
          <w:rFonts w:hint="eastAsia"/>
        </w:rPr>
        <w:t>），導致程式碼在讀取階段即崩潰；</w:t>
      </w:r>
      <w:proofErr w:type="gramStart"/>
      <w:r>
        <w:rPr>
          <w:rFonts w:hint="eastAsia"/>
        </w:rPr>
        <w:t>此外，</w:t>
      </w:r>
      <w:proofErr w:type="gramEnd"/>
      <w:r>
        <w:rPr>
          <w:rFonts w:hint="eastAsia"/>
        </w:rPr>
        <w:t xml:space="preserve">AI </w:t>
      </w:r>
      <w:r>
        <w:rPr>
          <w:rFonts w:hint="eastAsia"/>
        </w:rPr>
        <w:t>無法辨識「周選擇權」與「月選擇權」的差異，導致合約月份判斷錯誤，</w:t>
      </w:r>
      <w:r>
        <w:rPr>
          <w:rFonts w:hint="eastAsia"/>
        </w:rPr>
        <w:t xml:space="preserve">Maturity </w:t>
      </w:r>
      <w:r>
        <w:rPr>
          <w:rFonts w:hint="eastAsia"/>
        </w:rPr>
        <w:t>計算邏輯亦不符合期交所規定。</w:t>
      </w:r>
    </w:p>
    <w:p w14:paraId="68FEFE42" w14:textId="39476699" w:rsidR="003C6DD6" w:rsidRDefault="003C6DD6" w:rsidP="003C6DD6">
      <w:pPr>
        <w:pStyle w:val="3"/>
        <w:spacing w:before="72"/>
      </w:pPr>
      <w:r>
        <w:rPr>
          <w:rFonts w:hint="eastAsia"/>
        </w:rPr>
        <w:t>7.2.2</w:t>
      </w:r>
      <w:r w:rsidRPr="003C6DD6">
        <w:t>進化階段（優化過程）：</w:t>
      </w:r>
    </w:p>
    <w:p w14:paraId="73B9DB32" w14:textId="6F723BFA" w:rsidR="003C6DD6" w:rsidRPr="003C6DD6" w:rsidRDefault="003C6DD6" w:rsidP="003C6DD6">
      <w:pPr>
        <w:pStyle w:val="a9"/>
        <w:numPr>
          <w:ilvl w:val="0"/>
          <w:numId w:val="20"/>
        </w:numPr>
        <w:ind w:firstLineChars="0"/>
      </w:pPr>
      <w:r w:rsidRPr="003C6DD6">
        <w:rPr>
          <w:b/>
          <w:bCs/>
        </w:rPr>
        <w:t>關鍵修正</w:t>
      </w:r>
      <w:r w:rsidRPr="003C6DD6">
        <w:t>：明確告知</w:t>
      </w:r>
      <w:r w:rsidRPr="003C6DD6">
        <w:t xml:space="preserve"> AI </w:t>
      </w:r>
      <w:r w:rsidRPr="003C6DD6">
        <w:t>檔案編碼參數與分隔符。</w:t>
      </w:r>
    </w:p>
    <w:p w14:paraId="3C1B0101" w14:textId="52AB7A11" w:rsidR="003C6DD6" w:rsidRPr="003C6DD6" w:rsidRDefault="003C6DD6" w:rsidP="003C6DD6">
      <w:pPr>
        <w:pStyle w:val="a9"/>
        <w:numPr>
          <w:ilvl w:val="0"/>
          <w:numId w:val="20"/>
        </w:numPr>
        <w:ind w:firstLineChars="0"/>
      </w:pPr>
      <w:r w:rsidRPr="003C6DD6">
        <w:rPr>
          <w:b/>
          <w:bCs/>
        </w:rPr>
        <w:t>導入業務邏輯</w:t>
      </w:r>
      <w:r w:rsidRPr="003C6DD6">
        <w:t>：上傳期交所結算日檔案，並下達明確過濾指令「排除所有契約月份含</w:t>
      </w:r>
      <w:r w:rsidRPr="003C6DD6">
        <w:t xml:space="preserve"> W </w:t>
      </w:r>
      <w:r w:rsidRPr="003C6DD6">
        <w:t>的項目」，強制</w:t>
      </w:r>
      <w:r w:rsidRPr="003C6DD6">
        <w:t xml:space="preserve"> AI </w:t>
      </w:r>
      <w:r w:rsidRPr="003C6DD6">
        <w:t>鎖定月選擇權。</w:t>
      </w:r>
    </w:p>
    <w:p w14:paraId="5669A9B9" w14:textId="55BC60F5" w:rsidR="00043445" w:rsidRDefault="00043445" w:rsidP="00043445">
      <w:pPr>
        <w:pStyle w:val="2"/>
        <w:spacing w:before="360"/>
      </w:pPr>
      <w:r>
        <w:rPr>
          <w:rFonts w:hint="eastAsia"/>
        </w:rPr>
        <w:t>7.</w:t>
      </w:r>
      <w:r w:rsidR="003C6DD6">
        <w:rPr>
          <w:rFonts w:hint="eastAsia"/>
        </w:rPr>
        <w:t>3</w:t>
      </w:r>
      <w:r>
        <w:rPr>
          <w:rFonts w:hint="eastAsia"/>
        </w:rPr>
        <w:t xml:space="preserve"> </w:t>
      </w:r>
      <w:r w:rsidRPr="00043445">
        <w:rPr>
          <w:rFonts w:hint="eastAsia"/>
        </w:rPr>
        <w:t>協助成果</w:t>
      </w:r>
    </w:p>
    <w:p w14:paraId="7609A640" w14:textId="637AA31C" w:rsidR="003C6DD6" w:rsidRPr="003C6DD6" w:rsidRDefault="003C6DD6" w:rsidP="003C6DD6">
      <w:pPr>
        <w:widowControl/>
        <w:spacing w:after="160" w:line="278" w:lineRule="auto"/>
        <w:ind w:firstLineChars="0" w:firstLine="0"/>
      </w:pPr>
      <w:r w:rsidRPr="003C6DD6">
        <w:t xml:space="preserve">AI </w:t>
      </w:r>
      <w:r w:rsidRPr="003C6DD6">
        <w:t>成功產出了穩健的</w:t>
      </w:r>
      <w:r w:rsidRPr="003C6DD6">
        <w:t xml:space="preserve"> Python </w:t>
      </w:r>
      <w:r w:rsidRPr="003C6DD6">
        <w:t>程式碼，解決了容易出錯的問題。</w:t>
      </w:r>
    </w:p>
    <w:p w14:paraId="458DE6D2" w14:textId="48F198B0" w:rsidR="005A131B" w:rsidRDefault="005A131B">
      <w:pPr>
        <w:widowControl/>
        <w:spacing w:after="160" w:line="278" w:lineRule="auto"/>
        <w:ind w:firstLineChars="0" w:firstLine="0"/>
      </w:pPr>
      <w:r>
        <w:br w:type="page"/>
      </w:r>
    </w:p>
    <w:p w14:paraId="21E5A945" w14:textId="6E5DA7AD" w:rsidR="005A131B" w:rsidRDefault="005A131B" w:rsidP="005A131B">
      <w:pPr>
        <w:pStyle w:val="1"/>
        <w:rPr>
          <w:noProof/>
        </w:rPr>
      </w:pPr>
      <w:r>
        <w:rPr>
          <w:rFonts w:hint="eastAsia"/>
          <w:noProof/>
        </w:rPr>
        <w:lastRenderedPageBreak/>
        <w:t>第八章</w:t>
      </w:r>
      <w:r>
        <w:rPr>
          <w:rFonts w:hint="eastAsia"/>
          <w:noProof/>
        </w:rPr>
        <w:t xml:space="preserve"> </w:t>
      </w:r>
      <w:r w:rsidR="00A86FF2" w:rsidRPr="00A86FF2">
        <w:rPr>
          <w:noProof/>
        </w:rPr>
        <w:t xml:space="preserve">AI Prompt </w:t>
      </w:r>
      <w:r w:rsidR="00A86FF2" w:rsidRPr="00A86FF2">
        <w:rPr>
          <w:noProof/>
        </w:rPr>
        <w:t>實作與優化紀錄摘要</w:t>
      </w:r>
    </w:p>
    <w:p w14:paraId="76ED1EBE" w14:textId="3A205A5A" w:rsidR="00004025" w:rsidRDefault="00004025" w:rsidP="00004025">
      <w:pPr>
        <w:ind w:firstLine="480"/>
      </w:pPr>
      <w:r w:rsidRPr="00004025">
        <w:t>本研究在處理</w:t>
      </w:r>
      <w:r w:rsidRPr="00004025">
        <w:t xml:space="preserve"> 2021 </w:t>
      </w:r>
      <w:r w:rsidRPr="00004025">
        <w:t>年至</w:t>
      </w:r>
      <w:r w:rsidRPr="00004025">
        <w:t xml:space="preserve"> 2024 </w:t>
      </w:r>
      <w:r w:rsidRPr="00004025">
        <w:t>年的大規模逐筆交易資料時，面臨了數據處理、財務模型計算及團隊協作等多重挑戰。</w:t>
      </w:r>
      <w:proofErr w:type="gramStart"/>
      <w:r w:rsidRPr="00004025">
        <w:t>以下彙</w:t>
      </w:r>
      <w:proofErr w:type="gramEnd"/>
      <w:r w:rsidRPr="00004025">
        <w:t>整本次作業遇到的核心問題及其對應的解決方法</w:t>
      </w:r>
    </w:p>
    <w:p w14:paraId="12833DAC" w14:textId="36E4CA9D" w:rsidR="00004025" w:rsidRDefault="00004025" w:rsidP="00004025">
      <w:pPr>
        <w:pStyle w:val="2"/>
        <w:spacing w:before="360"/>
      </w:pPr>
      <w:r>
        <w:rPr>
          <w:rFonts w:hint="eastAsia"/>
        </w:rPr>
        <w:t>8.1</w:t>
      </w:r>
      <w:r w:rsidRPr="00004025">
        <w:t>數據處理遇到的挑戰</w:t>
      </w:r>
    </w:p>
    <w:p w14:paraId="0E8BF906" w14:textId="2D1B2C97" w:rsidR="00004025" w:rsidRPr="00004025" w:rsidRDefault="00004025" w:rsidP="00004025">
      <w:pPr>
        <w:ind w:firstLine="480"/>
      </w:pPr>
      <w:r w:rsidRPr="00004025">
        <w:t>問題</w:t>
      </w:r>
      <w:proofErr w:type="gramStart"/>
      <w:r w:rsidRPr="00004025">
        <w:t>一</w:t>
      </w:r>
      <w:proofErr w:type="gramEnd"/>
      <w:r w:rsidRPr="00004025">
        <w:t>：模型運算的數學邊界限制</w:t>
      </w:r>
      <w:r w:rsidRPr="00004025">
        <w:t xml:space="preserve"> </w:t>
      </w:r>
      <w:r w:rsidRPr="00004025">
        <w:t>在使用</w:t>
      </w:r>
      <w:r w:rsidRPr="00004025">
        <w:t xml:space="preserve"> Black-Scholes </w:t>
      </w:r>
      <w:r w:rsidRPr="00004025">
        <w:t>選擇權定價模型反推隱含波動率</w:t>
      </w:r>
      <w:r w:rsidRPr="00004025">
        <w:t xml:space="preserve"> (IV) </w:t>
      </w:r>
      <w:r w:rsidRPr="00004025">
        <w:t>時，公式中包含到期天數</w:t>
      </w:r>
      <w:r w:rsidRPr="00004025">
        <w:t xml:space="preserve"> (T) </w:t>
      </w:r>
      <w:r w:rsidRPr="00004025">
        <w:t>作為分母。若未特別處理「到期當日（</w:t>
      </w:r>
      <w:r w:rsidRPr="00004025">
        <w:t>T = 0</w:t>
      </w:r>
      <w:r w:rsidRPr="00004025">
        <w:t>）」的樣本，會導致程式出現分母為零的數學錯誤，進而引發整段程式碼的中斷崩潰。</w:t>
      </w:r>
    </w:p>
    <w:p w14:paraId="2ADD243D" w14:textId="068A5A9A" w:rsidR="00004025" w:rsidRPr="00004025" w:rsidRDefault="00004025" w:rsidP="00004025">
      <w:pPr>
        <w:ind w:firstLine="480"/>
      </w:pPr>
      <w:r w:rsidRPr="00004025">
        <w:t>問題二：資料品質與異常值的干擾</w:t>
      </w:r>
      <w:r w:rsidRPr="00004025">
        <w:t xml:space="preserve"> </w:t>
      </w:r>
      <w:r w:rsidRPr="00004025">
        <w:t>原始資料包含大量低流動性的合約。部分樣本單日成交量僅有</w:t>
      </w:r>
      <w:r w:rsidRPr="00004025">
        <w:t xml:space="preserve"> 1 </w:t>
      </w:r>
      <w:r w:rsidRPr="00004025">
        <w:t>筆，其成交價往往無法反映真實市場共識。若納入計算，會產生不具備財務意義的極端</w:t>
      </w:r>
      <w:r w:rsidRPr="00004025">
        <w:t xml:space="preserve"> IV </w:t>
      </w:r>
      <w:r w:rsidRPr="00004025">
        <w:t>值（如</w:t>
      </w:r>
      <w:r w:rsidRPr="00004025">
        <w:t xml:space="preserve"> IV </w:t>
      </w:r>
      <w:r w:rsidRPr="00004025">
        <w:t>趨近於零或無限大），嚴重扭曲每日平均數與標準差的統計結果。</w:t>
      </w:r>
    </w:p>
    <w:p w14:paraId="00C3EF76" w14:textId="04C26CD6" w:rsidR="00004025" w:rsidRDefault="00004025" w:rsidP="00004025">
      <w:pPr>
        <w:ind w:firstLine="480"/>
      </w:pPr>
      <w:r w:rsidRPr="00004025">
        <w:t>問題</w:t>
      </w:r>
      <w:proofErr w:type="gramStart"/>
      <w:r w:rsidRPr="00004025">
        <w:t>三</w:t>
      </w:r>
      <w:proofErr w:type="gramEnd"/>
      <w:r w:rsidRPr="00004025">
        <w:t>：跨年度資料格式不統一</w:t>
      </w:r>
      <w:r w:rsidRPr="00004025">
        <w:t xml:space="preserve"> </w:t>
      </w:r>
      <w:r w:rsidRPr="00004025">
        <w:t>由於本研究由四位組員分工處理不同年度的資料，各年份原始檔案的日期格式（如</w:t>
      </w:r>
      <w:r w:rsidRPr="00004025">
        <w:t xml:space="preserve"> 2023 </w:t>
      </w:r>
      <w:r w:rsidRPr="00004025">
        <w:t>年與其他年份不同）或欄位命名習慣存在差異。這導致在最後進行四年數據垂直整合時，出現資料對齊錯誤或讀取失敗的問題。</w:t>
      </w:r>
    </w:p>
    <w:p w14:paraId="7B892109" w14:textId="77A6A6E4" w:rsidR="00004025" w:rsidRPr="00004025" w:rsidRDefault="00004025" w:rsidP="00004025">
      <w:pPr>
        <w:pStyle w:val="2"/>
        <w:spacing w:before="360"/>
        <w:rPr>
          <w:rFonts w:hint="eastAsia"/>
        </w:rPr>
      </w:pPr>
      <w:r w:rsidRPr="00004025">
        <w:t xml:space="preserve">8.2 </w:t>
      </w:r>
      <w:r w:rsidRPr="00004025">
        <w:t>對應之修正與解決方法</w:t>
      </w:r>
    </w:p>
    <w:p w14:paraId="016D5F2C" w14:textId="77777777" w:rsidR="00004025" w:rsidRPr="00004025" w:rsidRDefault="00004025" w:rsidP="00004025">
      <w:pPr>
        <w:ind w:firstLine="480"/>
      </w:pPr>
      <w:r w:rsidRPr="00004025">
        <w:t>針對上述問題，本小組採取了系統化的流程優化，確保研究結果的可靠性：</w:t>
      </w:r>
    </w:p>
    <w:p w14:paraId="5BE8D3DB" w14:textId="77777777" w:rsidR="00004025" w:rsidRPr="00004025" w:rsidRDefault="00004025" w:rsidP="00004025">
      <w:pPr>
        <w:numPr>
          <w:ilvl w:val="0"/>
          <w:numId w:val="30"/>
        </w:numPr>
        <w:ind w:firstLine="480"/>
      </w:pPr>
      <w:r w:rsidRPr="00004025">
        <w:rPr>
          <w:b/>
          <w:bCs/>
        </w:rPr>
        <w:t>對策</w:t>
      </w:r>
      <w:proofErr w:type="gramStart"/>
      <w:r w:rsidRPr="00004025">
        <w:rPr>
          <w:b/>
          <w:bCs/>
        </w:rPr>
        <w:t>一</w:t>
      </w:r>
      <w:proofErr w:type="gramEnd"/>
      <w:r w:rsidRPr="00004025">
        <w:rPr>
          <w:b/>
          <w:bCs/>
        </w:rPr>
        <w:t>：基於財務邏輯的樣本排除</w:t>
      </w:r>
      <w:r w:rsidRPr="00004025">
        <w:t xml:space="preserve"> </w:t>
      </w:r>
      <w:r w:rsidRPr="00004025">
        <w:t>針對</w:t>
      </w:r>
      <w:r w:rsidRPr="00004025">
        <w:t xml:space="preserve"> T = 0 </w:t>
      </w:r>
      <w:r w:rsidRPr="00004025">
        <w:t>的技術問題，我們在程式中加入例外處理機制。依據財務邏輯，結算日當天的時間價值已消失且價格變動劇烈，因此本研究主動排除結算日資料，不僅解決了模型運算報錯，也確保</w:t>
      </w:r>
      <w:r w:rsidRPr="00004025">
        <w:lastRenderedPageBreak/>
        <w:t>了</w:t>
      </w:r>
      <w:r w:rsidRPr="00004025">
        <w:t xml:space="preserve"> IV </w:t>
      </w:r>
      <w:r w:rsidRPr="00004025">
        <w:t>估計的品質。</w:t>
      </w:r>
    </w:p>
    <w:p w14:paraId="0E144D3B" w14:textId="77777777" w:rsidR="00004025" w:rsidRPr="00004025" w:rsidRDefault="00004025" w:rsidP="00004025">
      <w:pPr>
        <w:numPr>
          <w:ilvl w:val="0"/>
          <w:numId w:val="30"/>
        </w:numPr>
        <w:ind w:firstLine="480"/>
      </w:pPr>
      <w:r w:rsidRPr="00004025">
        <w:rPr>
          <w:b/>
          <w:bCs/>
        </w:rPr>
        <w:t>對策二：建立流動性篩選門檻</w:t>
      </w:r>
      <w:r w:rsidRPr="00004025">
        <w:t xml:space="preserve"> </w:t>
      </w:r>
      <w:r w:rsidRPr="00004025">
        <w:t>在資料前處理階段，我們設定了嚴格的篩選條件：僅保留當日成交量「大於等於</w:t>
      </w:r>
      <w:r w:rsidRPr="00004025">
        <w:t xml:space="preserve"> 30 </w:t>
      </w:r>
      <w:r w:rsidRPr="00004025">
        <w:t>口」之樣本。此舉有效過濾掉流動性不足的雜訊，降低了</w:t>
      </w:r>
      <w:proofErr w:type="gramStart"/>
      <w:r w:rsidRPr="00004025">
        <w:t>極端值對統計</w:t>
      </w:r>
      <w:proofErr w:type="gramEnd"/>
      <w:r w:rsidRPr="00004025">
        <w:t>量（</w:t>
      </w:r>
      <w:r w:rsidRPr="00004025">
        <w:t>Mean &amp; Std Dev</w:t>
      </w:r>
      <w:r w:rsidRPr="00004025">
        <w:t>）的影響，使分析結果更能代表市場真實的風險預期。</w:t>
      </w:r>
    </w:p>
    <w:p w14:paraId="3BE3991D" w14:textId="190E8A9D" w:rsidR="00004025" w:rsidRPr="00004025" w:rsidRDefault="00004025" w:rsidP="00004025">
      <w:pPr>
        <w:numPr>
          <w:ilvl w:val="0"/>
          <w:numId w:val="30"/>
        </w:numPr>
        <w:ind w:firstLine="480"/>
      </w:pPr>
      <w:r w:rsidRPr="00004025">
        <w:rPr>
          <w:b/>
          <w:bCs/>
        </w:rPr>
        <w:t>對策</w:t>
      </w:r>
      <w:proofErr w:type="gramStart"/>
      <w:r w:rsidRPr="00004025">
        <w:rPr>
          <w:b/>
          <w:bCs/>
        </w:rPr>
        <w:t>三</w:t>
      </w:r>
      <w:proofErr w:type="gramEnd"/>
      <w:r w:rsidRPr="00004025">
        <w:rPr>
          <w:b/>
          <w:bCs/>
        </w:rPr>
        <w:t>：利用</w:t>
      </w:r>
      <w:r w:rsidRPr="00004025">
        <w:rPr>
          <w:b/>
          <w:bCs/>
        </w:rPr>
        <w:t xml:space="preserve"> AI </w:t>
      </w:r>
      <w:r w:rsidRPr="00004025">
        <w:rPr>
          <w:b/>
          <w:bCs/>
        </w:rPr>
        <w:t>工具進行資料標準化</w:t>
      </w:r>
      <w:r w:rsidRPr="00004025">
        <w:rPr>
          <w:b/>
          <w:bCs/>
        </w:rPr>
        <w:t xml:space="preserve"> (Normalization)</w:t>
      </w:r>
      <w:r w:rsidRPr="00004025">
        <w:t xml:space="preserve"> </w:t>
      </w:r>
      <w:r w:rsidRPr="00004025">
        <w:t>針對資料整合難題，我們利用</w:t>
      </w:r>
      <w:r w:rsidRPr="00004025">
        <w:t xml:space="preserve"> AI </w:t>
      </w:r>
      <w:r w:rsidRPr="00004025">
        <w:t>協助撰寫資料清洗程式。該程式能自動偵測不同年份的日期格式並統一轉換為</w:t>
      </w:r>
      <w:r w:rsidRPr="00004025">
        <w:t xml:space="preserve"> YYYY-MM-DD </w:t>
      </w:r>
      <w:r w:rsidRPr="00004025">
        <w:t>格式，並重新命名關鍵欄位，最後透過程式將四份年度統計檔無縫合併，確保了四年跨年度趨勢圖的連貫性。</w:t>
      </w:r>
    </w:p>
    <w:p w14:paraId="167B1C46" w14:textId="77777777" w:rsidR="00004025" w:rsidRPr="00004025" w:rsidRDefault="00004025" w:rsidP="00004025">
      <w:pPr>
        <w:ind w:firstLine="480"/>
        <w:rPr>
          <w:rFonts w:hint="eastAsia"/>
        </w:rPr>
      </w:pPr>
    </w:p>
    <w:p w14:paraId="0BCB3E46" w14:textId="5DE85E4F" w:rsidR="00004025" w:rsidRPr="00004025" w:rsidRDefault="00004025" w:rsidP="00004025">
      <w:pPr>
        <w:widowControl/>
        <w:spacing w:after="160" w:line="278" w:lineRule="auto"/>
        <w:ind w:firstLineChars="0" w:firstLine="0"/>
        <w:rPr>
          <w:rFonts w:hint="eastAsia"/>
        </w:rPr>
      </w:pPr>
      <w:r>
        <w:br w:type="page"/>
      </w:r>
    </w:p>
    <w:p w14:paraId="4F725215" w14:textId="2F077F33" w:rsidR="00A86FF2" w:rsidRDefault="00A86FF2" w:rsidP="00A86FF2">
      <w:pPr>
        <w:pStyle w:val="1"/>
        <w:rPr>
          <w:noProof/>
        </w:rPr>
      </w:pPr>
      <w:r>
        <w:rPr>
          <w:rFonts w:hint="eastAsia"/>
          <w:noProof/>
        </w:rPr>
        <w:lastRenderedPageBreak/>
        <w:t>第</w:t>
      </w:r>
      <w:r>
        <w:rPr>
          <w:rFonts w:hint="eastAsia"/>
          <w:noProof/>
        </w:rPr>
        <w:t>九章</w:t>
      </w:r>
      <w:r>
        <w:rPr>
          <w:rFonts w:hint="eastAsia"/>
          <w:noProof/>
        </w:rPr>
        <w:t xml:space="preserve"> </w:t>
      </w:r>
      <w:r w:rsidRPr="00A86FF2">
        <w:rPr>
          <w:noProof/>
        </w:rPr>
        <w:t>結論與反思</w:t>
      </w:r>
    </w:p>
    <w:p w14:paraId="38A42644" w14:textId="77777777" w:rsidR="009D07D1" w:rsidRPr="009D07D1" w:rsidRDefault="009D07D1" w:rsidP="009D07D1">
      <w:pPr>
        <w:ind w:firstLine="480"/>
      </w:pPr>
      <w:r w:rsidRPr="009D07D1">
        <w:t>本研究透過分析</w:t>
      </w:r>
      <w:r w:rsidRPr="009D07D1">
        <w:t xml:space="preserve"> 2021 </w:t>
      </w:r>
      <w:r w:rsidRPr="009D07D1">
        <w:t>年至</w:t>
      </w:r>
      <w:r w:rsidRPr="009D07D1">
        <w:t xml:space="preserve"> 2024 </w:t>
      </w:r>
      <w:r w:rsidRPr="009D07D1">
        <w:t>年</w:t>
      </w:r>
      <w:proofErr w:type="gramStart"/>
      <w:r w:rsidRPr="009D07D1">
        <w:t>臺</w:t>
      </w:r>
      <w:proofErr w:type="gramEnd"/>
      <w:r w:rsidRPr="009D07D1">
        <w:t>指選擇權（</w:t>
      </w:r>
      <w:r w:rsidRPr="009D07D1">
        <w:t>TXO</w:t>
      </w:r>
      <w:r w:rsidRPr="009D07D1">
        <w:t>）數據，完整觀察了市場在一個景氣循環中的風險行為。實證結果顯示，看跌選擇權（</w:t>
      </w:r>
      <w:r w:rsidRPr="009D07D1">
        <w:t>Put</w:t>
      </w:r>
      <w:r w:rsidRPr="009D07D1">
        <w:t>）的隱含波動率（</w:t>
      </w:r>
      <w:r w:rsidRPr="009D07D1">
        <w:t>IV</w:t>
      </w:r>
      <w:r w:rsidRPr="009D07D1">
        <w:t>）長期顯著高於看漲選擇權（</w:t>
      </w:r>
      <w:r w:rsidRPr="009D07D1">
        <w:t>Call</w:t>
      </w:r>
      <w:r w:rsidRPr="009D07D1">
        <w:t>），且在</w:t>
      </w:r>
      <w:r w:rsidRPr="009D07D1">
        <w:t xml:space="preserve"> 2021 </w:t>
      </w:r>
      <w:r w:rsidRPr="009D07D1">
        <w:t>年</w:t>
      </w:r>
      <w:r w:rsidRPr="009D07D1">
        <w:t xml:space="preserve"> 5 </w:t>
      </w:r>
      <w:r w:rsidRPr="009D07D1">
        <w:t>月</w:t>
      </w:r>
      <w:proofErr w:type="gramStart"/>
      <w:r w:rsidRPr="009D07D1">
        <w:t>疫情與</w:t>
      </w:r>
      <w:proofErr w:type="gramEnd"/>
      <w:r w:rsidRPr="009D07D1">
        <w:t xml:space="preserve"> 2022 </w:t>
      </w:r>
      <w:r w:rsidRPr="009D07D1">
        <w:t>年俄烏戰爭等重大事件</w:t>
      </w:r>
      <w:proofErr w:type="gramStart"/>
      <w:r w:rsidRPr="009D07D1">
        <w:t>期間，</w:t>
      </w:r>
      <w:proofErr w:type="gramEnd"/>
      <w:r w:rsidRPr="009D07D1">
        <w:t xml:space="preserve">IV </w:t>
      </w:r>
      <w:r w:rsidRPr="009D07D1">
        <w:t>與市場情緒指標呈現同步激增，這不僅證實了市場對下行風險的強烈避險需求，也反映出極端環境會顯著拉開投資人對未來風險定價的分歧。</w:t>
      </w:r>
    </w:p>
    <w:p w14:paraId="0C5CD82C" w14:textId="77777777" w:rsidR="009D07D1" w:rsidRPr="009D07D1" w:rsidRDefault="009D07D1" w:rsidP="009D07D1">
      <w:pPr>
        <w:ind w:firstLine="480"/>
      </w:pPr>
      <w:r w:rsidRPr="009D07D1">
        <w:t>在</w:t>
      </w:r>
      <w:proofErr w:type="gramStart"/>
      <w:r w:rsidRPr="009D07D1">
        <w:t>本次實作</w:t>
      </w:r>
      <w:proofErr w:type="gramEnd"/>
      <w:r w:rsidRPr="009D07D1">
        <w:t>中，我首次嘗試運用</w:t>
      </w:r>
      <w:r w:rsidRPr="009D07D1">
        <w:t xml:space="preserve"> AI </w:t>
      </w:r>
      <w:r w:rsidRPr="009D07D1">
        <w:t>輔助處理數十萬筆的逐筆交易資料，這對我而言是一場深刻的轉型。過去面對</w:t>
      </w:r>
      <w:r w:rsidRPr="009D07D1">
        <w:t xml:space="preserve"> Python </w:t>
      </w:r>
      <w:r w:rsidRPr="009D07D1">
        <w:t>程式總感到力有未逮，但透過將「大作業拆解成小任務」的策略，我成功引導</w:t>
      </w:r>
      <w:r w:rsidRPr="009D07D1">
        <w:t xml:space="preserve"> AI </w:t>
      </w:r>
      <w:r w:rsidRPr="009D07D1">
        <w:t>協作完成資料清洗與</w:t>
      </w:r>
      <w:r w:rsidRPr="009D07D1">
        <w:t xml:space="preserve"> IV </w:t>
      </w:r>
      <w:r w:rsidRPr="009D07D1">
        <w:t>運算，將腦中的財務邏輯轉化為自動化程式。然而，我也從</w:t>
      </w:r>
      <w:r w:rsidRPr="009D07D1">
        <w:t xml:space="preserve"> AI </w:t>
      </w:r>
      <w:r w:rsidRPr="009D07D1">
        <w:t>產出的「幻覺」與錯誤</w:t>
      </w:r>
      <w:proofErr w:type="gramStart"/>
      <w:r w:rsidRPr="009D07D1">
        <w:t>函式中體</w:t>
      </w:r>
      <w:proofErr w:type="gramEnd"/>
      <w:r w:rsidRPr="009D07D1">
        <w:t>悟到，</w:t>
      </w:r>
      <w:r w:rsidRPr="009D07D1">
        <w:t xml:space="preserve">AI </w:t>
      </w:r>
      <w:r w:rsidRPr="009D07D1">
        <w:t>的出現並非要讓我們停止學習，反而是要求我們將專業知識學得更扎實，才能精</w:t>
      </w:r>
      <w:proofErr w:type="gramStart"/>
      <w:r w:rsidRPr="009D07D1">
        <w:t>準</w:t>
      </w:r>
      <w:proofErr w:type="gramEnd"/>
      <w:r w:rsidRPr="009D07D1">
        <w:t>下達指令並具備查驗結果的能力。未來，人類應專注於定義問題與決策，而</w:t>
      </w:r>
      <w:r w:rsidRPr="009D07D1">
        <w:t xml:space="preserve"> AI </w:t>
      </w:r>
      <w:r w:rsidRPr="009D07D1">
        <w:t>負責高效執行。透過這次作業，我找到了自己作為專業學習者的定位：唯有深耕財務核心邏輯，才能在</w:t>
      </w:r>
      <w:r w:rsidRPr="009D07D1">
        <w:t xml:space="preserve"> AI </w:t>
      </w:r>
      <w:r w:rsidRPr="009D07D1">
        <w:t>時代中發揮工具的價值，從繁瑣的體力勞動中解放，投身於更深層的分析與策略思考。</w:t>
      </w:r>
    </w:p>
    <w:p w14:paraId="242B5CC9" w14:textId="77777777" w:rsidR="005A131B" w:rsidRPr="009D07D1" w:rsidRDefault="005A131B" w:rsidP="00A438E9">
      <w:pPr>
        <w:ind w:firstLine="480"/>
      </w:pPr>
    </w:p>
    <w:sectPr w:rsidR="005A131B" w:rsidRPr="009D07D1" w:rsidSect="008C4362">
      <w:pgSz w:w="11906" w:h="16838"/>
      <w:pgMar w:top="1418" w:right="1418" w:bottom="1559" w:left="1418"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C7772F" w14:textId="77777777" w:rsidR="007648A0" w:rsidRDefault="007648A0" w:rsidP="008C4362">
      <w:pPr>
        <w:spacing w:line="240" w:lineRule="auto"/>
        <w:ind w:firstLine="480"/>
      </w:pPr>
      <w:r>
        <w:separator/>
      </w:r>
    </w:p>
  </w:endnote>
  <w:endnote w:type="continuationSeparator" w:id="0">
    <w:p w14:paraId="3BC5D5BC" w14:textId="77777777" w:rsidR="007648A0" w:rsidRDefault="007648A0" w:rsidP="008C4362">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8221532"/>
      <w:docPartObj>
        <w:docPartGallery w:val="Page Numbers (Bottom of Page)"/>
        <w:docPartUnique/>
      </w:docPartObj>
    </w:sdtPr>
    <w:sdtContent>
      <w:p w14:paraId="146C8D3C" w14:textId="0D107465" w:rsidR="008C4362" w:rsidRDefault="008C4362">
        <w:pPr>
          <w:pStyle w:val="af0"/>
          <w:ind w:firstLine="400"/>
          <w:jc w:val="center"/>
        </w:pPr>
        <w:r>
          <w:fldChar w:fldCharType="begin"/>
        </w:r>
        <w:r>
          <w:instrText>PAGE   \* MERGEFORMAT</w:instrText>
        </w:r>
        <w:r>
          <w:fldChar w:fldCharType="separate"/>
        </w:r>
        <w:r>
          <w:rPr>
            <w:lang w:val="zh-TW"/>
          </w:rPr>
          <w:t>2</w:t>
        </w:r>
        <w:r>
          <w:fldChar w:fldCharType="end"/>
        </w:r>
      </w:p>
    </w:sdtContent>
  </w:sdt>
  <w:p w14:paraId="22551449" w14:textId="279CFADF" w:rsidR="008C4362" w:rsidRDefault="008C4362">
    <w:pPr>
      <w:pStyle w:val="af0"/>
      <w:ind w:firstLine="40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722BE9" w14:textId="77777777" w:rsidR="007648A0" w:rsidRDefault="007648A0" w:rsidP="008C4362">
      <w:pPr>
        <w:spacing w:line="240" w:lineRule="auto"/>
        <w:ind w:firstLine="480"/>
      </w:pPr>
      <w:r>
        <w:separator/>
      </w:r>
    </w:p>
  </w:footnote>
  <w:footnote w:type="continuationSeparator" w:id="0">
    <w:p w14:paraId="62672D09" w14:textId="77777777" w:rsidR="007648A0" w:rsidRDefault="007648A0" w:rsidP="008C4362">
      <w:pPr>
        <w:spacing w:line="240" w:lineRule="auto"/>
        <w:ind w:firstLine="48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E233B"/>
    <w:multiLevelType w:val="multilevel"/>
    <w:tmpl w:val="81844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97601F"/>
    <w:multiLevelType w:val="multilevel"/>
    <w:tmpl w:val="8272E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D654DC"/>
    <w:multiLevelType w:val="hybridMultilevel"/>
    <w:tmpl w:val="70389674"/>
    <w:lvl w:ilvl="0" w:tplc="0409000D">
      <w:start w:val="1"/>
      <w:numFmt w:val="bullet"/>
      <w:lvlText w:val=""/>
      <w:lvlJc w:val="left"/>
      <w:pPr>
        <w:ind w:left="1047" w:hanging="480"/>
      </w:pPr>
      <w:rPr>
        <w:rFonts w:ascii="Wingdings" w:hAnsi="Wingdings" w:hint="default"/>
      </w:rPr>
    </w:lvl>
    <w:lvl w:ilvl="1" w:tplc="04090003" w:tentative="1">
      <w:start w:val="1"/>
      <w:numFmt w:val="bullet"/>
      <w:lvlText w:val=""/>
      <w:lvlJc w:val="left"/>
      <w:pPr>
        <w:ind w:left="1527" w:hanging="480"/>
      </w:pPr>
      <w:rPr>
        <w:rFonts w:ascii="Wingdings" w:hAnsi="Wingdings" w:hint="default"/>
      </w:rPr>
    </w:lvl>
    <w:lvl w:ilvl="2" w:tplc="04090005" w:tentative="1">
      <w:start w:val="1"/>
      <w:numFmt w:val="bullet"/>
      <w:lvlText w:val=""/>
      <w:lvlJc w:val="left"/>
      <w:pPr>
        <w:ind w:left="2007" w:hanging="480"/>
      </w:pPr>
      <w:rPr>
        <w:rFonts w:ascii="Wingdings" w:hAnsi="Wingdings" w:hint="default"/>
      </w:rPr>
    </w:lvl>
    <w:lvl w:ilvl="3" w:tplc="04090001" w:tentative="1">
      <w:start w:val="1"/>
      <w:numFmt w:val="bullet"/>
      <w:lvlText w:val=""/>
      <w:lvlJc w:val="left"/>
      <w:pPr>
        <w:ind w:left="2487" w:hanging="480"/>
      </w:pPr>
      <w:rPr>
        <w:rFonts w:ascii="Wingdings" w:hAnsi="Wingdings" w:hint="default"/>
      </w:rPr>
    </w:lvl>
    <w:lvl w:ilvl="4" w:tplc="04090003" w:tentative="1">
      <w:start w:val="1"/>
      <w:numFmt w:val="bullet"/>
      <w:lvlText w:val=""/>
      <w:lvlJc w:val="left"/>
      <w:pPr>
        <w:ind w:left="2967" w:hanging="480"/>
      </w:pPr>
      <w:rPr>
        <w:rFonts w:ascii="Wingdings" w:hAnsi="Wingdings" w:hint="default"/>
      </w:rPr>
    </w:lvl>
    <w:lvl w:ilvl="5" w:tplc="04090005" w:tentative="1">
      <w:start w:val="1"/>
      <w:numFmt w:val="bullet"/>
      <w:lvlText w:val=""/>
      <w:lvlJc w:val="left"/>
      <w:pPr>
        <w:ind w:left="3447" w:hanging="480"/>
      </w:pPr>
      <w:rPr>
        <w:rFonts w:ascii="Wingdings" w:hAnsi="Wingdings" w:hint="default"/>
      </w:rPr>
    </w:lvl>
    <w:lvl w:ilvl="6" w:tplc="04090001" w:tentative="1">
      <w:start w:val="1"/>
      <w:numFmt w:val="bullet"/>
      <w:lvlText w:val=""/>
      <w:lvlJc w:val="left"/>
      <w:pPr>
        <w:ind w:left="3927" w:hanging="480"/>
      </w:pPr>
      <w:rPr>
        <w:rFonts w:ascii="Wingdings" w:hAnsi="Wingdings" w:hint="default"/>
      </w:rPr>
    </w:lvl>
    <w:lvl w:ilvl="7" w:tplc="04090003" w:tentative="1">
      <w:start w:val="1"/>
      <w:numFmt w:val="bullet"/>
      <w:lvlText w:val=""/>
      <w:lvlJc w:val="left"/>
      <w:pPr>
        <w:ind w:left="4407" w:hanging="480"/>
      </w:pPr>
      <w:rPr>
        <w:rFonts w:ascii="Wingdings" w:hAnsi="Wingdings" w:hint="default"/>
      </w:rPr>
    </w:lvl>
    <w:lvl w:ilvl="8" w:tplc="04090005" w:tentative="1">
      <w:start w:val="1"/>
      <w:numFmt w:val="bullet"/>
      <w:lvlText w:val=""/>
      <w:lvlJc w:val="left"/>
      <w:pPr>
        <w:ind w:left="4887" w:hanging="480"/>
      </w:pPr>
      <w:rPr>
        <w:rFonts w:ascii="Wingdings" w:hAnsi="Wingdings" w:hint="default"/>
      </w:rPr>
    </w:lvl>
  </w:abstractNum>
  <w:abstractNum w:abstractNumId="3" w15:restartNumberingAfterBreak="0">
    <w:nsid w:val="08D74ECC"/>
    <w:multiLevelType w:val="hybridMultilevel"/>
    <w:tmpl w:val="ACC6DAC8"/>
    <w:lvl w:ilvl="0" w:tplc="EBA6D5A4">
      <w:start w:val="1"/>
      <w:numFmt w:val="taiwaneseCountingThousand"/>
      <w:lvlText w:val="%1、"/>
      <w:lvlJc w:val="left"/>
      <w:pPr>
        <w:ind w:left="792" w:hanging="792"/>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11DD0743"/>
    <w:multiLevelType w:val="hybridMultilevel"/>
    <w:tmpl w:val="8700A7C8"/>
    <w:lvl w:ilvl="0" w:tplc="0409000D">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5" w15:restartNumberingAfterBreak="0">
    <w:nsid w:val="1854791E"/>
    <w:multiLevelType w:val="multilevel"/>
    <w:tmpl w:val="8D8A6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056A8D"/>
    <w:multiLevelType w:val="hybridMultilevel"/>
    <w:tmpl w:val="F9303A2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 w15:restartNumberingAfterBreak="0">
    <w:nsid w:val="1D2016DB"/>
    <w:multiLevelType w:val="multilevel"/>
    <w:tmpl w:val="02781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45623F"/>
    <w:multiLevelType w:val="hybridMultilevel"/>
    <w:tmpl w:val="97C6EEDC"/>
    <w:lvl w:ilvl="0" w:tplc="0409000D">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9" w15:restartNumberingAfterBreak="0">
    <w:nsid w:val="1ED809CC"/>
    <w:multiLevelType w:val="multilevel"/>
    <w:tmpl w:val="F12E1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09422F"/>
    <w:multiLevelType w:val="hybridMultilevel"/>
    <w:tmpl w:val="9F423BA2"/>
    <w:lvl w:ilvl="0" w:tplc="0409000D">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1" w15:restartNumberingAfterBreak="0">
    <w:nsid w:val="3022580C"/>
    <w:multiLevelType w:val="hybridMultilevel"/>
    <w:tmpl w:val="2F1EFF70"/>
    <w:lvl w:ilvl="0" w:tplc="0409000D">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2" w15:restartNumberingAfterBreak="0">
    <w:nsid w:val="30B54A86"/>
    <w:multiLevelType w:val="hybridMultilevel"/>
    <w:tmpl w:val="99028BC8"/>
    <w:lvl w:ilvl="0" w:tplc="0409000D">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3" w15:restartNumberingAfterBreak="0">
    <w:nsid w:val="315C4349"/>
    <w:multiLevelType w:val="multilevel"/>
    <w:tmpl w:val="F1FAB204"/>
    <w:lvl w:ilvl="0">
      <w:start w:val="1"/>
      <w:numFmt w:val="decimal"/>
      <w:lvlText w:val="%1."/>
      <w:lvlJc w:val="left"/>
      <w:pPr>
        <w:tabs>
          <w:tab w:val="num" w:pos="927"/>
        </w:tabs>
        <w:ind w:left="927" w:hanging="360"/>
      </w:pPr>
    </w:lvl>
    <w:lvl w:ilvl="1" w:tentative="1">
      <w:start w:val="1"/>
      <w:numFmt w:val="decimal"/>
      <w:lvlText w:val="%2."/>
      <w:lvlJc w:val="left"/>
      <w:pPr>
        <w:tabs>
          <w:tab w:val="num" w:pos="1647"/>
        </w:tabs>
        <w:ind w:left="1647" w:hanging="360"/>
      </w:pPr>
    </w:lvl>
    <w:lvl w:ilvl="2" w:tentative="1">
      <w:start w:val="1"/>
      <w:numFmt w:val="decimal"/>
      <w:lvlText w:val="%3."/>
      <w:lvlJc w:val="left"/>
      <w:pPr>
        <w:tabs>
          <w:tab w:val="num" w:pos="2367"/>
        </w:tabs>
        <w:ind w:left="2367" w:hanging="360"/>
      </w:pPr>
    </w:lvl>
    <w:lvl w:ilvl="3" w:tentative="1">
      <w:start w:val="1"/>
      <w:numFmt w:val="decimal"/>
      <w:lvlText w:val="%4."/>
      <w:lvlJc w:val="left"/>
      <w:pPr>
        <w:tabs>
          <w:tab w:val="num" w:pos="3087"/>
        </w:tabs>
        <w:ind w:left="3087" w:hanging="360"/>
      </w:pPr>
    </w:lvl>
    <w:lvl w:ilvl="4" w:tentative="1">
      <w:start w:val="1"/>
      <w:numFmt w:val="decimal"/>
      <w:lvlText w:val="%5."/>
      <w:lvlJc w:val="left"/>
      <w:pPr>
        <w:tabs>
          <w:tab w:val="num" w:pos="3807"/>
        </w:tabs>
        <w:ind w:left="3807" w:hanging="360"/>
      </w:pPr>
    </w:lvl>
    <w:lvl w:ilvl="5" w:tentative="1">
      <w:start w:val="1"/>
      <w:numFmt w:val="decimal"/>
      <w:lvlText w:val="%6."/>
      <w:lvlJc w:val="left"/>
      <w:pPr>
        <w:tabs>
          <w:tab w:val="num" w:pos="4527"/>
        </w:tabs>
        <w:ind w:left="4527" w:hanging="360"/>
      </w:pPr>
    </w:lvl>
    <w:lvl w:ilvl="6" w:tentative="1">
      <w:start w:val="1"/>
      <w:numFmt w:val="decimal"/>
      <w:lvlText w:val="%7."/>
      <w:lvlJc w:val="left"/>
      <w:pPr>
        <w:tabs>
          <w:tab w:val="num" w:pos="5247"/>
        </w:tabs>
        <w:ind w:left="5247" w:hanging="360"/>
      </w:pPr>
    </w:lvl>
    <w:lvl w:ilvl="7" w:tentative="1">
      <w:start w:val="1"/>
      <w:numFmt w:val="decimal"/>
      <w:lvlText w:val="%8."/>
      <w:lvlJc w:val="left"/>
      <w:pPr>
        <w:tabs>
          <w:tab w:val="num" w:pos="5967"/>
        </w:tabs>
        <w:ind w:left="5967" w:hanging="360"/>
      </w:pPr>
    </w:lvl>
    <w:lvl w:ilvl="8" w:tentative="1">
      <w:start w:val="1"/>
      <w:numFmt w:val="decimal"/>
      <w:lvlText w:val="%9."/>
      <w:lvlJc w:val="left"/>
      <w:pPr>
        <w:tabs>
          <w:tab w:val="num" w:pos="6687"/>
        </w:tabs>
        <w:ind w:left="6687" w:hanging="360"/>
      </w:pPr>
    </w:lvl>
  </w:abstractNum>
  <w:abstractNum w:abstractNumId="14" w15:restartNumberingAfterBreak="0">
    <w:nsid w:val="33AE6053"/>
    <w:multiLevelType w:val="multilevel"/>
    <w:tmpl w:val="8F98495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D64748"/>
    <w:multiLevelType w:val="multilevel"/>
    <w:tmpl w:val="CD5A7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D5098B"/>
    <w:multiLevelType w:val="multilevel"/>
    <w:tmpl w:val="B7DC1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D26C23"/>
    <w:multiLevelType w:val="multilevel"/>
    <w:tmpl w:val="8452A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C86D14"/>
    <w:multiLevelType w:val="hybridMultilevel"/>
    <w:tmpl w:val="E63AE12C"/>
    <w:lvl w:ilvl="0" w:tplc="0409000D">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9" w15:restartNumberingAfterBreak="0">
    <w:nsid w:val="54910F90"/>
    <w:multiLevelType w:val="multilevel"/>
    <w:tmpl w:val="5270E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AB2394"/>
    <w:multiLevelType w:val="multilevel"/>
    <w:tmpl w:val="5B3A4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B620100"/>
    <w:multiLevelType w:val="hybridMultilevel"/>
    <w:tmpl w:val="2E8E80F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2" w15:restartNumberingAfterBreak="0">
    <w:nsid w:val="61EC748D"/>
    <w:multiLevelType w:val="multilevel"/>
    <w:tmpl w:val="0D3E4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CF5EB0"/>
    <w:multiLevelType w:val="multilevel"/>
    <w:tmpl w:val="A8E62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9A2C9E"/>
    <w:multiLevelType w:val="hybridMultilevel"/>
    <w:tmpl w:val="C75215F6"/>
    <w:lvl w:ilvl="0" w:tplc="0409000D">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25" w15:restartNumberingAfterBreak="0">
    <w:nsid w:val="6501221B"/>
    <w:multiLevelType w:val="multilevel"/>
    <w:tmpl w:val="8664340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0671C1"/>
    <w:multiLevelType w:val="hybridMultilevel"/>
    <w:tmpl w:val="9B7ED4EC"/>
    <w:lvl w:ilvl="0" w:tplc="0409000D">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7" w15:restartNumberingAfterBreak="0">
    <w:nsid w:val="7A9613C6"/>
    <w:multiLevelType w:val="multilevel"/>
    <w:tmpl w:val="0010B7C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425312"/>
    <w:multiLevelType w:val="multilevel"/>
    <w:tmpl w:val="67AE1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712BCA"/>
    <w:multiLevelType w:val="multilevel"/>
    <w:tmpl w:val="232A5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561205">
    <w:abstractNumId w:val="3"/>
  </w:num>
  <w:num w:numId="2" w16cid:durableId="231744904">
    <w:abstractNumId w:val="19"/>
  </w:num>
  <w:num w:numId="3" w16cid:durableId="1485001098">
    <w:abstractNumId w:val="21"/>
  </w:num>
  <w:num w:numId="4" w16cid:durableId="1096680811">
    <w:abstractNumId w:val="6"/>
  </w:num>
  <w:num w:numId="5" w16cid:durableId="2127773031">
    <w:abstractNumId w:val="18"/>
  </w:num>
  <w:num w:numId="6" w16cid:durableId="1337423770">
    <w:abstractNumId w:val="4"/>
  </w:num>
  <w:num w:numId="7" w16cid:durableId="474880996">
    <w:abstractNumId w:val="8"/>
  </w:num>
  <w:num w:numId="8" w16cid:durableId="1910991980">
    <w:abstractNumId w:val="5"/>
  </w:num>
  <w:num w:numId="9" w16cid:durableId="200168450">
    <w:abstractNumId w:val="10"/>
  </w:num>
  <w:num w:numId="10" w16cid:durableId="469127885">
    <w:abstractNumId w:val="14"/>
  </w:num>
  <w:num w:numId="11" w16cid:durableId="1041517345">
    <w:abstractNumId w:val="9"/>
  </w:num>
  <w:num w:numId="12" w16cid:durableId="1393772054">
    <w:abstractNumId w:val="27"/>
  </w:num>
  <w:num w:numId="13" w16cid:durableId="1844970790">
    <w:abstractNumId w:val="12"/>
  </w:num>
  <w:num w:numId="14" w16cid:durableId="1764841141">
    <w:abstractNumId w:val="16"/>
  </w:num>
  <w:num w:numId="15" w16cid:durableId="408117292">
    <w:abstractNumId w:val="25"/>
  </w:num>
  <w:num w:numId="16" w16cid:durableId="908423868">
    <w:abstractNumId w:val="26"/>
  </w:num>
  <w:num w:numId="17" w16cid:durableId="2016567002">
    <w:abstractNumId w:val="13"/>
  </w:num>
  <w:num w:numId="18" w16cid:durableId="1301227272">
    <w:abstractNumId w:val="2"/>
  </w:num>
  <w:num w:numId="19" w16cid:durableId="115953334">
    <w:abstractNumId w:val="24"/>
  </w:num>
  <w:num w:numId="20" w16cid:durableId="721829045">
    <w:abstractNumId w:val="11"/>
  </w:num>
  <w:num w:numId="21" w16cid:durableId="1160846780">
    <w:abstractNumId w:val="28"/>
  </w:num>
  <w:num w:numId="22" w16cid:durableId="678239324">
    <w:abstractNumId w:val="29"/>
  </w:num>
  <w:num w:numId="23" w16cid:durableId="531503813">
    <w:abstractNumId w:val="20"/>
  </w:num>
  <w:num w:numId="24" w16cid:durableId="1575892825">
    <w:abstractNumId w:val="1"/>
  </w:num>
  <w:num w:numId="25" w16cid:durableId="2023779279">
    <w:abstractNumId w:val="22"/>
  </w:num>
  <w:num w:numId="26" w16cid:durableId="479347088">
    <w:abstractNumId w:val="7"/>
  </w:num>
  <w:num w:numId="27" w16cid:durableId="1073816812">
    <w:abstractNumId w:val="23"/>
  </w:num>
  <w:num w:numId="28" w16cid:durableId="1080327668">
    <w:abstractNumId w:val="0"/>
  </w:num>
  <w:num w:numId="29" w16cid:durableId="2048874709">
    <w:abstractNumId w:val="17"/>
  </w:num>
  <w:num w:numId="30" w16cid:durableId="95128177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4362"/>
    <w:rsid w:val="00004025"/>
    <w:rsid w:val="000040B1"/>
    <w:rsid w:val="00027885"/>
    <w:rsid w:val="00034556"/>
    <w:rsid w:val="00043445"/>
    <w:rsid w:val="0005576E"/>
    <w:rsid w:val="000B28EC"/>
    <w:rsid w:val="000F6FC0"/>
    <w:rsid w:val="00186CBC"/>
    <w:rsid w:val="00286E8E"/>
    <w:rsid w:val="002B30E9"/>
    <w:rsid w:val="002E09BD"/>
    <w:rsid w:val="002F2597"/>
    <w:rsid w:val="002F317D"/>
    <w:rsid w:val="003165E9"/>
    <w:rsid w:val="0032655E"/>
    <w:rsid w:val="003321DB"/>
    <w:rsid w:val="003C6DD6"/>
    <w:rsid w:val="004121FD"/>
    <w:rsid w:val="0042216A"/>
    <w:rsid w:val="004470B9"/>
    <w:rsid w:val="004721BD"/>
    <w:rsid w:val="004D51F2"/>
    <w:rsid w:val="004E7BEE"/>
    <w:rsid w:val="00584158"/>
    <w:rsid w:val="005A131B"/>
    <w:rsid w:val="005D0678"/>
    <w:rsid w:val="005F630D"/>
    <w:rsid w:val="005F6BDD"/>
    <w:rsid w:val="00607CC9"/>
    <w:rsid w:val="00626B2A"/>
    <w:rsid w:val="00675F10"/>
    <w:rsid w:val="006A59AB"/>
    <w:rsid w:val="006C410E"/>
    <w:rsid w:val="006C5BEE"/>
    <w:rsid w:val="007648A0"/>
    <w:rsid w:val="00775B8F"/>
    <w:rsid w:val="007C0B01"/>
    <w:rsid w:val="007E6505"/>
    <w:rsid w:val="0085390E"/>
    <w:rsid w:val="00881E7B"/>
    <w:rsid w:val="008A1E31"/>
    <w:rsid w:val="008C4362"/>
    <w:rsid w:val="009155FF"/>
    <w:rsid w:val="00963C99"/>
    <w:rsid w:val="009667CD"/>
    <w:rsid w:val="009A0BCE"/>
    <w:rsid w:val="009D07D1"/>
    <w:rsid w:val="00A438E9"/>
    <w:rsid w:val="00A86FF2"/>
    <w:rsid w:val="00A93915"/>
    <w:rsid w:val="00AB63BE"/>
    <w:rsid w:val="00AE3D2B"/>
    <w:rsid w:val="00B019B1"/>
    <w:rsid w:val="00B632EC"/>
    <w:rsid w:val="00C538B8"/>
    <w:rsid w:val="00C57FCC"/>
    <w:rsid w:val="00C73441"/>
    <w:rsid w:val="00C77C67"/>
    <w:rsid w:val="00CB2891"/>
    <w:rsid w:val="00D73276"/>
    <w:rsid w:val="00DD0E96"/>
    <w:rsid w:val="00DE76F1"/>
    <w:rsid w:val="00DF3F06"/>
    <w:rsid w:val="00E55D64"/>
    <w:rsid w:val="00EB1A7B"/>
    <w:rsid w:val="00EC1BE4"/>
    <w:rsid w:val="00EF0FBA"/>
    <w:rsid w:val="00F2787D"/>
    <w:rsid w:val="00F41464"/>
    <w:rsid w:val="00F462B4"/>
    <w:rsid w:val="00FA4A74"/>
    <w:rsid w:val="00FB06FC"/>
    <w:rsid w:val="00FF5259"/>
    <w:rsid w:val="00FF5D8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28EC57"/>
  <w15:chartTrackingRefBased/>
  <w15:docId w15:val="{EECC1014-C9DC-4130-B091-227585AB70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77C67"/>
    <w:pPr>
      <w:widowControl w:val="0"/>
      <w:spacing w:after="0" w:line="360" w:lineRule="auto"/>
      <w:ind w:firstLineChars="200" w:firstLine="200"/>
    </w:pPr>
    <w:rPr>
      <w:rFonts w:ascii="Times New Roman" w:eastAsia="標楷體" w:hAnsi="Times New Roman"/>
    </w:rPr>
  </w:style>
  <w:style w:type="paragraph" w:styleId="1">
    <w:name w:val="heading 1"/>
    <w:basedOn w:val="a"/>
    <w:next w:val="a"/>
    <w:link w:val="10"/>
    <w:uiPriority w:val="9"/>
    <w:qFormat/>
    <w:rsid w:val="008C4362"/>
    <w:pPr>
      <w:keepNext/>
      <w:keepLines/>
      <w:spacing w:before="240" w:after="240"/>
      <w:ind w:firstLineChars="0" w:firstLine="0"/>
      <w:jc w:val="center"/>
      <w:outlineLvl w:val="0"/>
    </w:pPr>
    <w:rPr>
      <w:rFonts w:cstheme="majorBidi"/>
      <w:color w:val="000000" w:themeColor="text1"/>
      <w:sz w:val="40"/>
      <w:szCs w:val="48"/>
    </w:rPr>
  </w:style>
  <w:style w:type="paragraph" w:styleId="2">
    <w:name w:val="heading 2"/>
    <w:basedOn w:val="a"/>
    <w:next w:val="a"/>
    <w:link w:val="20"/>
    <w:uiPriority w:val="9"/>
    <w:unhideWhenUsed/>
    <w:qFormat/>
    <w:rsid w:val="00DD0E96"/>
    <w:pPr>
      <w:keepNext/>
      <w:keepLines/>
      <w:spacing w:beforeLines="100" w:before="100"/>
      <w:ind w:firstLineChars="0" w:firstLine="0"/>
      <w:outlineLvl w:val="1"/>
    </w:pPr>
    <w:rPr>
      <w:rFonts w:cstheme="majorBidi"/>
      <w:sz w:val="36"/>
      <w:szCs w:val="40"/>
    </w:rPr>
  </w:style>
  <w:style w:type="paragraph" w:styleId="3">
    <w:name w:val="heading 3"/>
    <w:basedOn w:val="a"/>
    <w:next w:val="a"/>
    <w:link w:val="30"/>
    <w:uiPriority w:val="9"/>
    <w:unhideWhenUsed/>
    <w:qFormat/>
    <w:rsid w:val="00F2787D"/>
    <w:pPr>
      <w:keepNext/>
      <w:keepLines/>
      <w:spacing w:beforeLines="20" w:before="20"/>
      <w:ind w:firstLineChars="0" w:firstLine="0"/>
      <w:outlineLvl w:val="2"/>
    </w:pPr>
    <w:rPr>
      <w:rFonts w:cstheme="majorBidi"/>
      <w:sz w:val="32"/>
      <w:szCs w:val="32"/>
    </w:rPr>
  </w:style>
  <w:style w:type="paragraph" w:styleId="4">
    <w:name w:val="heading 4"/>
    <w:basedOn w:val="a"/>
    <w:next w:val="a"/>
    <w:link w:val="40"/>
    <w:uiPriority w:val="9"/>
    <w:semiHidden/>
    <w:unhideWhenUsed/>
    <w:qFormat/>
    <w:rsid w:val="008C4362"/>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8C4362"/>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8C4362"/>
    <w:pPr>
      <w:keepNext/>
      <w:keepLines/>
      <w:spacing w:before="4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8C4362"/>
    <w:pPr>
      <w:keepNext/>
      <w:keepLines/>
      <w:spacing w:before="4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C4362"/>
    <w:pPr>
      <w:keepNext/>
      <w:keepLines/>
      <w:spacing w:before="4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8C4362"/>
    <w:pPr>
      <w:keepNext/>
      <w:keepLines/>
      <w:spacing w:before="4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8C4362"/>
    <w:rPr>
      <w:rFonts w:ascii="Times New Roman" w:eastAsia="標楷體" w:hAnsi="Times New Roman" w:cstheme="majorBidi"/>
      <w:color w:val="000000" w:themeColor="text1"/>
      <w:sz w:val="40"/>
      <w:szCs w:val="48"/>
    </w:rPr>
  </w:style>
  <w:style w:type="character" w:customStyle="1" w:styleId="20">
    <w:name w:val="標題 2 字元"/>
    <w:basedOn w:val="a0"/>
    <w:link w:val="2"/>
    <w:uiPriority w:val="9"/>
    <w:rsid w:val="00DD0E96"/>
    <w:rPr>
      <w:rFonts w:ascii="Times New Roman" w:eastAsia="標楷體" w:hAnsi="Times New Roman" w:cstheme="majorBidi"/>
      <w:sz w:val="36"/>
      <w:szCs w:val="40"/>
    </w:rPr>
  </w:style>
  <w:style w:type="character" w:customStyle="1" w:styleId="30">
    <w:name w:val="標題 3 字元"/>
    <w:basedOn w:val="a0"/>
    <w:link w:val="3"/>
    <w:uiPriority w:val="9"/>
    <w:rsid w:val="00F2787D"/>
    <w:rPr>
      <w:rFonts w:ascii="Times New Roman" w:eastAsia="標楷體" w:hAnsi="Times New Roman" w:cstheme="majorBidi"/>
      <w:sz w:val="32"/>
      <w:szCs w:val="32"/>
    </w:rPr>
  </w:style>
  <w:style w:type="character" w:customStyle="1" w:styleId="40">
    <w:name w:val="標題 4 字元"/>
    <w:basedOn w:val="a0"/>
    <w:link w:val="4"/>
    <w:uiPriority w:val="9"/>
    <w:semiHidden/>
    <w:rsid w:val="008C4362"/>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8C4362"/>
    <w:rPr>
      <w:rFonts w:eastAsiaTheme="majorEastAsia" w:cstheme="majorBidi"/>
      <w:color w:val="0F4761" w:themeColor="accent1" w:themeShade="BF"/>
    </w:rPr>
  </w:style>
  <w:style w:type="character" w:customStyle="1" w:styleId="60">
    <w:name w:val="標題 6 字元"/>
    <w:basedOn w:val="a0"/>
    <w:link w:val="6"/>
    <w:uiPriority w:val="9"/>
    <w:semiHidden/>
    <w:rsid w:val="008C4362"/>
    <w:rPr>
      <w:rFonts w:eastAsiaTheme="majorEastAsia" w:cstheme="majorBidi"/>
      <w:color w:val="595959" w:themeColor="text1" w:themeTint="A6"/>
    </w:rPr>
  </w:style>
  <w:style w:type="character" w:customStyle="1" w:styleId="70">
    <w:name w:val="標題 7 字元"/>
    <w:basedOn w:val="a0"/>
    <w:link w:val="7"/>
    <w:uiPriority w:val="9"/>
    <w:semiHidden/>
    <w:rsid w:val="008C4362"/>
    <w:rPr>
      <w:rFonts w:eastAsiaTheme="majorEastAsia" w:cstheme="majorBidi"/>
      <w:color w:val="595959" w:themeColor="text1" w:themeTint="A6"/>
    </w:rPr>
  </w:style>
  <w:style w:type="character" w:customStyle="1" w:styleId="80">
    <w:name w:val="標題 8 字元"/>
    <w:basedOn w:val="a0"/>
    <w:link w:val="8"/>
    <w:uiPriority w:val="9"/>
    <w:semiHidden/>
    <w:rsid w:val="008C4362"/>
    <w:rPr>
      <w:rFonts w:eastAsiaTheme="majorEastAsia" w:cstheme="majorBidi"/>
      <w:color w:val="272727" w:themeColor="text1" w:themeTint="D8"/>
    </w:rPr>
  </w:style>
  <w:style w:type="character" w:customStyle="1" w:styleId="90">
    <w:name w:val="標題 9 字元"/>
    <w:basedOn w:val="a0"/>
    <w:link w:val="9"/>
    <w:uiPriority w:val="9"/>
    <w:semiHidden/>
    <w:rsid w:val="008C4362"/>
    <w:rPr>
      <w:rFonts w:eastAsiaTheme="majorEastAsia" w:cstheme="majorBidi"/>
      <w:color w:val="272727" w:themeColor="text1" w:themeTint="D8"/>
    </w:rPr>
  </w:style>
  <w:style w:type="paragraph" w:styleId="a3">
    <w:name w:val="Title"/>
    <w:basedOn w:val="a"/>
    <w:next w:val="a"/>
    <w:link w:val="a4"/>
    <w:uiPriority w:val="10"/>
    <w:qFormat/>
    <w:rsid w:val="008C436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8C436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C4362"/>
    <w:pPr>
      <w:numPr>
        <w:ilvl w:val="1"/>
      </w:numPr>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8C436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C4362"/>
    <w:pPr>
      <w:spacing w:before="160"/>
      <w:jc w:val="center"/>
    </w:pPr>
    <w:rPr>
      <w:i/>
      <w:iCs/>
      <w:color w:val="404040" w:themeColor="text1" w:themeTint="BF"/>
    </w:rPr>
  </w:style>
  <w:style w:type="character" w:customStyle="1" w:styleId="a8">
    <w:name w:val="引文 字元"/>
    <w:basedOn w:val="a0"/>
    <w:link w:val="a7"/>
    <w:uiPriority w:val="29"/>
    <w:rsid w:val="008C4362"/>
    <w:rPr>
      <w:i/>
      <w:iCs/>
      <w:color w:val="404040" w:themeColor="text1" w:themeTint="BF"/>
    </w:rPr>
  </w:style>
  <w:style w:type="paragraph" w:styleId="a9">
    <w:name w:val="List Paragraph"/>
    <w:basedOn w:val="a"/>
    <w:uiPriority w:val="34"/>
    <w:qFormat/>
    <w:rsid w:val="008C4362"/>
    <w:pPr>
      <w:ind w:left="720"/>
      <w:contextualSpacing/>
    </w:pPr>
  </w:style>
  <w:style w:type="character" w:styleId="aa">
    <w:name w:val="Intense Emphasis"/>
    <w:basedOn w:val="a0"/>
    <w:uiPriority w:val="21"/>
    <w:qFormat/>
    <w:rsid w:val="008C4362"/>
    <w:rPr>
      <w:i/>
      <w:iCs/>
      <w:color w:val="0F4761" w:themeColor="accent1" w:themeShade="BF"/>
    </w:rPr>
  </w:style>
  <w:style w:type="paragraph" w:styleId="ab">
    <w:name w:val="Intense Quote"/>
    <w:basedOn w:val="a"/>
    <w:next w:val="a"/>
    <w:link w:val="ac"/>
    <w:uiPriority w:val="30"/>
    <w:qFormat/>
    <w:rsid w:val="008C43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8C4362"/>
    <w:rPr>
      <w:i/>
      <w:iCs/>
      <w:color w:val="0F4761" w:themeColor="accent1" w:themeShade="BF"/>
    </w:rPr>
  </w:style>
  <w:style w:type="character" w:styleId="ad">
    <w:name w:val="Intense Reference"/>
    <w:basedOn w:val="a0"/>
    <w:uiPriority w:val="32"/>
    <w:qFormat/>
    <w:rsid w:val="008C4362"/>
    <w:rPr>
      <w:b/>
      <w:bCs/>
      <w:smallCaps/>
      <w:color w:val="0F4761" w:themeColor="accent1" w:themeShade="BF"/>
      <w:spacing w:val="5"/>
    </w:rPr>
  </w:style>
  <w:style w:type="paragraph" w:styleId="ae">
    <w:name w:val="header"/>
    <w:basedOn w:val="a"/>
    <w:link w:val="af"/>
    <w:uiPriority w:val="99"/>
    <w:unhideWhenUsed/>
    <w:rsid w:val="008C4362"/>
    <w:pPr>
      <w:tabs>
        <w:tab w:val="center" w:pos="4153"/>
        <w:tab w:val="right" w:pos="8306"/>
      </w:tabs>
      <w:snapToGrid w:val="0"/>
    </w:pPr>
    <w:rPr>
      <w:sz w:val="20"/>
      <w:szCs w:val="20"/>
    </w:rPr>
  </w:style>
  <w:style w:type="character" w:customStyle="1" w:styleId="af">
    <w:name w:val="頁首 字元"/>
    <w:basedOn w:val="a0"/>
    <w:link w:val="ae"/>
    <w:uiPriority w:val="99"/>
    <w:rsid w:val="008C4362"/>
    <w:rPr>
      <w:rFonts w:ascii="Times New Roman" w:eastAsia="標楷體" w:hAnsi="Times New Roman"/>
      <w:sz w:val="20"/>
      <w:szCs w:val="20"/>
    </w:rPr>
  </w:style>
  <w:style w:type="paragraph" w:styleId="af0">
    <w:name w:val="footer"/>
    <w:basedOn w:val="a"/>
    <w:link w:val="af1"/>
    <w:uiPriority w:val="99"/>
    <w:unhideWhenUsed/>
    <w:rsid w:val="008C4362"/>
    <w:pPr>
      <w:tabs>
        <w:tab w:val="center" w:pos="4153"/>
        <w:tab w:val="right" w:pos="8306"/>
      </w:tabs>
      <w:snapToGrid w:val="0"/>
    </w:pPr>
    <w:rPr>
      <w:sz w:val="20"/>
      <w:szCs w:val="20"/>
    </w:rPr>
  </w:style>
  <w:style w:type="character" w:customStyle="1" w:styleId="af1">
    <w:name w:val="頁尾 字元"/>
    <w:basedOn w:val="a0"/>
    <w:link w:val="af0"/>
    <w:uiPriority w:val="99"/>
    <w:rsid w:val="008C4362"/>
    <w:rPr>
      <w:rFonts w:ascii="Times New Roman" w:eastAsia="標楷體" w:hAnsi="Times New Roman"/>
      <w:sz w:val="20"/>
      <w:szCs w:val="20"/>
    </w:rPr>
  </w:style>
  <w:style w:type="paragraph" w:styleId="af2">
    <w:name w:val="caption"/>
    <w:basedOn w:val="a"/>
    <w:next w:val="a"/>
    <w:uiPriority w:val="35"/>
    <w:unhideWhenUsed/>
    <w:qFormat/>
    <w:rsid w:val="00F462B4"/>
    <w:rPr>
      <w:sz w:val="20"/>
      <w:szCs w:val="20"/>
    </w:rPr>
  </w:style>
  <w:style w:type="paragraph" w:styleId="af3">
    <w:name w:val="Bibliography"/>
    <w:basedOn w:val="a"/>
    <w:next w:val="a"/>
    <w:uiPriority w:val="37"/>
    <w:unhideWhenUsed/>
    <w:rsid w:val="00DF3F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04229">
      <w:bodyDiv w:val="1"/>
      <w:marLeft w:val="0"/>
      <w:marRight w:val="0"/>
      <w:marTop w:val="0"/>
      <w:marBottom w:val="0"/>
      <w:divBdr>
        <w:top w:val="none" w:sz="0" w:space="0" w:color="auto"/>
        <w:left w:val="none" w:sz="0" w:space="0" w:color="auto"/>
        <w:bottom w:val="none" w:sz="0" w:space="0" w:color="auto"/>
        <w:right w:val="none" w:sz="0" w:space="0" w:color="auto"/>
      </w:divBdr>
    </w:div>
    <w:div w:id="35080659">
      <w:bodyDiv w:val="1"/>
      <w:marLeft w:val="0"/>
      <w:marRight w:val="0"/>
      <w:marTop w:val="0"/>
      <w:marBottom w:val="0"/>
      <w:divBdr>
        <w:top w:val="none" w:sz="0" w:space="0" w:color="auto"/>
        <w:left w:val="none" w:sz="0" w:space="0" w:color="auto"/>
        <w:bottom w:val="none" w:sz="0" w:space="0" w:color="auto"/>
        <w:right w:val="none" w:sz="0" w:space="0" w:color="auto"/>
      </w:divBdr>
    </w:div>
    <w:div w:id="51394575">
      <w:bodyDiv w:val="1"/>
      <w:marLeft w:val="0"/>
      <w:marRight w:val="0"/>
      <w:marTop w:val="0"/>
      <w:marBottom w:val="0"/>
      <w:divBdr>
        <w:top w:val="none" w:sz="0" w:space="0" w:color="auto"/>
        <w:left w:val="none" w:sz="0" w:space="0" w:color="auto"/>
        <w:bottom w:val="none" w:sz="0" w:space="0" w:color="auto"/>
        <w:right w:val="none" w:sz="0" w:space="0" w:color="auto"/>
      </w:divBdr>
    </w:div>
    <w:div w:id="90470492">
      <w:bodyDiv w:val="1"/>
      <w:marLeft w:val="0"/>
      <w:marRight w:val="0"/>
      <w:marTop w:val="0"/>
      <w:marBottom w:val="0"/>
      <w:divBdr>
        <w:top w:val="none" w:sz="0" w:space="0" w:color="auto"/>
        <w:left w:val="none" w:sz="0" w:space="0" w:color="auto"/>
        <w:bottom w:val="none" w:sz="0" w:space="0" w:color="auto"/>
        <w:right w:val="none" w:sz="0" w:space="0" w:color="auto"/>
      </w:divBdr>
    </w:div>
    <w:div w:id="104468475">
      <w:bodyDiv w:val="1"/>
      <w:marLeft w:val="0"/>
      <w:marRight w:val="0"/>
      <w:marTop w:val="0"/>
      <w:marBottom w:val="0"/>
      <w:divBdr>
        <w:top w:val="none" w:sz="0" w:space="0" w:color="auto"/>
        <w:left w:val="none" w:sz="0" w:space="0" w:color="auto"/>
        <w:bottom w:val="none" w:sz="0" w:space="0" w:color="auto"/>
        <w:right w:val="none" w:sz="0" w:space="0" w:color="auto"/>
      </w:divBdr>
    </w:div>
    <w:div w:id="106431326">
      <w:bodyDiv w:val="1"/>
      <w:marLeft w:val="0"/>
      <w:marRight w:val="0"/>
      <w:marTop w:val="0"/>
      <w:marBottom w:val="0"/>
      <w:divBdr>
        <w:top w:val="none" w:sz="0" w:space="0" w:color="auto"/>
        <w:left w:val="none" w:sz="0" w:space="0" w:color="auto"/>
        <w:bottom w:val="none" w:sz="0" w:space="0" w:color="auto"/>
        <w:right w:val="none" w:sz="0" w:space="0" w:color="auto"/>
      </w:divBdr>
    </w:div>
    <w:div w:id="190533341">
      <w:bodyDiv w:val="1"/>
      <w:marLeft w:val="0"/>
      <w:marRight w:val="0"/>
      <w:marTop w:val="0"/>
      <w:marBottom w:val="0"/>
      <w:divBdr>
        <w:top w:val="none" w:sz="0" w:space="0" w:color="auto"/>
        <w:left w:val="none" w:sz="0" w:space="0" w:color="auto"/>
        <w:bottom w:val="none" w:sz="0" w:space="0" w:color="auto"/>
        <w:right w:val="none" w:sz="0" w:space="0" w:color="auto"/>
      </w:divBdr>
    </w:div>
    <w:div w:id="193738491">
      <w:bodyDiv w:val="1"/>
      <w:marLeft w:val="0"/>
      <w:marRight w:val="0"/>
      <w:marTop w:val="0"/>
      <w:marBottom w:val="0"/>
      <w:divBdr>
        <w:top w:val="none" w:sz="0" w:space="0" w:color="auto"/>
        <w:left w:val="none" w:sz="0" w:space="0" w:color="auto"/>
        <w:bottom w:val="none" w:sz="0" w:space="0" w:color="auto"/>
        <w:right w:val="none" w:sz="0" w:space="0" w:color="auto"/>
      </w:divBdr>
    </w:div>
    <w:div w:id="281613100">
      <w:bodyDiv w:val="1"/>
      <w:marLeft w:val="0"/>
      <w:marRight w:val="0"/>
      <w:marTop w:val="0"/>
      <w:marBottom w:val="0"/>
      <w:divBdr>
        <w:top w:val="none" w:sz="0" w:space="0" w:color="auto"/>
        <w:left w:val="none" w:sz="0" w:space="0" w:color="auto"/>
        <w:bottom w:val="none" w:sz="0" w:space="0" w:color="auto"/>
        <w:right w:val="none" w:sz="0" w:space="0" w:color="auto"/>
      </w:divBdr>
    </w:div>
    <w:div w:id="284504827">
      <w:bodyDiv w:val="1"/>
      <w:marLeft w:val="0"/>
      <w:marRight w:val="0"/>
      <w:marTop w:val="0"/>
      <w:marBottom w:val="0"/>
      <w:divBdr>
        <w:top w:val="none" w:sz="0" w:space="0" w:color="auto"/>
        <w:left w:val="none" w:sz="0" w:space="0" w:color="auto"/>
        <w:bottom w:val="none" w:sz="0" w:space="0" w:color="auto"/>
        <w:right w:val="none" w:sz="0" w:space="0" w:color="auto"/>
      </w:divBdr>
    </w:div>
    <w:div w:id="300960667">
      <w:bodyDiv w:val="1"/>
      <w:marLeft w:val="0"/>
      <w:marRight w:val="0"/>
      <w:marTop w:val="0"/>
      <w:marBottom w:val="0"/>
      <w:divBdr>
        <w:top w:val="none" w:sz="0" w:space="0" w:color="auto"/>
        <w:left w:val="none" w:sz="0" w:space="0" w:color="auto"/>
        <w:bottom w:val="none" w:sz="0" w:space="0" w:color="auto"/>
        <w:right w:val="none" w:sz="0" w:space="0" w:color="auto"/>
      </w:divBdr>
    </w:div>
    <w:div w:id="437607569">
      <w:bodyDiv w:val="1"/>
      <w:marLeft w:val="0"/>
      <w:marRight w:val="0"/>
      <w:marTop w:val="0"/>
      <w:marBottom w:val="0"/>
      <w:divBdr>
        <w:top w:val="none" w:sz="0" w:space="0" w:color="auto"/>
        <w:left w:val="none" w:sz="0" w:space="0" w:color="auto"/>
        <w:bottom w:val="none" w:sz="0" w:space="0" w:color="auto"/>
        <w:right w:val="none" w:sz="0" w:space="0" w:color="auto"/>
      </w:divBdr>
    </w:div>
    <w:div w:id="467629601">
      <w:bodyDiv w:val="1"/>
      <w:marLeft w:val="0"/>
      <w:marRight w:val="0"/>
      <w:marTop w:val="0"/>
      <w:marBottom w:val="0"/>
      <w:divBdr>
        <w:top w:val="none" w:sz="0" w:space="0" w:color="auto"/>
        <w:left w:val="none" w:sz="0" w:space="0" w:color="auto"/>
        <w:bottom w:val="none" w:sz="0" w:space="0" w:color="auto"/>
        <w:right w:val="none" w:sz="0" w:space="0" w:color="auto"/>
      </w:divBdr>
    </w:div>
    <w:div w:id="468404928">
      <w:bodyDiv w:val="1"/>
      <w:marLeft w:val="0"/>
      <w:marRight w:val="0"/>
      <w:marTop w:val="0"/>
      <w:marBottom w:val="0"/>
      <w:divBdr>
        <w:top w:val="none" w:sz="0" w:space="0" w:color="auto"/>
        <w:left w:val="none" w:sz="0" w:space="0" w:color="auto"/>
        <w:bottom w:val="none" w:sz="0" w:space="0" w:color="auto"/>
        <w:right w:val="none" w:sz="0" w:space="0" w:color="auto"/>
      </w:divBdr>
    </w:div>
    <w:div w:id="469981982">
      <w:bodyDiv w:val="1"/>
      <w:marLeft w:val="0"/>
      <w:marRight w:val="0"/>
      <w:marTop w:val="0"/>
      <w:marBottom w:val="0"/>
      <w:divBdr>
        <w:top w:val="none" w:sz="0" w:space="0" w:color="auto"/>
        <w:left w:val="none" w:sz="0" w:space="0" w:color="auto"/>
        <w:bottom w:val="none" w:sz="0" w:space="0" w:color="auto"/>
        <w:right w:val="none" w:sz="0" w:space="0" w:color="auto"/>
      </w:divBdr>
    </w:div>
    <w:div w:id="519011233">
      <w:bodyDiv w:val="1"/>
      <w:marLeft w:val="0"/>
      <w:marRight w:val="0"/>
      <w:marTop w:val="0"/>
      <w:marBottom w:val="0"/>
      <w:divBdr>
        <w:top w:val="none" w:sz="0" w:space="0" w:color="auto"/>
        <w:left w:val="none" w:sz="0" w:space="0" w:color="auto"/>
        <w:bottom w:val="none" w:sz="0" w:space="0" w:color="auto"/>
        <w:right w:val="none" w:sz="0" w:space="0" w:color="auto"/>
      </w:divBdr>
    </w:div>
    <w:div w:id="641153128">
      <w:bodyDiv w:val="1"/>
      <w:marLeft w:val="0"/>
      <w:marRight w:val="0"/>
      <w:marTop w:val="0"/>
      <w:marBottom w:val="0"/>
      <w:divBdr>
        <w:top w:val="none" w:sz="0" w:space="0" w:color="auto"/>
        <w:left w:val="none" w:sz="0" w:space="0" w:color="auto"/>
        <w:bottom w:val="none" w:sz="0" w:space="0" w:color="auto"/>
        <w:right w:val="none" w:sz="0" w:space="0" w:color="auto"/>
      </w:divBdr>
    </w:div>
    <w:div w:id="667829906">
      <w:bodyDiv w:val="1"/>
      <w:marLeft w:val="0"/>
      <w:marRight w:val="0"/>
      <w:marTop w:val="0"/>
      <w:marBottom w:val="0"/>
      <w:divBdr>
        <w:top w:val="none" w:sz="0" w:space="0" w:color="auto"/>
        <w:left w:val="none" w:sz="0" w:space="0" w:color="auto"/>
        <w:bottom w:val="none" w:sz="0" w:space="0" w:color="auto"/>
        <w:right w:val="none" w:sz="0" w:space="0" w:color="auto"/>
      </w:divBdr>
    </w:div>
    <w:div w:id="717826980">
      <w:bodyDiv w:val="1"/>
      <w:marLeft w:val="0"/>
      <w:marRight w:val="0"/>
      <w:marTop w:val="0"/>
      <w:marBottom w:val="0"/>
      <w:divBdr>
        <w:top w:val="none" w:sz="0" w:space="0" w:color="auto"/>
        <w:left w:val="none" w:sz="0" w:space="0" w:color="auto"/>
        <w:bottom w:val="none" w:sz="0" w:space="0" w:color="auto"/>
        <w:right w:val="none" w:sz="0" w:space="0" w:color="auto"/>
      </w:divBdr>
    </w:div>
    <w:div w:id="780029888">
      <w:bodyDiv w:val="1"/>
      <w:marLeft w:val="0"/>
      <w:marRight w:val="0"/>
      <w:marTop w:val="0"/>
      <w:marBottom w:val="0"/>
      <w:divBdr>
        <w:top w:val="none" w:sz="0" w:space="0" w:color="auto"/>
        <w:left w:val="none" w:sz="0" w:space="0" w:color="auto"/>
        <w:bottom w:val="none" w:sz="0" w:space="0" w:color="auto"/>
        <w:right w:val="none" w:sz="0" w:space="0" w:color="auto"/>
      </w:divBdr>
      <w:divsChild>
        <w:div w:id="1367945601">
          <w:marLeft w:val="0"/>
          <w:marRight w:val="0"/>
          <w:marTop w:val="0"/>
          <w:marBottom w:val="0"/>
          <w:divBdr>
            <w:top w:val="none" w:sz="0" w:space="0" w:color="auto"/>
            <w:left w:val="none" w:sz="0" w:space="0" w:color="auto"/>
            <w:bottom w:val="none" w:sz="0" w:space="0" w:color="auto"/>
            <w:right w:val="none" w:sz="0" w:space="0" w:color="auto"/>
          </w:divBdr>
          <w:divsChild>
            <w:div w:id="980965257">
              <w:marLeft w:val="0"/>
              <w:marRight w:val="0"/>
              <w:marTop w:val="0"/>
              <w:marBottom w:val="0"/>
              <w:divBdr>
                <w:top w:val="none" w:sz="0" w:space="0" w:color="auto"/>
                <w:left w:val="none" w:sz="0" w:space="0" w:color="auto"/>
                <w:bottom w:val="none" w:sz="0" w:space="0" w:color="auto"/>
                <w:right w:val="none" w:sz="0" w:space="0" w:color="auto"/>
              </w:divBdr>
              <w:divsChild>
                <w:div w:id="867598310">
                  <w:marLeft w:val="0"/>
                  <w:marRight w:val="0"/>
                  <w:marTop w:val="0"/>
                  <w:marBottom w:val="0"/>
                  <w:divBdr>
                    <w:top w:val="none" w:sz="0" w:space="0" w:color="auto"/>
                    <w:left w:val="none" w:sz="0" w:space="0" w:color="auto"/>
                    <w:bottom w:val="none" w:sz="0" w:space="0" w:color="auto"/>
                    <w:right w:val="none" w:sz="0" w:space="0" w:color="auto"/>
                  </w:divBdr>
                  <w:divsChild>
                    <w:div w:id="1063521963">
                      <w:marLeft w:val="0"/>
                      <w:marRight w:val="0"/>
                      <w:marTop w:val="0"/>
                      <w:marBottom w:val="0"/>
                      <w:divBdr>
                        <w:top w:val="none" w:sz="0" w:space="0" w:color="auto"/>
                        <w:left w:val="none" w:sz="0" w:space="0" w:color="auto"/>
                        <w:bottom w:val="none" w:sz="0" w:space="0" w:color="auto"/>
                        <w:right w:val="none" w:sz="0" w:space="0" w:color="auto"/>
                      </w:divBdr>
                      <w:divsChild>
                        <w:div w:id="815031397">
                          <w:marLeft w:val="0"/>
                          <w:marRight w:val="0"/>
                          <w:marTop w:val="0"/>
                          <w:marBottom w:val="0"/>
                          <w:divBdr>
                            <w:top w:val="none" w:sz="0" w:space="0" w:color="auto"/>
                            <w:left w:val="none" w:sz="0" w:space="0" w:color="auto"/>
                            <w:bottom w:val="none" w:sz="0" w:space="0" w:color="auto"/>
                            <w:right w:val="none" w:sz="0" w:space="0" w:color="auto"/>
                          </w:divBdr>
                          <w:divsChild>
                            <w:div w:id="990141077">
                              <w:marLeft w:val="0"/>
                              <w:marRight w:val="0"/>
                              <w:marTop w:val="0"/>
                              <w:marBottom w:val="0"/>
                              <w:divBdr>
                                <w:top w:val="none" w:sz="0" w:space="0" w:color="auto"/>
                                <w:left w:val="none" w:sz="0" w:space="0" w:color="auto"/>
                                <w:bottom w:val="none" w:sz="0" w:space="0" w:color="auto"/>
                                <w:right w:val="none" w:sz="0" w:space="0" w:color="auto"/>
                              </w:divBdr>
                              <w:divsChild>
                                <w:div w:id="440342024">
                                  <w:marLeft w:val="0"/>
                                  <w:marRight w:val="0"/>
                                  <w:marTop w:val="0"/>
                                  <w:marBottom w:val="0"/>
                                  <w:divBdr>
                                    <w:top w:val="none" w:sz="0" w:space="0" w:color="auto"/>
                                    <w:left w:val="none" w:sz="0" w:space="0" w:color="auto"/>
                                    <w:bottom w:val="none" w:sz="0" w:space="0" w:color="auto"/>
                                    <w:right w:val="none" w:sz="0" w:space="0" w:color="auto"/>
                                  </w:divBdr>
                                  <w:divsChild>
                                    <w:div w:id="710810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7276702">
                          <w:marLeft w:val="0"/>
                          <w:marRight w:val="0"/>
                          <w:marTop w:val="0"/>
                          <w:marBottom w:val="0"/>
                          <w:divBdr>
                            <w:top w:val="none" w:sz="0" w:space="0" w:color="auto"/>
                            <w:left w:val="none" w:sz="0" w:space="0" w:color="auto"/>
                            <w:bottom w:val="none" w:sz="0" w:space="0" w:color="auto"/>
                            <w:right w:val="none" w:sz="0" w:space="0" w:color="auto"/>
                          </w:divBdr>
                          <w:divsChild>
                            <w:div w:id="1369066212">
                              <w:marLeft w:val="0"/>
                              <w:marRight w:val="0"/>
                              <w:marTop w:val="0"/>
                              <w:marBottom w:val="0"/>
                              <w:divBdr>
                                <w:top w:val="none" w:sz="0" w:space="0" w:color="auto"/>
                                <w:left w:val="none" w:sz="0" w:space="0" w:color="auto"/>
                                <w:bottom w:val="none" w:sz="0" w:space="0" w:color="auto"/>
                                <w:right w:val="none" w:sz="0" w:space="0" w:color="auto"/>
                              </w:divBdr>
                              <w:divsChild>
                                <w:div w:id="396590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89472428">
      <w:bodyDiv w:val="1"/>
      <w:marLeft w:val="0"/>
      <w:marRight w:val="0"/>
      <w:marTop w:val="0"/>
      <w:marBottom w:val="0"/>
      <w:divBdr>
        <w:top w:val="none" w:sz="0" w:space="0" w:color="auto"/>
        <w:left w:val="none" w:sz="0" w:space="0" w:color="auto"/>
        <w:bottom w:val="none" w:sz="0" w:space="0" w:color="auto"/>
        <w:right w:val="none" w:sz="0" w:space="0" w:color="auto"/>
      </w:divBdr>
    </w:div>
    <w:div w:id="828523262">
      <w:bodyDiv w:val="1"/>
      <w:marLeft w:val="0"/>
      <w:marRight w:val="0"/>
      <w:marTop w:val="0"/>
      <w:marBottom w:val="0"/>
      <w:divBdr>
        <w:top w:val="none" w:sz="0" w:space="0" w:color="auto"/>
        <w:left w:val="none" w:sz="0" w:space="0" w:color="auto"/>
        <w:bottom w:val="none" w:sz="0" w:space="0" w:color="auto"/>
        <w:right w:val="none" w:sz="0" w:space="0" w:color="auto"/>
      </w:divBdr>
    </w:div>
    <w:div w:id="834029220">
      <w:bodyDiv w:val="1"/>
      <w:marLeft w:val="0"/>
      <w:marRight w:val="0"/>
      <w:marTop w:val="0"/>
      <w:marBottom w:val="0"/>
      <w:divBdr>
        <w:top w:val="none" w:sz="0" w:space="0" w:color="auto"/>
        <w:left w:val="none" w:sz="0" w:space="0" w:color="auto"/>
        <w:bottom w:val="none" w:sz="0" w:space="0" w:color="auto"/>
        <w:right w:val="none" w:sz="0" w:space="0" w:color="auto"/>
      </w:divBdr>
    </w:div>
    <w:div w:id="902912054">
      <w:bodyDiv w:val="1"/>
      <w:marLeft w:val="0"/>
      <w:marRight w:val="0"/>
      <w:marTop w:val="0"/>
      <w:marBottom w:val="0"/>
      <w:divBdr>
        <w:top w:val="none" w:sz="0" w:space="0" w:color="auto"/>
        <w:left w:val="none" w:sz="0" w:space="0" w:color="auto"/>
        <w:bottom w:val="none" w:sz="0" w:space="0" w:color="auto"/>
        <w:right w:val="none" w:sz="0" w:space="0" w:color="auto"/>
      </w:divBdr>
    </w:div>
    <w:div w:id="909316054">
      <w:bodyDiv w:val="1"/>
      <w:marLeft w:val="0"/>
      <w:marRight w:val="0"/>
      <w:marTop w:val="0"/>
      <w:marBottom w:val="0"/>
      <w:divBdr>
        <w:top w:val="none" w:sz="0" w:space="0" w:color="auto"/>
        <w:left w:val="none" w:sz="0" w:space="0" w:color="auto"/>
        <w:bottom w:val="none" w:sz="0" w:space="0" w:color="auto"/>
        <w:right w:val="none" w:sz="0" w:space="0" w:color="auto"/>
      </w:divBdr>
    </w:div>
    <w:div w:id="914557555">
      <w:bodyDiv w:val="1"/>
      <w:marLeft w:val="0"/>
      <w:marRight w:val="0"/>
      <w:marTop w:val="0"/>
      <w:marBottom w:val="0"/>
      <w:divBdr>
        <w:top w:val="none" w:sz="0" w:space="0" w:color="auto"/>
        <w:left w:val="none" w:sz="0" w:space="0" w:color="auto"/>
        <w:bottom w:val="none" w:sz="0" w:space="0" w:color="auto"/>
        <w:right w:val="none" w:sz="0" w:space="0" w:color="auto"/>
      </w:divBdr>
      <w:divsChild>
        <w:div w:id="407583786">
          <w:marLeft w:val="0"/>
          <w:marRight w:val="0"/>
          <w:marTop w:val="0"/>
          <w:marBottom w:val="0"/>
          <w:divBdr>
            <w:top w:val="none" w:sz="0" w:space="0" w:color="auto"/>
            <w:left w:val="none" w:sz="0" w:space="0" w:color="auto"/>
            <w:bottom w:val="none" w:sz="0" w:space="0" w:color="auto"/>
            <w:right w:val="none" w:sz="0" w:space="0" w:color="auto"/>
          </w:divBdr>
          <w:divsChild>
            <w:div w:id="1497308830">
              <w:marLeft w:val="0"/>
              <w:marRight w:val="0"/>
              <w:marTop w:val="0"/>
              <w:marBottom w:val="0"/>
              <w:divBdr>
                <w:top w:val="none" w:sz="0" w:space="0" w:color="auto"/>
                <w:left w:val="none" w:sz="0" w:space="0" w:color="auto"/>
                <w:bottom w:val="none" w:sz="0" w:space="0" w:color="auto"/>
                <w:right w:val="none" w:sz="0" w:space="0" w:color="auto"/>
              </w:divBdr>
              <w:divsChild>
                <w:div w:id="1512918000">
                  <w:marLeft w:val="0"/>
                  <w:marRight w:val="0"/>
                  <w:marTop w:val="0"/>
                  <w:marBottom w:val="0"/>
                  <w:divBdr>
                    <w:top w:val="none" w:sz="0" w:space="0" w:color="auto"/>
                    <w:left w:val="none" w:sz="0" w:space="0" w:color="auto"/>
                    <w:bottom w:val="none" w:sz="0" w:space="0" w:color="auto"/>
                    <w:right w:val="none" w:sz="0" w:space="0" w:color="auto"/>
                  </w:divBdr>
                  <w:divsChild>
                    <w:div w:id="1788815679">
                      <w:marLeft w:val="0"/>
                      <w:marRight w:val="0"/>
                      <w:marTop w:val="0"/>
                      <w:marBottom w:val="0"/>
                      <w:divBdr>
                        <w:top w:val="none" w:sz="0" w:space="0" w:color="auto"/>
                        <w:left w:val="none" w:sz="0" w:space="0" w:color="auto"/>
                        <w:bottom w:val="none" w:sz="0" w:space="0" w:color="auto"/>
                        <w:right w:val="none" w:sz="0" w:space="0" w:color="auto"/>
                      </w:divBdr>
                      <w:divsChild>
                        <w:div w:id="867838587">
                          <w:marLeft w:val="0"/>
                          <w:marRight w:val="0"/>
                          <w:marTop w:val="0"/>
                          <w:marBottom w:val="0"/>
                          <w:divBdr>
                            <w:top w:val="none" w:sz="0" w:space="0" w:color="auto"/>
                            <w:left w:val="none" w:sz="0" w:space="0" w:color="auto"/>
                            <w:bottom w:val="none" w:sz="0" w:space="0" w:color="auto"/>
                            <w:right w:val="none" w:sz="0" w:space="0" w:color="auto"/>
                          </w:divBdr>
                          <w:divsChild>
                            <w:div w:id="786000678">
                              <w:marLeft w:val="0"/>
                              <w:marRight w:val="0"/>
                              <w:marTop w:val="0"/>
                              <w:marBottom w:val="0"/>
                              <w:divBdr>
                                <w:top w:val="none" w:sz="0" w:space="0" w:color="auto"/>
                                <w:left w:val="none" w:sz="0" w:space="0" w:color="auto"/>
                                <w:bottom w:val="none" w:sz="0" w:space="0" w:color="auto"/>
                                <w:right w:val="none" w:sz="0" w:space="0" w:color="auto"/>
                              </w:divBdr>
                              <w:divsChild>
                                <w:div w:id="1898590836">
                                  <w:marLeft w:val="0"/>
                                  <w:marRight w:val="0"/>
                                  <w:marTop w:val="0"/>
                                  <w:marBottom w:val="0"/>
                                  <w:divBdr>
                                    <w:top w:val="none" w:sz="0" w:space="0" w:color="auto"/>
                                    <w:left w:val="none" w:sz="0" w:space="0" w:color="auto"/>
                                    <w:bottom w:val="none" w:sz="0" w:space="0" w:color="auto"/>
                                    <w:right w:val="none" w:sz="0" w:space="0" w:color="auto"/>
                                  </w:divBdr>
                                  <w:divsChild>
                                    <w:div w:id="1409690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1951160">
                          <w:marLeft w:val="0"/>
                          <w:marRight w:val="0"/>
                          <w:marTop w:val="0"/>
                          <w:marBottom w:val="0"/>
                          <w:divBdr>
                            <w:top w:val="none" w:sz="0" w:space="0" w:color="auto"/>
                            <w:left w:val="none" w:sz="0" w:space="0" w:color="auto"/>
                            <w:bottom w:val="none" w:sz="0" w:space="0" w:color="auto"/>
                            <w:right w:val="none" w:sz="0" w:space="0" w:color="auto"/>
                          </w:divBdr>
                          <w:divsChild>
                            <w:div w:id="484206878">
                              <w:marLeft w:val="0"/>
                              <w:marRight w:val="0"/>
                              <w:marTop w:val="0"/>
                              <w:marBottom w:val="0"/>
                              <w:divBdr>
                                <w:top w:val="none" w:sz="0" w:space="0" w:color="auto"/>
                                <w:left w:val="none" w:sz="0" w:space="0" w:color="auto"/>
                                <w:bottom w:val="none" w:sz="0" w:space="0" w:color="auto"/>
                                <w:right w:val="none" w:sz="0" w:space="0" w:color="auto"/>
                              </w:divBdr>
                              <w:divsChild>
                                <w:div w:id="1363437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28349678">
      <w:bodyDiv w:val="1"/>
      <w:marLeft w:val="0"/>
      <w:marRight w:val="0"/>
      <w:marTop w:val="0"/>
      <w:marBottom w:val="0"/>
      <w:divBdr>
        <w:top w:val="none" w:sz="0" w:space="0" w:color="auto"/>
        <w:left w:val="none" w:sz="0" w:space="0" w:color="auto"/>
        <w:bottom w:val="none" w:sz="0" w:space="0" w:color="auto"/>
        <w:right w:val="none" w:sz="0" w:space="0" w:color="auto"/>
      </w:divBdr>
    </w:div>
    <w:div w:id="1112239961">
      <w:bodyDiv w:val="1"/>
      <w:marLeft w:val="0"/>
      <w:marRight w:val="0"/>
      <w:marTop w:val="0"/>
      <w:marBottom w:val="0"/>
      <w:divBdr>
        <w:top w:val="none" w:sz="0" w:space="0" w:color="auto"/>
        <w:left w:val="none" w:sz="0" w:space="0" w:color="auto"/>
        <w:bottom w:val="none" w:sz="0" w:space="0" w:color="auto"/>
        <w:right w:val="none" w:sz="0" w:space="0" w:color="auto"/>
      </w:divBdr>
    </w:div>
    <w:div w:id="1126193121">
      <w:bodyDiv w:val="1"/>
      <w:marLeft w:val="0"/>
      <w:marRight w:val="0"/>
      <w:marTop w:val="0"/>
      <w:marBottom w:val="0"/>
      <w:divBdr>
        <w:top w:val="none" w:sz="0" w:space="0" w:color="auto"/>
        <w:left w:val="none" w:sz="0" w:space="0" w:color="auto"/>
        <w:bottom w:val="none" w:sz="0" w:space="0" w:color="auto"/>
        <w:right w:val="none" w:sz="0" w:space="0" w:color="auto"/>
      </w:divBdr>
    </w:div>
    <w:div w:id="1128548244">
      <w:bodyDiv w:val="1"/>
      <w:marLeft w:val="0"/>
      <w:marRight w:val="0"/>
      <w:marTop w:val="0"/>
      <w:marBottom w:val="0"/>
      <w:divBdr>
        <w:top w:val="none" w:sz="0" w:space="0" w:color="auto"/>
        <w:left w:val="none" w:sz="0" w:space="0" w:color="auto"/>
        <w:bottom w:val="none" w:sz="0" w:space="0" w:color="auto"/>
        <w:right w:val="none" w:sz="0" w:space="0" w:color="auto"/>
      </w:divBdr>
    </w:div>
    <w:div w:id="1141270843">
      <w:bodyDiv w:val="1"/>
      <w:marLeft w:val="0"/>
      <w:marRight w:val="0"/>
      <w:marTop w:val="0"/>
      <w:marBottom w:val="0"/>
      <w:divBdr>
        <w:top w:val="none" w:sz="0" w:space="0" w:color="auto"/>
        <w:left w:val="none" w:sz="0" w:space="0" w:color="auto"/>
        <w:bottom w:val="none" w:sz="0" w:space="0" w:color="auto"/>
        <w:right w:val="none" w:sz="0" w:space="0" w:color="auto"/>
      </w:divBdr>
    </w:div>
    <w:div w:id="1154951266">
      <w:bodyDiv w:val="1"/>
      <w:marLeft w:val="0"/>
      <w:marRight w:val="0"/>
      <w:marTop w:val="0"/>
      <w:marBottom w:val="0"/>
      <w:divBdr>
        <w:top w:val="none" w:sz="0" w:space="0" w:color="auto"/>
        <w:left w:val="none" w:sz="0" w:space="0" w:color="auto"/>
        <w:bottom w:val="none" w:sz="0" w:space="0" w:color="auto"/>
        <w:right w:val="none" w:sz="0" w:space="0" w:color="auto"/>
      </w:divBdr>
    </w:div>
    <w:div w:id="1227454060">
      <w:bodyDiv w:val="1"/>
      <w:marLeft w:val="0"/>
      <w:marRight w:val="0"/>
      <w:marTop w:val="0"/>
      <w:marBottom w:val="0"/>
      <w:divBdr>
        <w:top w:val="none" w:sz="0" w:space="0" w:color="auto"/>
        <w:left w:val="none" w:sz="0" w:space="0" w:color="auto"/>
        <w:bottom w:val="none" w:sz="0" w:space="0" w:color="auto"/>
        <w:right w:val="none" w:sz="0" w:space="0" w:color="auto"/>
      </w:divBdr>
    </w:div>
    <w:div w:id="1329136587">
      <w:bodyDiv w:val="1"/>
      <w:marLeft w:val="0"/>
      <w:marRight w:val="0"/>
      <w:marTop w:val="0"/>
      <w:marBottom w:val="0"/>
      <w:divBdr>
        <w:top w:val="none" w:sz="0" w:space="0" w:color="auto"/>
        <w:left w:val="none" w:sz="0" w:space="0" w:color="auto"/>
        <w:bottom w:val="none" w:sz="0" w:space="0" w:color="auto"/>
        <w:right w:val="none" w:sz="0" w:space="0" w:color="auto"/>
      </w:divBdr>
    </w:div>
    <w:div w:id="1409420393">
      <w:bodyDiv w:val="1"/>
      <w:marLeft w:val="0"/>
      <w:marRight w:val="0"/>
      <w:marTop w:val="0"/>
      <w:marBottom w:val="0"/>
      <w:divBdr>
        <w:top w:val="none" w:sz="0" w:space="0" w:color="auto"/>
        <w:left w:val="none" w:sz="0" w:space="0" w:color="auto"/>
        <w:bottom w:val="none" w:sz="0" w:space="0" w:color="auto"/>
        <w:right w:val="none" w:sz="0" w:space="0" w:color="auto"/>
      </w:divBdr>
    </w:div>
    <w:div w:id="1427190310">
      <w:bodyDiv w:val="1"/>
      <w:marLeft w:val="0"/>
      <w:marRight w:val="0"/>
      <w:marTop w:val="0"/>
      <w:marBottom w:val="0"/>
      <w:divBdr>
        <w:top w:val="none" w:sz="0" w:space="0" w:color="auto"/>
        <w:left w:val="none" w:sz="0" w:space="0" w:color="auto"/>
        <w:bottom w:val="none" w:sz="0" w:space="0" w:color="auto"/>
        <w:right w:val="none" w:sz="0" w:space="0" w:color="auto"/>
      </w:divBdr>
    </w:div>
    <w:div w:id="1429814608">
      <w:bodyDiv w:val="1"/>
      <w:marLeft w:val="0"/>
      <w:marRight w:val="0"/>
      <w:marTop w:val="0"/>
      <w:marBottom w:val="0"/>
      <w:divBdr>
        <w:top w:val="none" w:sz="0" w:space="0" w:color="auto"/>
        <w:left w:val="none" w:sz="0" w:space="0" w:color="auto"/>
        <w:bottom w:val="none" w:sz="0" w:space="0" w:color="auto"/>
        <w:right w:val="none" w:sz="0" w:space="0" w:color="auto"/>
      </w:divBdr>
    </w:div>
    <w:div w:id="1456486080">
      <w:bodyDiv w:val="1"/>
      <w:marLeft w:val="0"/>
      <w:marRight w:val="0"/>
      <w:marTop w:val="0"/>
      <w:marBottom w:val="0"/>
      <w:divBdr>
        <w:top w:val="none" w:sz="0" w:space="0" w:color="auto"/>
        <w:left w:val="none" w:sz="0" w:space="0" w:color="auto"/>
        <w:bottom w:val="none" w:sz="0" w:space="0" w:color="auto"/>
        <w:right w:val="none" w:sz="0" w:space="0" w:color="auto"/>
      </w:divBdr>
    </w:div>
    <w:div w:id="1479031033">
      <w:bodyDiv w:val="1"/>
      <w:marLeft w:val="0"/>
      <w:marRight w:val="0"/>
      <w:marTop w:val="0"/>
      <w:marBottom w:val="0"/>
      <w:divBdr>
        <w:top w:val="none" w:sz="0" w:space="0" w:color="auto"/>
        <w:left w:val="none" w:sz="0" w:space="0" w:color="auto"/>
        <w:bottom w:val="none" w:sz="0" w:space="0" w:color="auto"/>
        <w:right w:val="none" w:sz="0" w:space="0" w:color="auto"/>
      </w:divBdr>
    </w:div>
    <w:div w:id="1643535125">
      <w:bodyDiv w:val="1"/>
      <w:marLeft w:val="0"/>
      <w:marRight w:val="0"/>
      <w:marTop w:val="0"/>
      <w:marBottom w:val="0"/>
      <w:divBdr>
        <w:top w:val="none" w:sz="0" w:space="0" w:color="auto"/>
        <w:left w:val="none" w:sz="0" w:space="0" w:color="auto"/>
        <w:bottom w:val="none" w:sz="0" w:space="0" w:color="auto"/>
        <w:right w:val="none" w:sz="0" w:space="0" w:color="auto"/>
      </w:divBdr>
    </w:div>
    <w:div w:id="1684286391">
      <w:bodyDiv w:val="1"/>
      <w:marLeft w:val="0"/>
      <w:marRight w:val="0"/>
      <w:marTop w:val="0"/>
      <w:marBottom w:val="0"/>
      <w:divBdr>
        <w:top w:val="none" w:sz="0" w:space="0" w:color="auto"/>
        <w:left w:val="none" w:sz="0" w:space="0" w:color="auto"/>
        <w:bottom w:val="none" w:sz="0" w:space="0" w:color="auto"/>
        <w:right w:val="none" w:sz="0" w:space="0" w:color="auto"/>
      </w:divBdr>
    </w:div>
    <w:div w:id="1791703709">
      <w:bodyDiv w:val="1"/>
      <w:marLeft w:val="0"/>
      <w:marRight w:val="0"/>
      <w:marTop w:val="0"/>
      <w:marBottom w:val="0"/>
      <w:divBdr>
        <w:top w:val="none" w:sz="0" w:space="0" w:color="auto"/>
        <w:left w:val="none" w:sz="0" w:space="0" w:color="auto"/>
        <w:bottom w:val="none" w:sz="0" w:space="0" w:color="auto"/>
        <w:right w:val="none" w:sz="0" w:space="0" w:color="auto"/>
      </w:divBdr>
    </w:div>
    <w:div w:id="1796753463">
      <w:bodyDiv w:val="1"/>
      <w:marLeft w:val="0"/>
      <w:marRight w:val="0"/>
      <w:marTop w:val="0"/>
      <w:marBottom w:val="0"/>
      <w:divBdr>
        <w:top w:val="none" w:sz="0" w:space="0" w:color="auto"/>
        <w:left w:val="none" w:sz="0" w:space="0" w:color="auto"/>
        <w:bottom w:val="none" w:sz="0" w:space="0" w:color="auto"/>
        <w:right w:val="none" w:sz="0" w:space="0" w:color="auto"/>
      </w:divBdr>
    </w:div>
    <w:div w:id="1813133630">
      <w:bodyDiv w:val="1"/>
      <w:marLeft w:val="0"/>
      <w:marRight w:val="0"/>
      <w:marTop w:val="0"/>
      <w:marBottom w:val="0"/>
      <w:divBdr>
        <w:top w:val="none" w:sz="0" w:space="0" w:color="auto"/>
        <w:left w:val="none" w:sz="0" w:space="0" w:color="auto"/>
        <w:bottom w:val="none" w:sz="0" w:space="0" w:color="auto"/>
        <w:right w:val="none" w:sz="0" w:space="0" w:color="auto"/>
      </w:divBdr>
    </w:div>
    <w:div w:id="1856188812">
      <w:bodyDiv w:val="1"/>
      <w:marLeft w:val="0"/>
      <w:marRight w:val="0"/>
      <w:marTop w:val="0"/>
      <w:marBottom w:val="0"/>
      <w:divBdr>
        <w:top w:val="none" w:sz="0" w:space="0" w:color="auto"/>
        <w:left w:val="none" w:sz="0" w:space="0" w:color="auto"/>
        <w:bottom w:val="none" w:sz="0" w:space="0" w:color="auto"/>
        <w:right w:val="none" w:sz="0" w:space="0" w:color="auto"/>
      </w:divBdr>
    </w:div>
    <w:div w:id="1894342738">
      <w:bodyDiv w:val="1"/>
      <w:marLeft w:val="0"/>
      <w:marRight w:val="0"/>
      <w:marTop w:val="0"/>
      <w:marBottom w:val="0"/>
      <w:divBdr>
        <w:top w:val="none" w:sz="0" w:space="0" w:color="auto"/>
        <w:left w:val="none" w:sz="0" w:space="0" w:color="auto"/>
        <w:bottom w:val="none" w:sz="0" w:space="0" w:color="auto"/>
        <w:right w:val="none" w:sz="0" w:space="0" w:color="auto"/>
      </w:divBdr>
    </w:div>
    <w:div w:id="1898778239">
      <w:bodyDiv w:val="1"/>
      <w:marLeft w:val="0"/>
      <w:marRight w:val="0"/>
      <w:marTop w:val="0"/>
      <w:marBottom w:val="0"/>
      <w:divBdr>
        <w:top w:val="none" w:sz="0" w:space="0" w:color="auto"/>
        <w:left w:val="none" w:sz="0" w:space="0" w:color="auto"/>
        <w:bottom w:val="none" w:sz="0" w:space="0" w:color="auto"/>
        <w:right w:val="none" w:sz="0" w:space="0" w:color="auto"/>
      </w:divBdr>
    </w:div>
    <w:div w:id="1936742606">
      <w:bodyDiv w:val="1"/>
      <w:marLeft w:val="0"/>
      <w:marRight w:val="0"/>
      <w:marTop w:val="0"/>
      <w:marBottom w:val="0"/>
      <w:divBdr>
        <w:top w:val="none" w:sz="0" w:space="0" w:color="auto"/>
        <w:left w:val="none" w:sz="0" w:space="0" w:color="auto"/>
        <w:bottom w:val="none" w:sz="0" w:space="0" w:color="auto"/>
        <w:right w:val="none" w:sz="0" w:space="0" w:color="auto"/>
      </w:divBdr>
    </w:div>
    <w:div w:id="2045011444">
      <w:bodyDiv w:val="1"/>
      <w:marLeft w:val="0"/>
      <w:marRight w:val="0"/>
      <w:marTop w:val="0"/>
      <w:marBottom w:val="0"/>
      <w:divBdr>
        <w:top w:val="none" w:sz="0" w:space="0" w:color="auto"/>
        <w:left w:val="none" w:sz="0" w:space="0" w:color="auto"/>
        <w:bottom w:val="none" w:sz="0" w:space="0" w:color="auto"/>
        <w:right w:val="none" w:sz="0" w:space="0" w:color="auto"/>
      </w:divBdr>
    </w:div>
    <w:div w:id="20554997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王正雄04</b:Tag>
    <b:SourceType>JournalArticle</b:SourceType>
    <b:Guid>{61D6C818-C7A3-45FE-9628-701223466251}</b:Guid>
    <b:Title>戴奧辛之基本認識</b:Title>
    <b:Year>2002.04[民91.04]</b:Year>
    <b:Author>
      <b:Author>
        <b:NameList>
          <b:Person>
            <b:Last>王正雄、沈一夫</b:Last>
          </b:Person>
        </b:NameList>
      </b:Author>
    </b:Author>
    <b:JournalName>工業污染防治</b:JournalName>
    <b:Pages>82-100。</b:Pages>
    <b:RefOrder>1</b:RefOrder>
  </b:Source>
  <b:Source>
    <b:Tag>捷思環17</b:Tag>
    <b:SourceType>InternetSite</b:SourceType>
    <b:Guid>{AE767BC9-BC02-4CA7-AE49-5D1A0D6C2CF0}</b:Guid>
    <b:Title>戴奧辛危害與防制DIOXIN</b:Title>
    <b:Year>2017</b:Year>
    <b:Author>
      <b:Author>
        <b:NameList>
          <b:Person>
            <b:Last>捷思環能有限公司</b:Last>
          </b:Person>
        </b:NameList>
      </b:Author>
    </b:Author>
    <b:ProductionCompany>捷思環能有限公司</b:ProductionCompany>
    <b:URL>https://www.jsene.com/taipei_epb/dioxin/Default.aspx</b:URL>
    <b:RefOrder>2</b:RefOrder>
  </b:Source>
  <b:Source>
    <b:Tag>曾賢中</b:Tag>
    <b:SourceType>Misc</b:SourceType>
    <b:Guid>{E0EF1BF5-73DB-480F-AC3A-DCD4EAB77814}</b:Guid>
    <b:Title>全民認識戴奧辛</b:Title>
    <b:Author>
      <b:Author>
        <b:NameList>
          <b:Person>
            <b:Last>曾賢中</b:Last>
          </b:Person>
        </b:NameList>
      </b:Author>
    </b:Author>
    <b:Publisher>行政院環境保護署</b:Publisher>
    <b:RefOrder>5</b:RefOrder>
  </b:Source>
  <b:Source>
    <b:Tag>陳亭瑋17</b:Tag>
    <b:SourceType>InternetSite</b:SourceType>
    <b:Guid>{6804E45C-21A4-402B-A77C-8E6043962486}</b:Guid>
    <b:Title>PanSci 泛科學</b:Title>
    <b:Year>2017</b:Year>
    <b:Author>
      <b:Author>
        <b:NameList>
          <b:Person>
            <b:Last>陳亭瑋</b:Last>
          </b:Person>
        </b:NameList>
      </b:Author>
    </b:Author>
    <b:Month>9</b:Month>
    <b:Day>14</b:Day>
    <b:URL>https://pansci.asia/archives/125017</b:URL>
    <b:RefOrder>6</b:RefOrder>
  </b:Source>
  <b:Source>
    <b:Tag>Cam</b:Tag>
    <b:SourceType>InternetSite</b:SourceType>
    <b:Guid>{EE896D3B-8BEC-467E-815B-D4C91A09377F}</b:Guid>
    <b:Title>Cambridge Isotope Laboratories, Inc. – Stable Isotopes</b:Title>
    <b:ProductionCompany>Cambridge Isotope Laboratories</b:ProductionCompany>
    <b:URL>https://isotope.com/stockholm-treaty-standards/2-3-7-8-tcdd-unlabeled-ed-901-c</b:URL>
    <b:RefOrder>3</b:RefOrder>
  </b:Source>
  <b:Source>
    <b:Tag>黃慧珊09</b:Tag>
    <b:SourceType>InternetSite</b:SourceType>
    <b:Guid>{14043F1D-8B85-4D01-A9C3-7C31C66D854A}</b:Guid>
    <b:Author>
      <b:Author>
        <b:NameList>
          <b:Person>
            <b:Last>黃慧珊</b:Last>
          </b:Person>
        </b:NameList>
      </b:Author>
    </b:Author>
    <b:Title>環境資訊中心</b:Title>
    <b:ProductionCompany>臺灣環境資訊協會</b:ProductionCompany>
    <b:Year>2009</b:Year>
    <b:Month>11</b:Month>
    <b:Day>20</b:Day>
    <b:URL>https://e-info.org.tw/node/49455</b:URL>
    <b:RefOrder>7</b:RefOrder>
  </b:Source>
  <b:Source>
    <b:Tag>賴品瑀18</b:Tag>
    <b:SourceType>InternetSite</b:SourceType>
    <b:Guid>{D5CA4A13-80ED-4685-BA31-9A90D8EFF325}</b:Guid>
    <b:Author>
      <b:Author>
        <b:NameList>
          <b:Person>
            <b:Last>賴品瑀</b:Last>
          </b:Person>
        </b:NameList>
      </b:Author>
    </b:Author>
    <b:Title>環境資訊中心</b:Title>
    <b:ProductionCompany>臺灣環境資訊協會</b:ProductionCompany>
    <b:Year>2018</b:Year>
    <b:Month>05</b:Month>
    <b:Day>25</b:Day>
    <b:URL>https://e-info.org.tw/node/211808</b:URL>
    <b:RefOrder>8</b:RefOrder>
  </b:Source>
  <b:Source>
    <b:Tag>環境部09</b:Tag>
    <b:SourceType>InternetSite</b:SourceType>
    <b:Guid>{CFF5FB2C-FD3A-4DA7-99B3-D4156614281F}</b:Guid>
    <b:Title>環境部化學物質管理署</b:Title>
    <b:ProductionCompany>台灣政府</b:ProductionCompany>
    <b:Year>民國109</b:Year>
    <b:Month>10</b:Month>
    <b:Day>26</b:Day>
    <b:URL>https://topic.moenv.gov.tw/chemiknowledgemap/cp-452-9125-37316-5.html</b:URL>
    <b:RefOrder>9</b:RefOrder>
  </b:Source>
  <b:Source>
    <b:Tag>衛生福5日</b:Tag>
    <b:SourceType>Misc</b:SourceType>
    <b:Guid>{67FB9A35-B90C-4AD4-AC94-00A84714E0DC}</b:Guid>
    <b:Title>食品含戴奧辛及戴奧辛類多氯聯苯處理規範</b:Title>
    <b:ProductionCompany>衛生福利部食品藥物管理署</b:ProductionCompany>
    <b:Year>中華民國109年4月15日</b:Year>
    <b:Author>
      <b:Author>
        <b:NameList>
          <b:Person>
            <b:Last>衛生福利部食品藥物管理署</b:Last>
          </b:Person>
        </b:NameList>
      </b:Author>
    </b:Author>
    <b:RefOrder>4</b:RefOrder>
  </b:Source>
</b:Sources>
</file>

<file path=customXml/itemProps1.xml><?xml version="1.0" encoding="utf-8"?>
<ds:datastoreItem xmlns:ds="http://schemas.openxmlformats.org/officeDocument/2006/customXml" ds:itemID="{1783FF33-8DDC-4E9F-B887-DE363E5393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TotalTime>
  <Pages>16</Pages>
  <Words>1069</Words>
  <Characters>6097</Characters>
  <Application>Microsoft Office Word</Application>
  <DocSecurity>0</DocSecurity>
  <Lines>50</Lines>
  <Paragraphs>14</Paragraphs>
  <ScaleCrop>false</ScaleCrop>
  <Company/>
  <LinksUpToDate>false</LinksUpToDate>
  <CharactersWithSpaces>7152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楊盛凱</dc:creator>
  <cp:keywords/>
  <dc:description/>
  <cp:lastModifiedBy>盛凱 楊</cp:lastModifiedBy>
  <cp:revision>5</cp:revision>
  <dcterms:created xsi:type="dcterms:W3CDTF">2026-04-02T09:30:00Z</dcterms:created>
  <dcterms:modified xsi:type="dcterms:W3CDTF">2026-04-30T13:36:00Z</dcterms:modified>
</cp:coreProperties>
</file>