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B59BB"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9DE3B98"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DA0F5D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國立東華大學</w:t>
      </w:r>
      <w:r w:rsidR="007857F7" w:rsidRPr="00706F03">
        <w:rPr>
          <w:rFonts w:ascii="Times New Roman" w:eastAsia="標楷體" w:hAnsi="Times New Roman" w:cs="Times New Roman"/>
          <w:b w:val="0"/>
          <w:color w:val="auto"/>
          <w:sz w:val="48"/>
          <w:szCs w:val="28"/>
        </w:rPr>
        <w:t>財務金融</w:t>
      </w:r>
      <w:r w:rsidRPr="00706F03">
        <w:rPr>
          <w:rFonts w:ascii="Times New Roman" w:eastAsia="標楷體" w:hAnsi="Times New Roman" w:cs="Times New Roman"/>
          <w:b w:val="0"/>
          <w:color w:val="auto"/>
          <w:sz w:val="48"/>
          <w:szCs w:val="28"/>
        </w:rPr>
        <w:t>學系</w:t>
      </w:r>
    </w:p>
    <w:p w14:paraId="3303CE63"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碩士論文</w:t>
      </w:r>
    </w:p>
    <w:p w14:paraId="341175EC"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1CE59CE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FC200CC" w14:textId="77777777" w:rsidR="00D1372F" w:rsidRPr="00706F03" w:rsidRDefault="00D1372F" w:rsidP="006C25BD">
      <w:pPr>
        <w:pStyle w:val="1"/>
        <w:snapToGrid w:val="0"/>
        <w:spacing w:after="0" w:line="276" w:lineRule="auto"/>
        <w:rPr>
          <w:rFonts w:ascii="Times New Roman" w:eastAsia="標楷體" w:hAnsi="Times New Roman" w:cs="Times New Roman"/>
          <w:color w:val="auto"/>
          <w:sz w:val="48"/>
          <w:szCs w:val="28"/>
        </w:rPr>
      </w:pPr>
      <w:r w:rsidRPr="00706F03">
        <w:rPr>
          <w:rFonts w:ascii="Times New Roman" w:eastAsia="標楷體" w:hAnsi="Times New Roman" w:cs="Times New Roman"/>
          <w:color w:val="auto"/>
          <w:sz w:val="48"/>
          <w:szCs w:val="28"/>
        </w:rPr>
        <w:t>判決文本會說話嗎？</w:t>
      </w:r>
      <w:r w:rsidRPr="00706F03">
        <w:rPr>
          <w:rFonts w:ascii="Times New Roman" w:eastAsia="標楷體" w:hAnsi="Times New Roman" w:cs="Times New Roman"/>
          <w:color w:val="auto"/>
          <w:sz w:val="48"/>
          <w:szCs w:val="28"/>
        </w:rPr>
        <w:br/>
      </w:r>
      <w:r w:rsidR="00666510" w:rsidRPr="00706F03">
        <w:rPr>
          <w:rFonts w:ascii="Times New Roman" w:eastAsia="標楷體" w:hAnsi="Times New Roman" w:cs="Times New Roman"/>
          <w:color w:val="auto"/>
          <w:sz w:val="48"/>
          <w:szCs w:val="28"/>
        </w:rPr>
        <w:t>臺</w:t>
      </w:r>
      <w:r w:rsidRPr="00706F03">
        <w:rPr>
          <w:rFonts w:ascii="Times New Roman" w:eastAsia="標楷體" w:hAnsi="Times New Roman" w:cs="Times New Roman"/>
          <w:color w:val="auto"/>
          <w:sz w:val="48"/>
          <w:szCs w:val="28"/>
        </w:rPr>
        <w:t>灣智慧財產權裁判結果之文字探勘與分類研究</w:t>
      </w:r>
    </w:p>
    <w:p w14:paraId="40A55DA3" w14:textId="77777777" w:rsidR="00D1372F" w:rsidRPr="00706F03" w:rsidRDefault="00D1372F" w:rsidP="006C25BD">
      <w:pPr>
        <w:pStyle w:val="1"/>
        <w:snapToGrid w:val="0"/>
        <w:spacing w:after="0" w:line="276" w:lineRule="auto"/>
        <w:rPr>
          <w:rFonts w:ascii="Times New Roman" w:eastAsia="標楷體" w:hAnsi="Times New Roman" w:cs="Times New Roman"/>
          <w:i/>
          <w:color w:val="auto"/>
          <w:sz w:val="28"/>
          <w:szCs w:val="28"/>
        </w:rPr>
      </w:pPr>
      <w:r w:rsidRPr="00706F03">
        <w:rPr>
          <w:rFonts w:ascii="Times New Roman" w:eastAsia="標楷體" w:hAnsi="Times New Roman" w:cs="Times New Roman"/>
          <w:i/>
          <w:color w:val="auto"/>
          <w:sz w:val="28"/>
          <w:szCs w:val="28"/>
        </w:rPr>
        <w:t>Do Court Judgments Speak? Text Mining and Classification of Intellectual Property Judgment Outcomes in Taiwan</w:t>
      </w:r>
    </w:p>
    <w:p w14:paraId="230613A7"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B2CB48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D17589E" w14:textId="77777777" w:rsidR="00D1372F" w:rsidRPr="00706F03" w:rsidRDefault="007857F7" w:rsidP="00704208">
      <w:pPr>
        <w:pStyle w:val="1"/>
        <w:snapToGrid w:val="0"/>
        <w:spacing w:after="0" w:line="276" w:lineRule="auto"/>
        <w:ind w:firstLine="0"/>
        <w:rPr>
          <w:rFonts w:ascii="Times New Roman" w:eastAsia="標楷體" w:hAnsi="Times New Roman" w:cs="Times New Roman"/>
          <w:b w:val="0"/>
          <w:color w:val="auto"/>
          <w:sz w:val="28"/>
          <w:szCs w:val="28"/>
        </w:rPr>
      </w:pPr>
      <w:r w:rsidRPr="00706F03">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43AF859B" w14:textId="77777777" w:rsidR="00D1372F" w:rsidRPr="00706F03" w:rsidRDefault="00D1372F" w:rsidP="006C25BD">
      <w:pPr>
        <w:pStyle w:val="1"/>
        <w:snapToGrid w:val="0"/>
        <w:spacing w:after="0" w:line="276" w:lineRule="auto"/>
        <w:ind w:firstLine="0"/>
        <w:jc w:val="both"/>
        <w:rPr>
          <w:rFonts w:ascii="Times New Roman" w:eastAsia="標楷體" w:hAnsi="Times New Roman" w:cs="Times New Roman"/>
          <w:b w:val="0"/>
          <w:color w:val="auto"/>
          <w:sz w:val="28"/>
          <w:szCs w:val="28"/>
        </w:rPr>
      </w:pPr>
    </w:p>
    <w:p w14:paraId="3FA56DD7"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873A579"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研究生：</w:t>
      </w:r>
      <w:r w:rsidR="007857F7" w:rsidRPr="00706F03">
        <w:rPr>
          <w:rFonts w:ascii="Times New Roman" w:eastAsia="標楷體" w:hAnsi="Times New Roman" w:cs="Times New Roman"/>
          <w:b w:val="0"/>
          <w:color w:val="auto"/>
          <w:sz w:val="44"/>
          <w:szCs w:val="28"/>
        </w:rPr>
        <w:t>陳信全</w:t>
      </w:r>
    </w:p>
    <w:p w14:paraId="17A00108"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指導教授：</w:t>
      </w:r>
      <w:r w:rsidR="007857F7" w:rsidRPr="00706F03">
        <w:rPr>
          <w:rFonts w:ascii="Times New Roman" w:eastAsia="標楷體" w:hAnsi="Times New Roman" w:cs="Times New Roman"/>
          <w:b w:val="0"/>
          <w:color w:val="auto"/>
          <w:sz w:val="44"/>
          <w:szCs w:val="28"/>
        </w:rPr>
        <w:t>侯介澤</w:t>
      </w:r>
      <w:r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博士</w:t>
      </w:r>
    </w:p>
    <w:p w14:paraId="70543CDC"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6AAFC386"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3ECD267" w14:textId="48D5D3CD"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中華民國</w:t>
      </w:r>
      <w:r w:rsidRPr="00706F03">
        <w:rPr>
          <w:rFonts w:ascii="Times New Roman" w:eastAsia="標楷體" w:hAnsi="Times New Roman" w:cs="Times New Roman"/>
          <w:b w:val="0"/>
          <w:color w:val="auto"/>
          <w:sz w:val="44"/>
          <w:szCs w:val="28"/>
        </w:rPr>
        <w:t>115</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年</w:t>
      </w:r>
      <w:r w:rsidRPr="00706F03">
        <w:rPr>
          <w:rFonts w:ascii="Times New Roman" w:eastAsia="標楷體" w:hAnsi="Times New Roman" w:cs="Times New Roman"/>
          <w:b w:val="0"/>
          <w:color w:val="auto"/>
          <w:sz w:val="44"/>
          <w:szCs w:val="28"/>
        </w:rPr>
        <w:t>6</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月</w:t>
      </w:r>
    </w:p>
    <w:p w14:paraId="5F50BABE" w14:textId="77777777" w:rsidR="00D1372F" w:rsidRPr="00706F03" w:rsidRDefault="00D1372F" w:rsidP="006C25BD">
      <w:pPr>
        <w:pStyle w:val="1"/>
        <w:spacing w:line="276" w:lineRule="auto"/>
        <w:rPr>
          <w:rFonts w:ascii="Times New Roman" w:eastAsia="標楷體"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718F8A5" w14:textId="77777777" w:rsidR="0079015F"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摘要</w:t>
      </w:r>
    </w:p>
    <w:p w14:paraId="5407A1D0"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43D79A87" w14:textId="77777777"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智慧財產權相關裁判書為資料來源。本文將裁判結果整理為敗訴（</w:t>
      </w:r>
      <w:r w:rsidRPr="00706F03">
        <w:rPr>
          <w:rFonts w:cs="Times New Roman"/>
        </w:rPr>
        <w:t>Lose</w:t>
      </w:r>
      <w:r w:rsidRPr="00706F03">
        <w:rPr>
          <w:rFonts w:cs="Times New Roman"/>
        </w:rPr>
        <w:t>）、部分勝訴（</w:t>
      </w:r>
      <w:r w:rsidRPr="00706F03">
        <w:rPr>
          <w:rFonts w:cs="Times New Roman"/>
        </w:rPr>
        <w:t>Mixed</w:t>
      </w:r>
      <w:r w:rsidRPr="00706F03">
        <w:rPr>
          <w:rFonts w:cs="Times New Roman"/>
        </w:rPr>
        <w:t>）與勝訴（</w:t>
      </w:r>
      <w:r w:rsidRPr="00706F03">
        <w:rPr>
          <w:rFonts w:cs="Times New Roman"/>
        </w:rPr>
        <w:t>Win</w:t>
      </w:r>
      <w:r w:rsidRPr="00706F03">
        <w:rPr>
          <w:rFonts w:cs="Times New Roman"/>
        </w:rPr>
        <w:t>）三類。並依案件類型區分為行政、民事、刑事與刑事附帶民事案件。各案件類型分別建立模型，以比較其分類表現。在研究方法上，本文首先進行案件篩選、文本清理、停用詞移除與中文斷詞。接著建立三種文字特徵表示，包括詞袋模型（</w:t>
      </w:r>
      <w:r w:rsidRPr="00706F03">
        <w:rPr>
          <w:rFonts w:cs="Times New Roman"/>
        </w:rPr>
        <w:t>Bag-of-Words, BoW</w:t>
      </w:r>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）。本文再透過卡方特徵選擇（</w:t>
      </w:r>
      <w:r w:rsidRPr="00706F03">
        <w:rPr>
          <w:rFonts w:cs="Times New Roman"/>
        </w:rPr>
        <w:t>Chi-square feature selection, Chi-square</w:t>
      </w:r>
      <w:r w:rsidRPr="00706F03">
        <w:rPr>
          <w:rFonts w:cs="Times New Roman"/>
        </w:rPr>
        <w:t>），篩選與裁判結果較具關聯的詞彙特徵。模型流程方面，本文比較兩種方法。第一種為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4D80369D" w14:textId="3B54E825" w:rsidR="00312CCC" w:rsidRPr="00706F03" w:rsidRDefault="0079015F" w:rsidP="002F72CB">
      <w:pPr>
        <w:spacing w:line="276" w:lineRule="auto"/>
        <w:rPr>
          <w:rFonts w:cs="Times New Roman"/>
        </w:rPr>
      </w:pPr>
      <w:r w:rsidRPr="00706F03">
        <w:rPr>
          <w:rFonts w:cs="Times New Roman"/>
        </w:rPr>
        <w:t>實</w:t>
      </w:r>
      <w:r w:rsidR="002F72CB" w:rsidRPr="00706F03">
        <w:rPr>
          <w:rFonts w:cs="Times New Roman"/>
        </w:rPr>
        <w:t>證結果顯示，在本研究資料、標籤設定與超參數範圍下，</w:t>
      </w:r>
      <w:r w:rsidR="002F72CB" w:rsidRPr="00706F03">
        <w:rPr>
          <w:rFonts w:cs="Times New Roman"/>
        </w:rPr>
        <w:t xml:space="preserve">Chi-square + SVM </w:t>
      </w:r>
      <w:r w:rsidR="002F72CB" w:rsidRPr="00706F03">
        <w:rPr>
          <w:rFonts w:cs="Times New Roman"/>
        </w:rPr>
        <w:t>在四類案件資料集中的宏平均</w:t>
      </w:r>
      <w:r w:rsidR="002F72CB" w:rsidRPr="00706F03">
        <w:rPr>
          <w:rFonts w:cs="Times New Roman"/>
        </w:rPr>
        <w:t xml:space="preserve"> F1 </w:t>
      </w:r>
      <w:r w:rsidR="002F72CB" w:rsidRPr="00706F03">
        <w:rPr>
          <w:rFonts w:cs="Times New Roman"/>
        </w:rPr>
        <w:t>分數（</w:t>
      </w:r>
      <w:r w:rsidR="002F72CB" w:rsidRPr="00706F03">
        <w:rPr>
          <w:rFonts w:cs="Times New Roman"/>
        </w:rPr>
        <w:t>Macro F1</w:t>
      </w:r>
      <w:r w:rsidR="002F72CB" w:rsidRPr="00706F03">
        <w:rPr>
          <w:rFonts w:cs="Times New Roman"/>
        </w:rPr>
        <w:t>）皆高於</w:t>
      </w:r>
      <w:r w:rsidR="002F72CB" w:rsidRPr="00706F03">
        <w:rPr>
          <w:rFonts w:cs="Times New Roman"/>
        </w:rPr>
        <w:t xml:space="preserve"> Chi-square + MNIR + SVM</w:t>
      </w:r>
      <w:r w:rsidR="002F72CB" w:rsidRPr="00706F03">
        <w:rPr>
          <w:rFonts w:cs="Times New Roman"/>
        </w:rPr>
        <w:t>。此結果表示，</w:t>
      </w:r>
      <w:r w:rsidR="002F72CB" w:rsidRPr="00706F03">
        <w:rPr>
          <w:rFonts w:cs="Times New Roman"/>
        </w:rPr>
        <w:t xml:space="preserve">MNIR </w:t>
      </w:r>
      <w:r w:rsidR="002F72CB" w:rsidRPr="00706F03">
        <w:rPr>
          <w:rFonts w:cs="Times New Roman"/>
        </w:rPr>
        <w:t>監督式特徵轉換未取得額外分類增益。不過，這並不代表</w:t>
      </w:r>
      <w:r w:rsidR="002F72CB" w:rsidRPr="00706F03">
        <w:rPr>
          <w:rFonts w:cs="Times New Roman"/>
        </w:rPr>
        <w:t xml:space="preserve"> MNIR </w:t>
      </w:r>
      <w:r w:rsidR="002F72CB" w:rsidRPr="00706F03">
        <w:rPr>
          <w:rFonts w:cs="Times New Roman"/>
        </w:rPr>
        <w:t>方法本身無效</w:t>
      </w:r>
      <w:r w:rsidR="00697ED0" w:rsidRPr="00706F03">
        <w:rPr>
          <w:rFonts w:cs="Times New Roman" w:hint="eastAsia"/>
        </w:rPr>
        <w:t>，</w:t>
      </w:r>
      <w:r w:rsidR="00235E48" w:rsidRPr="00706F03">
        <w:rPr>
          <w:rFonts w:cs="Times New Roman" w:hint="eastAsia"/>
        </w:rPr>
        <w:t>較合理的</w:t>
      </w:r>
      <w:r w:rsidR="002F72CB" w:rsidRPr="00706F03">
        <w:rPr>
          <w:rFonts w:cs="Times New Roman" w:hint="eastAsia"/>
        </w:rPr>
        <w:t>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。此結果反映智慧財產權判決分類受到類別不平衡影響。本文以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25DCCA1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49457A4F" w14:textId="2153C5ED" w:rsidR="0079015F" w:rsidRPr="00706F03" w:rsidRDefault="000B1E56"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Abstract</w:t>
      </w:r>
    </w:p>
    <w:p w14:paraId="097205E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65993FB"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658F0A4E"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 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3B8B3192" w14:textId="77777777" w:rsidR="006177AB" w:rsidRPr="00706F03" w:rsidRDefault="006177AB" w:rsidP="00B91064">
      <w:pPr>
        <w:spacing w:line="276" w:lineRule="auto"/>
        <w:rPr>
          <w:rFonts w:cs="Times New Roman"/>
        </w:rPr>
      </w:pPr>
      <w:r w:rsidRPr="00706F03">
        <w:rPr>
          <w:rFonts w:cs="Times New Roman"/>
        </w:rPr>
        <w:t>The most suitable text feature representation also differs across case types. BoW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65F982B5"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30183D56" w14:textId="77777777" w:rsidR="00925402" w:rsidRPr="00706F03" w:rsidRDefault="00461938" w:rsidP="0064253A">
      <w:pPr>
        <w:pStyle w:val="1"/>
        <w:pageBreakBefore/>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目錄</w:t>
      </w:r>
    </w:p>
    <w:p w14:paraId="0F4DCE5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摘要</w:t>
      </w:r>
      <w:r w:rsidRPr="00706F03">
        <w:rPr>
          <w:rFonts w:ascii="Times New Roman" w:eastAsia="標楷體" w:hAnsi="Times New Roman" w:cs="Times New Roman" w:hint="eastAsia"/>
          <w:b w:val="0"/>
          <w:color w:val="auto"/>
          <w:sz w:val="24"/>
          <w:szCs w:val="28"/>
        </w:rPr>
        <w:tab/>
        <w:t>2</w:t>
      </w:r>
    </w:p>
    <w:p w14:paraId="12FD5A1C" w14:textId="1C76A968"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Cs/>
          <w:color w:val="auto"/>
          <w:sz w:val="24"/>
          <w:szCs w:val="28"/>
        </w:rPr>
        <w:t>Abstract</w:t>
      </w:r>
      <w:r w:rsidRPr="00706F03">
        <w:rPr>
          <w:rFonts w:ascii="Times New Roman" w:eastAsia="標楷體" w:hAnsi="Times New Roman" w:cs="Times New Roman"/>
          <w:b w:val="0"/>
          <w:color w:val="auto"/>
          <w:sz w:val="24"/>
          <w:szCs w:val="28"/>
        </w:rPr>
        <w:tab/>
        <w:t>4</w:t>
      </w:r>
    </w:p>
    <w:p w14:paraId="12EA01F0" w14:textId="36591813"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表目錄</w:t>
      </w:r>
      <w:r w:rsidRPr="00706F03">
        <w:rPr>
          <w:rFonts w:ascii="Times New Roman" w:eastAsia="標楷體" w:hAnsi="Times New Roman" w:cs="Times New Roman" w:hint="eastAsia"/>
          <w:b w:val="0"/>
          <w:color w:val="auto"/>
          <w:sz w:val="24"/>
          <w:szCs w:val="28"/>
        </w:rPr>
        <w:tab/>
        <w:t>9</w:t>
      </w:r>
    </w:p>
    <w:p w14:paraId="5504D2D3" w14:textId="3518C929"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圖目錄</w:t>
      </w:r>
      <w:r w:rsidRPr="00706F03">
        <w:rPr>
          <w:rFonts w:ascii="Times New Roman" w:eastAsia="標楷體" w:hAnsi="Times New Roman" w:cs="Times New Roman" w:hint="eastAsia"/>
          <w:b w:val="0"/>
          <w:color w:val="auto"/>
          <w:sz w:val="24"/>
          <w:szCs w:val="28"/>
        </w:rPr>
        <w:tab/>
        <w:t>10</w:t>
      </w:r>
    </w:p>
    <w:p w14:paraId="5CDDE88C" w14:textId="482F2E02"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第一章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緒論</w:t>
      </w:r>
      <w:r w:rsidRPr="00706F03">
        <w:rPr>
          <w:rFonts w:ascii="Times New Roman" w:eastAsia="標楷體" w:hAnsi="Times New Roman" w:cs="Times New Roman" w:hint="eastAsia"/>
          <w:b w:val="0"/>
          <w:color w:val="auto"/>
          <w:sz w:val="24"/>
          <w:szCs w:val="28"/>
        </w:rPr>
        <w:tab/>
        <w:t>11</w:t>
      </w:r>
    </w:p>
    <w:p w14:paraId="3D823093" w14:textId="468E519E"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1.1 </w:t>
      </w:r>
      <w:r w:rsidRPr="00706F03">
        <w:rPr>
          <w:rFonts w:ascii="Times New Roman" w:eastAsia="標楷體" w:hAnsi="Times New Roman" w:cs="Times New Roman" w:hint="eastAsia"/>
          <w:b w:val="0"/>
          <w:color w:val="auto"/>
          <w:sz w:val="24"/>
          <w:szCs w:val="28"/>
        </w:rPr>
        <w:t>研究背景與動機</w:t>
      </w:r>
      <w:r w:rsidRPr="00706F03">
        <w:rPr>
          <w:rFonts w:ascii="Times New Roman" w:eastAsia="標楷體" w:hAnsi="Times New Roman" w:cs="Times New Roman" w:hint="eastAsia"/>
          <w:b w:val="0"/>
          <w:color w:val="auto"/>
          <w:sz w:val="24"/>
          <w:szCs w:val="28"/>
        </w:rPr>
        <w:tab/>
        <w:t>11</w:t>
      </w:r>
    </w:p>
    <w:p w14:paraId="7437DC91" w14:textId="1E159858"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1.2 </w:t>
      </w:r>
      <w:r w:rsidRPr="00706F03">
        <w:rPr>
          <w:rFonts w:ascii="Times New Roman" w:eastAsia="標楷體" w:hAnsi="Times New Roman" w:cs="Times New Roman" w:hint="eastAsia"/>
          <w:b w:val="0"/>
          <w:color w:val="auto"/>
          <w:sz w:val="24"/>
          <w:szCs w:val="28"/>
        </w:rPr>
        <w:t>研究目的</w:t>
      </w:r>
      <w:r w:rsidRPr="00706F03">
        <w:rPr>
          <w:rFonts w:ascii="Times New Roman" w:eastAsia="標楷體" w:hAnsi="Times New Roman" w:cs="Times New Roman" w:hint="eastAsia"/>
          <w:b w:val="0"/>
          <w:color w:val="auto"/>
          <w:sz w:val="24"/>
          <w:szCs w:val="28"/>
        </w:rPr>
        <w:tab/>
        <w:t>13</w:t>
      </w:r>
    </w:p>
    <w:p w14:paraId="2952361F" w14:textId="51F30C9E"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1.3 </w:t>
      </w:r>
      <w:r w:rsidRPr="00706F03">
        <w:rPr>
          <w:rFonts w:ascii="Times New Roman" w:eastAsia="標楷體" w:hAnsi="Times New Roman" w:cs="Times New Roman" w:hint="eastAsia"/>
          <w:b w:val="0"/>
          <w:color w:val="auto"/>
          <w:sz w:val="24"/>
          <w:szCs w:val="28"/>
        </w:rPr>
        <w:t>研究問題</w:t>
      </w:r>
      <w:r w:rsidRPr="00706F03">
        <w:rPr>
          <w:rFonts w:ascii="Times New Roman" w:eastAsia="標楷體" w:hAnsi="Times New Roman" w:cs="Times New Roman" w:hint="eastAsia"/>
          <w:b w:val="0"/>
          <w:color w:val="auto"/>
          <w:sz w:val="24"/>
          <w:szCs w:val="28"/>
        </w:rPr>
        <w:tab/>
        <w:t>14</w:t>
      </w:r>
    </w:p>
    <w:p w14:paraId="468A27C1" w14:textId="3D24014A"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1.4 </w:t>
      </w:r>
      <w:r w:rsidRPr="00706F03">
        <w:rPr>
          <w:rFonts w:ascii="Times New Roman" w:eastAsia="標楷體" w:hAnsi="Times New Roman" w:cs="Times New Roman" w:hint="eastAsia"/>
          <w:b w:val="0"/>
          <w:color w:val="auto"/>
          <w:sz w:val="24"/>
          <w:szCs w:val="28"/>
        </w:rPr>
        <w:t>研究定位與論文架構</w:t>
      </w:r>
      <w:r w:rsidRPr="00706F03">
        <w:rPr>
          <w:rFonts w:ascii="Times New Roman" w:eastAsia="標楷體" w:hAnsi="Times New Roman" w:cs="Times New Roman" w:hint="eastAsia"/>
          <w:b w:val="0"/>
          <w:color w:val="auto"/>
          <w:sz w:val="24"/>
          <w:szCs w:val="28"/>
        </w:rPr>
        <w:tab/>
        <w:t>14</w:t>
      </w:r>
    </w:p>
    <w:p w14:paraId="5B84BD9F" w14:textId="0E6B5435"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第二章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文獻回顧</w:t>
      </w:r>
      <w:r w:rsidRPr="00706F03">
        <w:rPr>
          <w:rFonts w:ascii="Times New Roman" w:eastAsia="標楷體" w:hAnsi="Times New Roman" w:cs="Times New Roman" w:hint="eastAsia"/>
          <w:bCs/>
          <w:color w:val="auto"/>
          <w:sz w:val="24"/>
          <w:szCs w:val="28"/>
        </w:rPr>
        <w:tab/>
        <w:t>15</w:t>
      </w:r>
    </w:p>
    <w:p w14:paraId="020F714C" w14:textId="257A2FB3"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2.1 </w:t>
      </w:r>
      <w:r w:rsidRPr="00706F03">
        <w:rPr>
          <w:rFonts w:ascii="Times New Roman" w:eastAsia="標楷體" w:hAnsi="Times New Roman" w:cs="Times New Roman" w:hint="eastAsia"/>
          <w:b w:val="0"/>
          <w:color w:val="auto"/>
          <w:sz w:val="24"/>
          <w:szCs w:val="28"/>
        </w:rPr>
        <w:t>前言</w:t>
      </w:r>
      <w:r w:rsidRPr="00706F03">
        <w:rPr>
          <w:rFonts w:ascii="Times New Roman" w:eastAsia="標楷體" w:hAnsi="Times New Roman" w:cs="Times New Roman" w:hint="eastAsia"/>
          <w:b w:val="0"/>
          <w:color w:val="auto"/>
          <w:sz w:val="24"/>
          <w:szCs w:val="28"/>
        </w:rPr>
        <w:tab/>
        <w:t>15</w:t>
      </w:r>
    </w:p>
    <w:p w14:paraId="77A9F6D0" w14:textId="4E6E8C76"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2.2 </w:t>
      </w:r>
      <w:r w:rsidRPr="00706F03">
        <w:rPr>
          <w:rFonts w:ascii="Times New Roman" w:eastAsia="標楷體" w:hAnsi="Times New Roman" w:cs="Times New Roman" w:hint="eastAsia"/>
          <w:b w:val="0"/>
          <w:color w:val="auto"/>
          <w:sz w:val="24"/>
          <w:szCs w:val="28"/>
        </w:rPr>
        <w:t>實證法律研究與量化分析的發展</w:t>
      </w:r>
      <w:r w:rsidRPr="00706F03">
        <w:rPr>
          <w:rFonts w:ascii="Times New Roman" w:eastAsia="標楷體" w:hAnsi="Times New Roman" w:cs="Times New Roman" w:hint="eastAsia"/>
          <w:b w:val="0"/>
          <w:color w:val="auto"/>
          <w:sz w:val="24"/>
          <w:szCs w:val="28"/>
        </w:rPr>
        <w:tab/>
        <w:t>15</w:t>
      </w:r>
    </w:p>
    <w:p w14:paraId="5682AF33" w14:textId="6E8822BF"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2.3 </w:t>
      </w:r>
      <w:r w:rsidRPr="00706F03">
        <w:rPr>
          <w:rFonts w:ascii="Times New Roman" w:eastAsia="標楷體" w:hAnsi="Times New Roman" w:cs="Times New Roman" w:hint="eastAsia"/>
          <w:b w:val="0"/>
          <w:color w:val="auto"/>
          <w:sz w:val="24"/>
          <w:szCs w:val="28"/>
        </w:rPr>
        <w:t>法律文本之特徵表示：</w:t>
      </w:r>
      <w:r w:rsidRPr="00706F03">
        <w:rPr>
          <w:rFonts w:ascii="Times New Roman" w:eastAsia="標楷體" w:hAnsi="Times New Roman" w:cs="Times New Roman" w:hint="eastAsia"/>
          <w:b w:val="0"/>
          <w:color w:val="auto"/>
          <w:sz w:val="24"/>
          <w:szCs w:val="28"/>
        </w:rPr>
        <w:t>BoW</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TF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TF-IDF</w:t>
      </w:r>
      <w:r w:rsidRPr="00706F03">
        <w:rPr>
          <w:rFonts w:ascii="Times New Roman" w:eastAsia="標楷體" w:hAnsi="Times New Roman" w:cs="Times New Roman" w:hint="eastAsia"/>
          <w:b w:val="0"/>
          <w:color w:val="auto"/>
          <w:sz w:val="24"/>
          <w:szCs w:val="28"/>
        </w:rPr>
        <w:tab/>
        <w:t>16</w:t>
      </w:r>
    </w:p>
    <w:p w14:paraId="39DF96F8" w14:textId="51AF8B5F"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2.4 </w:t>
      </w:r>
      <w:r w:rsidRPr="00706F03">
        <w:rPr>
          <w:rFonts w:ascii="Times New Roman" w:eastAsia="標楷體" w:hAnsi="Times New Roman" w:cs="Times New Roman" w:hint="eastAsia"/>
          <w:b w:val="0"/>
          <w:color w:val="auto"/>
          <w:sz w:val="24"/>
          <w:szCs w:val="28"/>
        </w:rPr>
        <w:t>預測模型建構與可解釋性之必要性</w:t>
      </w:r>
      <w:r w:rsidRPr="00706F03">
        <w:rPr>
          <w:rFonts w:ascii="Times New Roman" w:eastAsia="標楷體" w:hAnsi="Times New Roman" w:cs="Times New Roman" w:hint="eastAsia"/>
          <w:b w:val="0"/>
          <w:color w:val="auto"/>
          <w:sz w:val="24"/>
          <w:szCs w:val="28"/>
        </w:rPr>
        <w:tab/>
        <w:t>17</w:t>
      </w:r>
    </w:p>
    <w:p w14:paraId="51D89EAA" w14:textId="7E4BB805"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2.5 MNIR </w:t>
      </w:r>
      <w:r w:rsidRPr="00706F03">
        <w:rPr>
          <w:rFonts w:ascii="Times New Roman" w:eastAsia="標楷體" w:hAnsi="Times New Roman" w:cs="Times New Roman" w:hint="eastAsia"/>
          <w:b w:val="0"/>
          <w:color w:val="auto"/>
          <w:sz w:val="24"/>
          <w:szCs w:val="28"/>
        </w:rPr>
        <w:t>監督式特徵轉換與本研究定位</w:t>
      </w:r>
      <w:r w:rsidRPr="00706F03">
        <w:rPr>
          <w:rFonts w:ascii="Times New Roman" w:eastAsia="標楷體" w:hAnsi="Times New Roman" w:cs="Times New Roman" w:hint="eastAsia"/>
          <w:b w:val="0"/>
          <w:color w:val="auto"/>
          <w:sz w:val="24"/>
          <w:szCs w:val="28"/>
        </w:rPr>
        <w:tab/>
        <w:t>18</w:t>
      </w:r>
    </w:p>
    <w:p w14:paraId="76F2AC5D" w14:textId="56CB5715"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2.6 </w:t>
      </w:r>
      <w:r w:rsidRPr="00706F03">
        <w:rPr>
          <w:rFonts w:ascii="Times New Roman" w:eastAsia="標楷體" w:hAnsi="Times New Roman" w:cs="Times New Roman" w:hint="eastAsia"/>
          <w:b w:val="0"/>
          <w:color w:val="auto"/>
          <w:sz w:val="24"/>
          <w:szCs w:val="28"/>
        </w:rPr>
        <w:t>總結與研究缺口</w:t>
      </w:r>
      <w:r w:rsidRPr="00706F03">
        <w:rPr>
          <w:rFonts w:ascii="Times New Roman" w:eastAsia="標楷體" w:hAnsi="Times New Roman" w:cs="Times New Roman" w:hint="eastAsia"/>
          <w:b w:val="0"/>
          <w:color w:val="auto"/>
          <w:sz w:val="24"/>
          <w:szCs w:val="28"/>
        </w:rPr>
        <w:tab/>
        <w:t>19</w:t>
      </w:r>
    </w:p>
    <w:p w14:paraId="40D88549" w14:textId="4D7E0781"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第三章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研究方法與資料</w:t>
      </w:r>
      <w:r w:rsidRPr="00706F03">
        <w:rPr>
          <w:rFonts w:ascii="Times New Roman" w:eastAsia="標楷體" w:hAnsi="Times New Roman" w:cs="Times New Roman" w:hint="eastAsia"/>
          <w:b w:val="0"/>
          <w:color w:val="auto"/>
          <w:sz w:val="24"/>
          <w:szCs w:val="28"/>
        </w:rPr>
        <w:tab/>
        <w:t>20</w:t>
      </w:r>
    </w:p>
    <w:p w14:paraId="799A7BE3" w14:textId="368FAC7A"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623F4323" w14:textId="2FFF8B94"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3.2 </w:t>
      </w:r>
      <w:r w:rsidRPr="00706F03">
        <w:rPr>
          <w:rFonts w:ascii="Times New Roman" w:eastAsia="標楷體" w:hAnsi="Times New Roman" w:cs="Times New Roman" w:hint="eastAsia"/>
          <w:b w:val="0"/>
          <w:color w:val="auto"/>
          <w:sz w:val="24"/>
          <w:szCs w:val="28"/>
        </w:rPr>
        <w:t>資料獲取與前處理</w:t>
      </w:r>
      <w:r w:rsidRPr="00706F03">
        <w:rPr>
          <w:rFonts w:ascii="Times New Roman" w:eastAsia="標楷體" w:hAnsi="Times New Roman" w:cs="Times New Roman" w:hint="eastAsia"/>
          <w:b w:val="0"/>
          <w:color w:val="auto"/>
          <w:sz w:val="24"/>
          <w:szCs w:val="28"/>
        </w:rPr>
        <w:tab/>
        <w:t>21</w:t>
      </w:r>
    </w:p>
    <w:p w14:paraId="3BFB3AFE" w14:textId="3012F49F"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3.3 </w:t>
      </w:r>
      <w:r w:rsidRPr="00706F03">
        <w:rPr>
          <w:rFonts w:ascii="Times New Roman" w:eastAsia="標楷體" w:hAnsi="Times New Roman" w:cs="Times New Roman" w:hint="eastAsia"/>
          <w:b w:val="0"/>
          <w:color w:val="auto"/>
          <w:sz w:val="24"/>
          <w:szCs w:val="28"/>
        </w:rPr>
        <w:t>智慧財產權案件篩選與文本前處理</w:t>
      </w:r>
      <w:r w:rsidRPr="00706F03">
        <w:rPr>
          <w:rFonts w:ascii="Times New Roman" w:eastAsia="標楷體" w:hAnsi="Times New Roman" w:cs="Times New Roman" w:hint="eastAsia"/>
          <w:b w:val="0"/>
          <w:color w:val="auto"/>
          <w:sz w:val="24"/>
          <w:szCs w:val="28"/>
        </w:rPr>
        <w:tab/>
        <w:t>21</w:t>
      </w:r>
    </w:p>
    <w:p w14:paraId="73ADDA2F" w14:textId="6F982CCA"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 </w:t>
      </w:r>
      <w:r w:rsidRPr="00706F03">
        <w:rPr>
          <w:rFonts w:ascii="Times New Roman" w:eastAsia="標楷體" w:hAnsi="Times New Roman" w:cs="Times New Roman" w:hint="eastAsia"/>
          <w:b w:val="0"/>
          <w:color w:val="auto"/>
          <w:sz w:val="24"/>
          <w:szCs w:val="28"/>
        </w:rPr>
        <w:t>樣本篩選、標籤整理與樣本分布</w:t>
      </w:r>
      <w:r w:rsidRPr="00706F03">
        <w:rPr>
          <w:rFonts w:ascii="Times New Roman" w:eastAsia="標楷體" w:hAnsi="Times New Roman" w:cs="Times New Roman" w:hint="eastAsia"/>
          <w:b w:val="0"/>
          <w:color w:val="auto"/>
          <w:sz w:val="24"/>
          <w:szCs w:val="28"/>
        </w:rPr>
        <w:tab/>
        <w:t>22</w:t>
      </w:r>
    </w:p>
    <w:p w14:paraId="47D45FCA" w14:textId="396BB28F"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3.4.1 </w:t>
      </w:r>
      <w:r w:rsidRPr="00706F03">
        <w:rPr>
          <w:rFonts w:ascii="Times New Roman" w:eastAsia="標楷體" w:hAnsi="Times New Roman" w:cs="Times New Roman" w:hint="eastAsia"/>
          <w:b w:val="0"/>
          <w:color w:val="auto"/>
          <w:sz w:val="24"/>
          <w:szCs w:val="28"/>
        </w:rPr>
        <w:t>案件類型之法律性質</w:t>
      </w:r>
      <w:r w:rsidRPr="00706F03">
        <w:rPr>
          <w:rFonts w:ascii="Times New Roman" w:eastAsia="標楷體" w:hAnsi="Times New Roman" w:cs="Times New Roman" w:hint="eastAsia"/>
          <w:b w:val="0"/>
          <w:color w:val="auto"/>
          <w:sz w:val="24"/>
          <w:szCs w:val="28"/>
        </w:rPr>
        <w:tab/>
        <w:t>22</w:t>
      </w:r>
    </w:p>
    <w:p w14:paraId="132B85E1" w14:textId="07BBB9D2"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3.4.2 </w:t>
      </w:r>
      <w:r w:rsidRPr="00706F03">
        <w:rPr>
          <w:rFonts w:ascii="Times New Roman" w:eastAsia="標楷體" w:hAnsi="Times New Roman" w:cs="Times New Roman" w:hint="eastAsia"/>
          <w:b w:val="0"/>
          <w:color w:val="auto"/>
          <w:sz w:val="24"/>
          <w:szCs w:val="28"/>
        </w:rPr>
        <w:t>樣本篩選與標籤整理</w:t>
      </w:r>
      <w:r w:rsidRPr="00706F03">
        <w:rPr>
          <w:rFonts w:ascii="Times New Roman" w:eastAsia="標楷體" w:hAnsi="Times New Roman" w:cs="Times New Roman" w:hint="eastAsia"/>
          <w:b w:val="0"/>
          <w:color w:val="auto"/>
          <w:sz w:val="24"/>
          <w:szCs w:val="28"/>
        </w:rPr>
        <w:tab/>
        <w:t>24</w:t>
      </w:r>
    </w:p>
    <w:p w14:paraId="71EF2A69" w14:textId="7F3AF08E"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3.4.3 </w:t>
      </w:r>
      <w:r w:rsidRPr="00706F03">
        <w:rPr>
          <w:rFonts w:ascii="Times New Roman" w:eastAsia="標楷體" w:hAnsi="Times New Roman" w:cs="Times New Roman" w:hint="eastAsia"/>
          <w:b w:val="0"/>
          <w:color w:val="auto"/>
          <w:sz w:val="24"/>
          <w:szCs w:val="28"/>
        </w:rPr>
        <w:t>樣本分布</w:t>
      </w:r>
      <w:r w:rsidRPr="00706F03">
        <w:rPr>
          <w:rFonts w:ascii="Times New Roman" w:eastAsia="標楷體" w:hAnsi="Times New Roman" w:cs="Times New Roman" w:hint="eastAsia"/>
          <w:b w:val="0"/>
          <w:color w:val="auto"/>
          <w:sz w:val="24"/>
          <w:szCs w:val="28"/>
        </w:rPr>
        <w:tab/>
        <w:t>25</w:t>
      </w:r>
    </w:p>
    <w:p w14:paraId="35D977C0"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3.4.4 </w:t>
      </w:r>
      <w:r w:rsidRPr="00706F03">
        <w:rPr>
          <w:rFonts w:ascii="Times New Roman" w:eastAsia="標楷體" w:hAnsi="Times New Roman" w:cs="Times New Roman" w:hint="eastAsia"/>
          <w:b w:val="0"/>
          <w:color w:val="auto"/>
          <w:sz w:val="24"/>
          <w:szCs w:val="28"/>
        </w:rPr>
        <w:t>不同案件類型之代表性詞彙分佈</w:t>
      </w:r>
      <w:r w:rsidRPr="00706F03">
        <w:rPr>
          <w:rFonts w:ascii="Times New Roman" w:eastAsia="標楷體" w:hAnsi="Times New Roman" w:cs="Times New Roman" w:hint="eastAsia"/>
          <w:b w:val="0"/>
          <w:color w:val="auto"/>
          <w:sz w:val="24"/>
          <w:szCs w:val="28"/>
        </w:rPr>
        <w:tab/>
        <w:t>28</w:t>
      </w:r>
    </w:p>
    <w:p w14:paraId="548CA7D5" w14:textId="330F6DAC"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 </w:t>
      </w:r>
      <w:r w:rsidRPr="00706F03">
        <w:rPr>
          <w:rFonts w:ascii="Times New Roman" w:eastAsia="標楷體" w:hAnsi="Times New Roman" w:cs="Times New Roman" w:hint="eastAsia"/>
          <w:b w:val="0"/>
          <w:color w:val="auto"/>
          <w:sz w:val="24"/>
          <w:szCs w:val="28"/>
        </w:rPr>
        <w:t>文字特徵建構</w:t>
      </w:r>
      <w:r w:rsidRPr="00706F03">
        <w:rPr>
          <w:rFonts w:ascii="Times New Roman" w:eastAsia="標楷體" w:hAnsi="Times New Roman" w:cs="Times New Roman" w:hint="eastAsia"/>
          <w:b w:val="0"/>
          <w:color w:val="auto"/>
          <w:sz w:val="24"/>
          <w:szCs w:val="28"/>
        </w:rPr>
        <w:tab/>
        <w:t>29</w:t>
      </w:r>
    </w:p>
    <w:p w14:paraId="3C6AE939" w14:textId="6C820F2A"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3.5.1 </w:t>
      </w:r>
      <w:r w:rsidRPr="00706F03">
        <w:rPr>
          <w:rFonts w:ascii="Times New Roman" w:eastAsia="標楷體" w:hAnsi="Times New Roman" w:cs="Times New Roman" w:hint="eastAsia"/>
          <w:b w:val="0"/>
          <w:color w:val="auto"/>
          <w:sz w:val="24"/>
          <w:szCs w:val="28"/>
        </w:rPr>
        <w:t>詞袋模型</w:t>
      </w:r>
      <w:r w:rsidRPr="00706F03">
        <w:rPr>
          <w:rFonts w:ascii="Times New Roman" w:eastAsia="標楷體" w:hAnsi="Times New Roman" w:cs="Times New Roman" w:hint="eastAsia"/>
          <w:b w:val="0"/>
          <w:color w:val="auto"/>
          <w:sz w:val="24"/>
          <w:szCs w:val="28"/>
        </w:rPr>
        <w:tab/>
        <w:t>29</w:t>
      </w:r>
    </w:p>
    <w:p w14:paraId="13AECA4C" w14:textId="33937E8E"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3.5.2 </w:t>
      </w:r>
      <w:r w:rsidRPr="00706F03">
        <w:rPr>
          <w:rFonts w:ascii="Times New Roman" w:eastAsia="標楷體" w:hAnsi="Times New Roman" w:cs="Times New Roman" w:hint="eastAsia"/>
          <w:b w:val="0"/>
          <w:color w:val="auto"/>
          <w:sz w:val="24"/>
          <w:szCs w:val="28"/>
        </w:rPr>
        <w:t>詞頻表示</w:t>
      </w:r>
      <w:r w:rsidRPr="00706F03">
        <w:rPr>
          <w:rFonts w:ascii="Times New Roman" w:eastAsia="標楷體" w:hAnsi="Times New Roman" w:cs="Times New Roman" w:hint="eastAsia"/>
          <w:b w:val="0"/>
          <w:color w:val="auto"/>
          <w:sz w:val="24"/>
          <w:szCs w:val="28"/>
        </w:rPr>
        <w:tab/>
        <w:t>29</w:t>
      </w:r>
    </w:p>
    <w:p w14:paraId="6C23B7F1" w14:textId="31548CEA"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3.5.3 </w:t>
      </w:r>
      <w:r w:rsidRPr="00706F03">
        <w:rPr>
          <w:rFonts w:ascii="Times New Roman" w:eastAsia="標楷體" w:hAnsi="Times New Roman" w:cs="Times New Roman" w:hint="eastAsia"/>
          <w:b w:val="0"/>
          <w:color w:val="auto"/>
          <w:sz w:val="24"/>
          <w:szCs w:val="28"/>
        </w:rPr>
        <w:t>詞頻－逆文件頻率</w:t>
      </w:r>
      <w:r w:rsidRPr="00706F03">
        <w:rPr>
          <w:rFonts w:ascii="Times New Roman" w:eastAsia="標楷體" w:hAnsi="Times New Roman" w:cs="Times New Roman" w:hint="eastAsia"/>
          <w:b w:val="0"/>
          <w:color w:val="auto"/>
          <w:sz w:val="24"/>
          <w:szCs w:val="28"/>
        </w:rPr>
        <w:tab/>
        <w:t>30</w:t>
      </w:r>
    </w:p>
    <w:p w14:paraId="0365BDAA" w14:textId="7129D029"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3.6 Chi-square </w:t>
      </w:r>
      <w:r w:rsidRPr="00706F03">
        <w:rPr>
          <w:rFonts w:ascii="Times New Roman" w:eastAsia="標楷體" w:hAnsi="Times New Roman" w:cs="Times New Roman" w:hint="eastAsia"/>
          <w:b w:val="0"/>
          <w:color w:val="auto"/>
          <w:sz w:val="24"/>
          <w:szCs w:val="28"/>
        </w:rPr>
        <w:t>特徵選擇</w:t>
      </w:r>
      <w:r w:rsidRPr="00706F03">
        <w:rPr>
          <w:rFonts w:ascii="Times New Roman" w:eastAsia="標楷體" w:hAnsi="Times New Roman" w:cs="Times New Roman" w:hint="eastAsia"/>
          <w:b w:val="0"/>
          <w:color w:val="auto"/>
          <w:sz w:val="24"/>
          <w:szCs w:val="28"/>
        </w:rPr>
        <w:tab/>
        <w:t>32</w:t>
      </w:r>
    </w:p>
    <w:p w14:paraId="22CA3F2F" w14:textId="43E6AC1D"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 MNIR </w:t>
      </w:r>
      <w:r w:rsidRPr="00706F03">
        <w:rPr>
          <w:rFonts w:ascii="Times New Roman" w:eastAsia="標楷體" w:hAnsi="Times New Roman" w:cs="Times New Roman" w:hint="eastAsia"/>
          <w:b w:val="0"/>
          <w:color w:val="auto"/>
          <w:sz w:val="24"/>
          <w:szCs w:val="28"/>
        </w:rPr>
        <w:t>監督式特徵轉換</w:t>
      </w:r>
      <w:r w:rsidRPr="00706F03">
        <w:rPr>
          <w:rFonts w:ascii="Times New Roman" w:eastAsia="標楷體" w:hAnsi="Times New Roman" w:cs="Times New Roman" w:hint="eastAsia"/>
          <w:b w:val="0"/>
          <w:color w:val="auto"/>
          <w:sz w:val="24"/>
          <w:szCs w:val="28"/>
        </w:rPr>
        <w:tab/>
        <w:t>33</w:t>
      </w:r>
    </w:p>
    <w:p w14:paraId="5188BF94" w14:textId="062A60A5"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3.7.1 MNIR </w:t>
      </w:r>
      <w:r w:rsidRPr="00706F03">
        <w:rPr>
          <w:rFonts w:ascii="Times New Roman" w:eastAsia="標楷體" w:hAnsi="Times New Roman" w:cs="Times New Roman" w:hint="eastAsia"/>
          <w:b w:val="0"/>
          <w:color w:val="auto"/>
          <w:sz w:val="24"/>
          <w:szCs w:val="28"/>
        </w:rPr>
        <w:t>之模型設定與</w:t>
      </w:r>
      <w:r w:rsidRPr="00706F03">
        <w:rPr>
          <w:rFonts w:ascii="Times New Roman" w:eastAsia="標楷體" w:hAnsi="Times New Roman" w:cs="Times New Roman" w:hint="eastAsia"/>
          <w:b w:val="0"/>
          <w:color w:val="auto"/>
          <w:sz w:val="24"/>
          <w:szCs w:val="28"/>
        </w:rPr>
        <w:t xml:space="preserve"> inverse regression</w:t>
      </w:r>
      <w:r w:rsidRPr="00706F03">
        <w:rPr>
          <w:rFonts w:ascii="Times New Roman" w:eastAsia="標楷體" w:hAnsi="Times New Roman" w:cs="Times New Roman" w:hint="eastAsia"/>
          <w:b w:val="0"/>
          <w:color w:val="auto"/>
          <w:sz w:val="24"/>
          <w:szCs w:val="28"/>
        </w:rPr>
        <w:tab/>
        <w:t>34</w:t>
      </w:r>
    </w:p>
    <w:p w14:paraId="025D6A73" w14:textId="54C981E3"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3.7.2 Gamma-Lasso </w:t>
      </w:r>
      <w:r w:rsidRPr="00706F03">
        <w:rPr>
          <w:rFonts w:ascii="Times New Roman" w:eastAsia="標楷體" w:hAnsi="Times New Roman" w:cs="Times New Roman" w:hint="eastAsia"/>
          <w:b w:val="0"/>
          <w:color w:val="auto"/>
          <w:sz w:val="24"/>
          <w:szCs w:val="28"/>
        </w:rPr>
        <w:t>估計法與正則化</w:t>
      </w:r>
      <w:r w:rsidRPr="00706F03">
        <w:rPr>
          <w:rFonts w:ascii="Times New Roman" w:eastAsia="標楷體" w:hAnsi="Times New Roman" w:cs="Times New Roman" w:hint="eastAsia"/>
          <w:b w:val="0"/>
          <w:color w:val="auto"/>
          <w:sz w:val="24"/>
          <w:szCs w:val="28"/>
        </w:rPr>
        <w:tab/>
        <w:t>35</w:t>
      </w:r>
    </w:p>
    <w:p w14:paraId="2262A521" w14:textId="3D65B855"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3.7.3 </w:t>
      </w:r>
      <w:r w:rsidRPr="00706F03">
        <w:rPr>
          <w:rFonts w:ascii="Times New Roman" w:eastAsia="標楷體" w:hAnsi="Times New Roman" w:cs="Times New Roman" w:hint="eastAsia"/>
          <w:b w:val="0"/>
          <w:color w:val="auto"/>
          <w:sz w:val="24"/>
          <w:szCs w:val="28"/>
        </w:rPr>
        <w:t>充分縮減分數與降維邏輯</w:t>
      </w:r>
      <w:r w:rsidRPr="00706F03">
        <w:rPr>
          <w:rFonts w:ascii="Times New Roman" w:eastAsia="標楷體" w:hAnsi="Times New Roman" w:cs="Times New Roman" w:hint="eastAsia"/>
          <w:b w:val="0"/>
          <w:color w:val="auto"/>
          <w:sz w:val="24"/>
          <w:szCs w:val="28"/>
        </w:rPr>
        <w:tab/>
        <w:t>36</w:t>
      </w:r>
    </w:p>
    <w:p w14:paraId="3810E199" w14:textId="7AAB8D8F"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 </w:t>
      </w:r>
      <w:r w:rsidRPr="00706F03">
        <w:rPr>
          <w:rFonts w:ascii="Times New Roman" w:eastAsia="標楷體" w:hAnsi="Times New Roman" w:cs="Times New Roman" w:hint="eastAsia"/>
          <w:b w:val="0"/>
          <w:color w:val="auto"/>
          <w:sz w:val="24"/>
          <w:szCs w:val="28"/>
        </w:rPr>
        <w:t>模型流程設計</w:t>
      </w:r>
      <w:r w:rsidRPr="00706F03">
        <w:rPr>
          <w:rFonts w:ascii="Times New Roman" w:eastAsia="標楷體" w:hAnsi="Times New Roman" w:cs="Times New Roman" w:hint="eastAsia"/>
          <w:b w:val="0"/>
          <w:color w:val="auto"/>
          <w:sz w:val="24"/>
          <w:szCs w:val="28"/>
        </w:rPr>
        <w:tab/>
        <w:t>37</w:t>
      </w:r>
    </w:p>
    <w:p w14:paraId="5A20A860" w14:textId="31E84E4E"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lastRenderedPageBreak/>
        <w:t xml:space="preserve">3.8.1 SVM </w:t>
      </w:r>
      <w:r w:rsidRPr="00706F03">
        <w:rPr>
          <w:rFonts w:ascii="Times New Roman" w:eastAsia="標楷體" w:hAnsi="Times New Roman" w:cs="Times New Roman" w:hint="eastAsia"/>
          <w:b w:val="0"/>
          <w:color w:val="auto"/>
          <w:sz w:val="24"/>
          <w:szCs w:val="28"/>
        </w:rPr>
        <w:t>分類器設定</w:t>
      </w:r>
      <w:r w:rsidRPr="00706F03">
        <w:rPr>
          <w:rFonts w:ascii="Times New Roman" w:eastAsia="標楷體" w:hAnsi="Times New Roman" w:cs="Times New Roman" w:hint="eastAsia"/>
          <w:b w:val="0"/>
          <w:color w:val="auto"/>
          <w:sz w:val="24"/>
          <w:szCs w:val="28"/>
        </w:rPr>
        <w:tab/>
        <w:t>37</w:t>
      </w:r>
    </w:p>
    <w:p w14:paraId="4714729E" w14:textId="767DFB5A"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3.8.2 Chi-square + MNIR + SVM </w:t>
      </w:r>
      <w:r w:rsidRPr="00706F03">
        <w:rPr>
          <w:rFonts w:ascii="Times New Roman" w:eastAsia="標楷體" w:hAnsi="Times New Roman" w:cs="Times New Roman" w:hint="eastAsia"/>
          <w:b w:val="0"/>
          <w:color w:val="auto"/>
          <w:sz w:val="24"/>
          <w:szCs w:val="28"/>
        </w:rPr>
        <w:t>流程</w:t>
      </w:r>
      <w:r w:rsidRPr="00706F03">
        <w:rPr>
          <w:rFonts w:ascii="Times New Roman" w:eastAsia="標楷體" w:hAnsi="Times New Roman" w:cs="Times New Roman" w:hint="eastAsia"/>
          <w:b w:val="0"/>
          <w:color w:val="auto"/>
          <w:sz w:val="24"/>
          <w:szCs w:val="28"/>
        </w:rPr>
        <w:tab/>
        <w:t>39</w:t>
      </w:r>
    </w:p>
    <w:p w14:paraId="73E70DCF" w14:textId="0209A53B"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3.8.3 Chi-square + SVM </w:t>
      </w:r>
      <w:r w:rsidRPr="00706F03">
        <w:rPr>
          <w:rFonts w:ascii="Times New Roman" w:eastAsia="標楷體" w:hAnsi="Times New Roman" w:cs="Times New Roman" w:hint="eastAsia"/>
          <w:b w:val="0"/>
          <w:color w:val="auto"/>
          <w:sz w:val="24"/>
          <w:szCs w:val="28"/>
        </w:rPr>
        <w:t>對照流程</w:t>
      </w:r>
      <w:r w:rsidRPr="00706F03">
        <w:rPr>
          <w:rFonts w:ascii="Times New Roman" w:eastAsia="標楷體" w:hAnsi="Times New Roman" w:cs="Times New Roman" w:hint="eastAsia"/>
          <w:b w:val="0"/>
          <w:color w:val="auto"/>
          <w:sz w:val="24"/>
          <w:szCs w:val="28"/>
        </w:rPr>
        <w:tab/>
        <w:t>40</w:t>
      </w:r>
    </w:p>
    <w:p w14:paraId="2F992CD7" w14:textId="225A0E65"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 w:val="0"/>
          <w:color w:val="auto"/>
          <w:sz w:val="24"/>
          <w:szCs w:val="28"/>
        </w:rPr>
        <w:t>3.8.4 Majority Class baseline</w:t>
      </w:r>
      <w:r w:rsidRPr="00706F03">
        <w:rPr>
          <w:rFonts w:ascii="Times New Roman" w:eastAsia="標楷體" w:hAnsi="Times New Roman" w:cs="Times New Roman"/>
          <w:b w:val="0"/>
          <w:color w:val="auto"/>
          <w:sz w:val="24"/>
          <w:szCs w:val="28"/>
        </w:rPr>
        <w:tab/>
        <w:t>41</w:t>
      </w:r>
    </w:p>
    <w:p w14:paraId="4819471B" w14:textId="0CC9AA5B"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3.8.5 </w:t>
      </w:r>
      <w:r w:rsidRPr="00706F03">
        <w:rPr>
          <w:rFonts w:ascii="Times New Roman" w:eastAsia="標楷體" w:hAnsi="Times New Roman" w:cs="Times New Roman" w:hint="eastAsia"/>
          <w:b w:val="0"/>
          <w:color w:val="auto"/>
          <w:sz w:val="24"/>
          <w:szCs w:val="28"/>
        </w:rPr>
        <w:t>模型評估方式</w:t>
      </w:r>
      <w:r w:rsidRPr="00706F03">
        <w:rPr>
          <w:rFonts w:ascii="Times New Roman" w:eastAsia="標楷體" w:hAnsi="Times New Roman" w:cs="Times New Roman" w:hint="eastAsia"/>
          <w:b w:val="0"/>
          <w:color w:val="auto"/>
          <w:sz w:val="24"/>
          <w:szCs w:val="28"/>
        </w:rPr>
        <w:tab/>
        <w:t>41</w:t>
      </w:r>
    </w:p>
    <w:p w14:paraId="68C4A5AD" w14:textId="5B14CD6A"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3.8.6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ab/>
        <w:t>43</w:t>
      </w:r>
    </w:p>
    <w:p w14:paraId="0F379B6D" w14:textId="63525646"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3.9 </w:t>
      </w:r>
      <w:r w:rsidRPr="00706F03">
        <w:rPr>
          <w:rFonts w:ascii="Times New Roman" w:eastAsia="標楷體" w:hAnsi="Times New Roman" w:cs="Times New Roman" w:hint="eastAsia"/>
          <w:b w:val="0"/>
          <w:color w:val="auto"/>
          <w:sz w:val="24"/>
          <w:szCs w:val="28"/>
        </w:rPr>
        <w:t>資料集劃分與參數選擇</w:t>
      </w:r>
      <w:r w:rsidRPr="00706F03">
        <w:rPr>
          <w:rFonts w:ascii="Times New Roman" w:eastAsia="標楷體" w:hAnsi="Times New Roman" w:cs="Times New Roman" w:hint="eastAsia"/>
          <w:b w:val="0"/>
          <w:color w:val="auto"/>
          <w:sz w:val="24"/>
          <w:szCs w:val="28"/>
        </w:rPr>
        <w:tab/>
        <w:t>44</w:t>
      </w:r>
    </w:p>
    <w:p w14:paraId="099D38C1" w14:textId="6F970214"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3.10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46</w:t>
      </w:r>
    </w:p>
    <w:p w14:paraId="6C3641BA" w14:textId="7884617F"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第四章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研究結果與分析</w:t>
      </w:r>
      <w:r w:rsidRPr="00706F03">
        <w:rPr>
          <w:rFonts w:ascii="Times New Roman" w:eastAsia="標楷體" w:hAnsi="Times New Roman" w:cs="Times New Roman" w:hint="eastAsia"/>
          <w:b w:val="0"/>
          <w:color w:val="auto"/>
          <w:sz w:val="24"/>
          <w:szCs w:val="28"/>
        </w:rPr>
        <w:tab/>
        <w:t>48</w:t>
      </w:r>
    </w:p>
    <w:p w14:paraId="58DFE1FB" w14:textId="1FED4329"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4.1 </w:t>
      </w:r>
      <w:r w:rsidRPr="00706F03">
        <w:rPr>
          <w:rFonts w:ascii="Times New Roman" w:eastAsia="標楷體" w:hAnsi="Times New Roman" w:cs="Times New Roman" w:hint="eastAsia"/>
          <w:b w:val="0"/>
          <w:color w:val="auto"/>
          <w:sz w:val="24"/>
          <w:szCs w:val="28"/>
        </w:rPr>
        <w:t>實驗設定與評估邏輯</w:t>
      </w:r>
      <w:r w:rsidRPr="00706F03">
        <w:rPr>
          <w:rFonts w:ascii="Times New Roman" w:eastAsia="標楷體" w:hAnsi="Times New Roman" w:cs="Times New Roman" w:hint="eastAsia"/>
          <w:b w:val="0"/>
          <w:color w:val="auto"/>
          <w:sz w:val="24"/>
          <w:szCs w:val="28"/>
        </w:rPr>
        <w:tab/>
        <w:t>48</w:t>
      </w:r>
    </w:p>
    <w:p w14:paraId="076263A6" w14:textId="649590C6"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4.2 Chi-square + MNIR + SVM </w:t>
      </w:r>
      <w:r w:rsidRPr="00706F03">
        <w:rPr>
          <w:rFonts w:ascii="Times New Roman" w:eastAsia="標楷體" w:hAnsi="Times New Roman" w:cs="Times New Roman" w:hint="eastAsia"/>
          <w:b w:val="0"/>
          <w:color w:val="auto"/>
          <w:sz w:val="24"/>
          <w:szCs w:val="28"/>
        </w:rPr>
        <w:t>核心流程之模型表現</w:t>
      </w:r>
      <w:r w:rsidRPr="00706F03">
        <w:rPr>
          <w:rFonts w:ascii="Times New Roman" w:eastAsia="標楷體" w:hAnsi="Times New Roman" w:cs="Times New Roman" w:hint="eastAsia"/>
          <w:b w:val="0"/>
          <w:color w:val="auto"/>
          <w:sz w:val="24"/>
          <w:szCs w:val="28"/>
        </w:rPr>
        <w:tab/>
        <w:t>49</w:t>
      </w:r>
    </w:p>
    <w:p w14:paraId="046CFAA7" w14:textId="63D89894"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4.3 Chi-square + SVM </w:t>
      </w:r>
      <w:r w:rsidRPr="00706F03">
        <w:rPr>
          <w:rFonts w:ascii="Times New Roman" w:eastAsia="標楷體" w:hAnsi="Times New Roman" w:cs="Times New Roman" w:hint="eastAsia"/>
          <w:b w:val="0"/>
          <w:color w:val="auto"/>
          <w:sz w:val="24"/>
          <w:szCs w:val="28"/>
        </w:rPr>
        <w:t>對照流程之模型表現</w:t>
      </w:r>
      <w:r w:rsidRPr="00706F03">
        <w:rPr>
          <w:rFonts w:ascii="Times New Roman" w:eastAsia="標楷體" w:hAnsi="Times New Roman" w:cs="Times New Roman" w:hint="eastAsia"/>
          <w:b w:val="0"/>
          <w:color w:val="auto"/>
          <w:sz w:val="24"/>
          <w:szCs w:val="28"/>
        </w:rPr>
        <w:tab/>
        <w:t>49</w:t>
      </w:r>
    </w:p>
    <w:p w14:paraId="74A14D72" w14:textId="6B24F8E3"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4.4 Chi-square + MNIR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之整體流程比較</w:t>
      </w:r>
      <w:r w:rsidRPr="00706F03">
        <w:rPr>
          <w:rFonts w:ascii="Times New Roman" w:eastAsia="標楷體" w:hAnsi="Times New Roman" w:cs="Times New Roman" w:hint="eastAsia"/>
          <w:b w:val="0"/>
          <w:color w:val="auto"/>
          <w:sz w:val="24"/>
          <w:szCs w:val="28"/>
        </w:rPr>
        <w:tab/>
        <w:t>50</w:t>
      </w:r>
    </w:p>
    <w:p w14:paraId="47BCF021" w14:textId="3654F755"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4.5 </w:t>
      </w:r>
      <w:r w:rsidRPr="00706F03">
        <w:rPr>
          <w:rFonts w:ascii="Times New Roman" w:eastAsia="標楷體" w:hAnsi="Times New Roman" w:cs="Times New Roman" w:hint="eastAsia"/>
          <w:b w:val="0"/>
          <w:color w:val="auto"/>
          <w:sz w:val="24"/>
          <w:szCs w:val="28"/>
        </w:rPr>
        <w:t>不同文字特徵表示之影響</w:t>
      </w:r>
      <w:r w:rsidRPr="00706F03">
        <w:rPr>
          <w:rFonts w:ascii="Times New Roman" w:eastAsia="標楷體" w:hAnsi="Times New Roman" w:cs="Times New Roman" w:hint="eastAsia"/>
          <w:b w:val="0"/>
          <w:color w:val="auto"/>
          <w:sz w:val="24"/>
          <w:szCs w:val="28"/>
        </w:rPr>
        <w:tab/>
        <w:t>53</w:t>
      </w:r>
    </w:p>
    <w:p w14:paraId="227EC724" w14:textId="74AA63A0"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4.6 </w:t>
      </w:r>
      <w:r w:rsidRPr="00706F03">
        <w:rPr>
          <w:rFonts w:ascii="Times New Roman" w:eastAsia="標楷體" w:hAnsi="Times New Roman" w:cs="Times New Roman" w:hint="eastAsia"/>
          <w:b w:val="0"/>
          <w:color w:val="auto"/>
          <w:sz w:val="24"/>
          <w:szCs w:val="28"/>
        </w:rPr>
        <w:t>參數選擇與驗證集表現</w:t>
      </w:r>
      <w:r w:rsidRPr="00706F03">
        <w:rPr>
          <w:rFonts w:ascii="Times New Roman" w:eastAsia="標楷體" w:hAnsi="Times New Roman" w:cs="Times New Roman" w:hint="eastAsia"/>
          <w:b w:val="0"/>
          <w:color w:val="auto"/>
          <w:sz w:val="24"/>
          <w:szCs w:val="28"/>
        </w:rPr>
        <w:tab/>
        <w:t>54</w:t>
      </w:r>
    </w:p>
    <w:p w14:paraId="06A381B9" w14:textId="49B43C6C"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4.7 </w:t>
      </w:r>
      <w:r w:rsidRPr="00706F03">
        <w:rPr>
          <w:rFonts w:ascii="Times New Roman" w:eastAsia="標楷體" w:hAnsi="Times New Roman" w:cs="Times New Roman" w:hint="eastAsia"/>
          <w:b w:val="0"/>
          <w:color w:val="auto"/>
          <w:sz w:val="24"/>
          <w:szCs w:val="28"/>
        </w:rPr>
        <w:t>錯誤分析與少數類別限制</w:t>
      </w:r>
      <w:r w:rsidRPr="00706F03">
        <w:rPr>
          <w:rFonts w:ascii="Times New Roman" w:eastAsia="標楷體" w:hAnsi="Times New Roman" w:cs="Times New Roman" w:hint="eastAsia"/>
          <w:b w:val="0"/>
          <w:color w:val="auto"/>
          <w:sz w:val="24"/>
          <w:szCs w:val="28"/>
        </w:rPr>
        <w:tab/>
        <w:t>56</w:t>
      </w:r>
    </w:p>
    <w:p w14:paraId="248573D1" w14:textId="2EB8E7DB"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4.8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58</w:t>
      </w:r>
    </w:p>
    <w:p w14:paraId="00778890" w14:textId="04BEBDD6"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第五章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結論與建議</w:t>
      </w:r>
      <w:r w:rsidRPr="00706F03">
        <w:rPr>
          <w:rFonts w:ascii="Times New Roman" w:eastAsia="標楷體" w:hAnsi="Times New Roman" w:cs="Times New Roman" w:hint="eastAsia"/>
          <w:b w:val="0"/>
          <w:color w:val="auto"/>
          <w:sz w:val="24"/>
          <w:szCs w:val="28"/>
        </w:rPr>
        <w:tab/>
        <w:t>60</w:t>
      </w:r>
    </w:p>
    <w:p w14:paraId="0153BA03" w14:textId="0413A39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5.1 </w:t>
      </w:r>
      <w:r w:rsidRPr="00706F03">
        <w:rPr>
          <w:rFonts w:ascii="Times New Roman" w:eastAsia="標楷體" w:hAnsi="Times New Roman" w:cs="Times New Roman" w:hint="eastAsia"/>
          <w:b w:val="0"/>
          <w:color w:val="auto"/>
          <w:sz w:val="24"/>
          <w:szCs w:val="28"/>
        </w:rPr>
        <w:t>研究結論</w:t>
      </w:r>
      <w:r w:rsidRPr="00706F03">
        <w:rPr>
          <w:rFonts w:ascii="Times New Roman" w:eastAsia="標楷體" w:hAnsi="Times New Roman" w:cs="Times New Roman" w:hint="eastAsia"/>
          <w:b w:val="0"/>
          <w:color w:val="auto"/>
          <w:sz w:val="24"/>
          <w:szCs w:val="28"/>
        </w:rPr>
        <w:tab/>
        <w:t>60</w:t>
      </w:r>
    </w:p>
    <w:p w14:paraId="678F9A56" w14:textId="0B20B88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5.2 </w:t>
      </w:r>
      <w:r w:rsidRPr="00706F03">
        <w:rPr>
          <w:rFonts w:ascii="Times New Roman" w:eastAsia="標楷體" w:hAnsi="Times New Roman" w:cs="Times New Roman" w:hint="eastAsia"/>
          <w:b w:val="0"/>
          <w:color w:val="auto"/>
          <w:sz w:val="24"/>
          <w:szCs w:val="28"/>
        </w:rPr>
        <w:t>研究貢獻</w:t>
      </w:r>
      <w:r w:rsidRPr="00706F03">
        <w:rPr>
          <w:rFonts w:ascii="Times New Roman" w:eastAsia="標楷體" w:hAnsi="Times New Roman" w:cs="Times New Roman" w:hint="eastAsia"/>
          <w:b w:val="0"/>
          <w:color w:val="auto"/>
          <w:sz w:val="24"/>
          <w:szCs w:val="28"/>
        </w:rPr>
        <w:tab/>
        <w:t>61</w:t>
      </w:r>
    </w:p>
    <w:p w14:paraId="2F146B8F" w14:textId="3D6F07EB"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5.3 </w:t>
      </w:r>
      <w:r w:rsidRPr="00706F03">
        <w:rPr>
          <w:rFonts w:ascii="Times New Roman" w:eastAsia="標楷體" w:hAnsi="Times New Roman" w:cs="Times New Roman" w:hint="eastAsia"/>
          <w:b w:val="0"/>
          <w:color w:val="auto"/>
          <w:sz w:val="24"/>
          <w:szCs w:val="28"/>
        </w:rPr>
        <w:t>研究限制</w:t>
      </w:r>
      <w:r w:rsidRPr="00706F03">
        <w:rPr>
          <w:rFonts w:ascii="Times New Roman" w:eastAsia="標楷體" w:hAnsi="Times New Roman" w:cs="Times New Roman" w:hint="eastAsia"/>
          <w:b w:val="0"/>
          <w:color w:val="auto"/>
          <w:sz w:val="24"/>
          <w:szCs w:val="28"/>
        </w:rPr>
        <w:tab/>
        <w:t>62</w:t>
      </w:r>
    </w:p>
    <w:p w14:paraId="3B4E9104" w14:textId="501E223D"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 </w:t>
      </w:r>
      <w:r w:rsidRPr="00706F03">
        <w:rPr>
          <w:rFonts w:ascii="Times New Roman" w:eastAsia="標楷體" w:hAnsi="Times New Roman" w:cs="Times New Roman" w:hint="eastAsia"/>
          <w:b w:val="0"/>
          <w:color w:val="auto"/>
          <w:sz w:val="24"/>
          <w:szCs w:val="28"/>
        </w:rPr>
        <w:t>研究結果之建議</w:t>
      </w:r>
      <w:r w:rsidRPr="00706F03">
        <w:rPr>
          <w:rFonts w:ascii="Times New Roman" w:eastAsia="標楷體" w:hAnsi="Times New Roman" w:cs="Times New Roman" w:hint="eastAsia"/>
          <w:b w:val="0"/>
          <w:color w:val="auto"/>
          <w:sz w:val="24"/>
          <w:szCs w:val="28"/>
        </w:rPr>
        <w:tab/>
        <w:t>64</w:t>
      </w:r>
    </w:p>
    <w:p w14:paraId="1888299D" w14:textId="3AB1351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5.4.1 </w:t>
      </w:r>
      <w:r w:rsidRPr="00706F03">
        <w:rPr>
          <w:rFonts w:ascii="Times New Roman" w:eastAsia="標楷體" w:hAnsi="Times New Roman" w:cs="Times New Roman" w:hint="eastAsia"/>
          <w:b w:val="0"/>
          <w:color w:val="auto"/>
          <w:sz w:val="24"/>
          <w:szCs w:val="28"/>
        </w:rPr>
        <w:t>對模型與特徵表示選擇之建議</w:t>
      </w:r>
      <w:r w:rsidRPr="00706F03">
        <w:rPr>
          <w:rFonts w:ascii="Times New Roman" w:eastAsia="標楷體" w:hAnsi="Times New Roman" w:cs="Times New Roman" w:hint="eastAsia"/>
          <w:b w:val="0"/>
          <w:color w:val="auto"/>
          <w:sz w:val="24"/>
          <w:szCs w:val="28"/>
        </w:rPr>
        <w:tab/>
        <w:t>65</w:t>
      </w:r>
    </w:p>
    <w:p w14:paraId="5EC03076" w14:textId="0E100B24"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5.4.2 </w:t>
      </w:r>
      <w:r w:rsidRPr="00706F03">
        <w:rPr>
          <w:rFonts w:ascii="Times New Roman" w:eastAsia="標楷體" w:hAnsi="Times New Roman" w:cs="Times New Roman" w:hint="eastAsia"/>
          <w:b w:val="0"/>
          <w:color w:val="auto"/>
          <w:sz w:val="24"/>
          <w:szCs w:val="28"/>
        </w:rPr>
        <w:t>對不同資料情境之模型選擇建議</w:t>
      </w:r>
      <w:r w:rsidRPr="00706F03">
        <w:rPr>
          <w:rFonts w:ascii="Times New Roman" w:eastAsia="標楷體" w:hAnsi="Times New Roman" w:cs="Times New Roman" w:hint="eastAsia"/>
          <w:b w:val="0"/>
          <w:color w:val="auto"/>
          <w:sz w:val="24"/>
          <w:szCs w:val="28"/>
        </w:rPr>
        <w:tab/>
        <w:t>65</w:t>
      </w:r>
    </w:p>
    <w:p w14:paraId="5D5B301A" w14:textId="0E514491"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5.4.3 </w:t>
      </w:r>
      <w:r w:rsidRPr="00706F03">
        <w:rPr>
          <w:rFonts w:ascii="Times New Roman" w:eastAsia="標楷體" w:hAnsi="Times New Roman" w:cs="Times New Roman" w:hint="eastAsia"/>
          <w:b w:val="0"/>
          <w:color w:val="auto"/>
          <w:sz w:val="24"/>
          <w:szCs w:val="28"/>
        </w:rPr>
        <w:t>對後續研究與實務應用之建議</w:t>
      </w:r>
      <w:r w:rsidRPr="00706F03">
        <w:rPr>
          <w:rFonts w:ascii="Times New Roman" w:eastAsia="標楷體" w:hAnsi="Times New Roman" w:cs="Times New Roman" w:hint="eastAsia"/>
          <w:b w:val="0"/>
          <w:color w:val="auto"/>
          <w:sz w:val="24"/>
          <w:szCs w:val="28"/>
        </w:rPr>
        <w:tab/>
        <w:t>66</w:t>
      </w:r>
    </w:p>
    <w:p w14:paraId="6E2AB5C6" w14:textId="778C530E"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5.5 </w:t>
      </w:r>
      <w:r w:rsidRPr="00706F03">
        <w:rPr>
          <w:rFonts w:ascii="Times New Roman" w:eastAsia="標楷體" w:hAnsi="Times New Roman" w:cs="Times New Roman" w:hint="eastAsia"/>
          <w:b w:val="0"/>
          <w:color w:val="auto"/>
          <w:sz w:val="24"/>
          <w:szCs w:val="28"/>
        </w:rPr>
        <w:t>總結</w:t>
      </w:r>
      <w:r w:rsidRPr="00706F03">
        <w:rPr>
          <w:rFonts w:ascii="Times New Roman" w:eastAsia="標楷體" w:hAnsi="Times New Roman" w:cs="Times New Roman" w:hint="eastAsia"/>
          <w:b w:val="0"/>
          <w:color w:val="auto"/>
          <w:sz w:val="24"/>
          <w:szCs w:val="28"/>
        </w:rPr>
        <w:tab/>
        <w:t>67</w:t>
      </w:r>
    </w:p>
    <w:p w14:paraId="2B731595" w14:textId="790FCCA4"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參考文獻</w:t>
      </w:r>
      <w:r w:rsidRPr="00706F03">
        <w:rPr>
          <w:rFonts w:ascii="Times New Roman" w:eastAsia="標楷體" w:hAnsi="Times New Roman" w:cs="Times New Roman" w:hint="eastAsia"/>
          <w:b w:val="0"/>
          <w:color w:val="auto"/>
          <w:sz w:val="24"/>
          <w:szCs w:val="28"/>
        </w:rPr>
        <w:tab/>
        <w:t>71</w:t>
      </w:r>
    </w:p>
    <w:p w14:paraId="00A9BE2A" w14:textId="462F9BA6"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表目錄</w:t>
      </w:r>
    </w:p>
    <w:p w14:paraId="038FFED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原始資料欄位說明</w:t>
      </w:r>
      <w:r w:rsidRPr="00706F03">
        <w:rPr>
          <w:rFonts w:ascii="Times New Roman" w:eastAsia="標楷體" w:hAnsi="Times New Roman" w:cs="Times New Roman" w:hint="eastAsia"/>
          <w:b w:val="0"/>
          <w:color w:val="auto"/>
          <w:sz w:val="24"/>
          <w:szCs w:val="28"/>
        </w:rPr>
        <w:tab/>
        <w:t>21</w:t>
      </w:r>
    </w:p>
    <w:p w14:paraId="59C592AD" w14:textId="0B98E4D9"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案件類型之法律性質與例示</w:t>
      </w:r>
      <w:r w:rsidRPr="00706F03">
        <w:rPr>
          <w:rFonts w:ascii="Times New Roman" w:eastAsia="標楷體" w:hAnsi="Times New Roman" w:cs="Times New Roman" w:hint="eastAsia"/>
          <w:b w:val="0"/>
          <w:color w:val="auto"/>
          <w:sz w:val="24"/>
          <w:szCs w:val="28"/>
        </w:rPr>
        <w:tab/>
        <w:t>23</w:t>
      </w:r>
    </w:p>
    <w:p w14:paraId="64F905B8" w14:textId="405D63AC"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案件類型與裁判結果分布</w:t>
      </w:r>
      <w:r w:rsidRPr="00706F03">
        <w:rPr>
          <w:rFonts w:ascii="Times New Roman" w:eastAsia="標楷體" w:hAnsi="Times New Roman" w:cs="Times New Roman" w:hint="eastAsia"/>
          <w:b w:val="0"/>
          <w:color w:val="auto"/>
          <w:sz w:val="24"/>
          <w:szCs w:val="28"/>
        </w:rPr>
        <w:tab/>
        <w:t>25</w:t>
      </w:r>
    </w:p>
    <w:p w14:paraId="07040DD9" w14:textId="4193FA60"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年度區間與案件類型分布</w:t>
      </w:r>
      <w:r w:rsidRPr="00706F03">
        <w:rPr>
          <w:rFonts w:ascii="Times New Roman" w:eastAsia="標楷體" w:hAnsi="Times New Roman" w:cs="Times New Roman" w:hint="eastAsia"/>
          <w:b w:val="0"/>
          <w:color w:val="auto"/>
          <w:sz w:val="24"/>
          <w:szCs w:val="28"/>
        </w:rPr>
        <w:tab/>
        <w:t>26</w:t>
      </w:r>
    </w:p>
    <w:p w14:paraId="36DD18B1" w14:textId="5B0918AA"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3-5 </w:t>
      </w:r>
      <w:r w:rsidRPr="00706F03">
        <w:rPr>
          <w:rFonts w:ascii="Times New Roman" w:eastAsia="標楷體" w:hAnsi="Times New Roman" w:cs="Times New Roman" w:hint="eastAsia"/>
          <w:b w:val="0"/>
          <w:color w:val="auto"/>
          <w:sz w:val="24"/>
          <w:szCs w:val="28"/>
        </w:rPr>
        <w:t>年度區間與裁判結果比例</w:t>
      </w:r>
      <w:r w:rsidRPr="00706F03">
        <w:rPr>
          <w:rFonts w:ascii="Times New Roman" w:eastAsia="標楷體" w:hAnsi="Times New Roman" w:cs="Times New Roman" w:hint="eastAsia"/>
          <w:b w:val="0"/>
          <w:color w:val="auto"/>
          <w:sz w:val="24"/>
          <w:szCs w:val="28"/>
        </w:rPr>
        <w:tab/>
        <w:t>27</w:t>
      </w:r>
    </w:p>
    <w:p w14:paraId="5728469B" w14:textId="3F2984EC"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3-6 TP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FN</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TN </w:t>
      </w:r>
      <w:r w:rsidRPr="00706F03">
        <w:rPr>
          <w:rFonts w:ascii="Times New Roman" w:eastAsia="標楷體" w:hAnsi="Times New Roman" w:cs="Times New Roman" w:hint="eastAsia"/>
          <w:b w:val="0"/>
          <w:color w:val="auto"/>
          <w:sz w:val="24"/>
          <w:szCs w:val="28"/>
        </w:rPr>
        <w:t>判斷示意表</w:t>
      </w:r>
      <w:r w:rsidRPr="00706F03">
        <w:rPr>
          <w:rFonts w:ascii="Times New Roman" w:eastAsia="標楷體" w:hAnsi="Times New Roman" w:cs="Times New Roman" w:hint="eastAsia"/>
          <w:b w:val="0"/>
          <w:color w:val="auto"/>
          <w:sz w:val="24"/>
          <w:szCs w:val="28"/>
        </w:rPr>
        <w:tab/>
        <w:t>42</w:t>
      </w:r>
    </w:p>
    <w:p w14:paraId="54734610" w14:textId="6553B3DE"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3-7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ab/>
        <w:t>44</w:t>
      </w:r>
    </w:p>
    <w:p w14:paraId="772B4B9B" w14:textId="53007AC9"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4-1 Chi-square + MNIR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ab/>
        <w:t>49</w:t>
      </w:r>
    </w:p>
    <w:p w14:paraId="1FD0824D" w14:textId="1D238829"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4-2 Chi-square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ab/>
        <w:t>50</w:t>
      </w:r>
    </w:p>
    <w:p w14:paraId="7F237FB1" w14:textId="0FE6AEE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51</w:t>
      </w:r>
    </w:p>
    <w:p w14:paraId="55C4CD19" w14:textId="79FD228D"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4-4 Chi-square + SVM </w:t>
      </w:r>
      <w:r w:rsidRPr="00706F03">
        <w:rPr>
          <w:rFonts w:ascii="Times New Roman" w:eastAsia="標楷體" w:hAnsi="Times New Roman" w:cs="Times New Roman" w:hint="eastAsia"/>
          <w:b w:val="0"/>
          <w:color w:val="auto"/>
          <w:sz w:val="24"/>
          <w:szCs w:val="28"/>
        </w:rPr>
        <w:t>下</w:t>
      </w:r>
      <w:r w:rsidRPr="00706F03">
        <w:rPr>
          <w:rFonts w:ascii="Times New Roman" w:eastAsia="標楷體" w:hAnsi="Times New Roman" w:cs="Times New Roman" w:hint="eastAsia"/>
          <w:b w:val="0"/>
          <w:color w:val="auto"/>
          <w:sz w:val="24"/>
          <w:szCs w:val="28"/>
        </w:rPr>
        <w:t xml:space="preserve"> BoW</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TF</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TF-IDF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w:t>
      </w:r>
      <w:r w:rsidRPr="00706F03">
        <w:rPr>
          <w:rFonts w:ascii="Times New Roman" w:eastAsia="標楷體" w:hAnsi="Times New Roman" w:cs="Times New Roman" w:hint="eastAsia"/>
          <w:b w:val="0"/>
          <w:color w:val="auto"/>
          <w:sz w:val="24"/>
          <w:szCs w:val="28"/>
        </w:rPr>
        <w:tab/>
        <w:t>53</w:t>
      </w:r>
    </w:p>
    <w:p w14:paraId="33283A10" w14:textId="29484D28"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4-5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模型之參數選擇摘要</w:t>
      </w:r>
      <w:r w:rsidRPr="00706F03">
        <w:rPr>
          <w:rFonts w:ascii="Times New Roman" w:eastAsia="標楷體" w:hAnsi="Times New Roman" w:cs="Times New Roman" w:hint="eastAsia"/>
          <w:b w:val="0"/>
          <w:color w:val="auto"/>
          <w:sz w:val="24"/>
          <w:szCs w:val="28"/>
        </w:rPr>
        <w:tab/>
        <w:t>55</w:t>
      </w:r>
    </w:p>
    <w:p w14:paraId="34069A91" w14:textId="7C64694A"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4-6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模型之測試集混淆矩陣</w:t>
      </w:r>
      <w:r w:rsidRPr="00706F03">
        <w:rPr>
          <w:rFonts w:ascii="Times New Roman" w:eastAsia="標楷體" w:hAnsi="Times New Roman" w:cs="Times New Roman" w:hint="eastAsia"/>
          <w:b w:val="0"/>
          <w:color w:val="auto"/>
          <w:sz w:val="24"/>
          <w:szCs w:val="28"/>
        </w:rPr>
        <w:tab/>
        <w:t>56</w:t>
      </w:r>
    </w:p>
    <w:p w14:paraId="41DEC91F" w14:textId="1AD68DB2"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4-7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模型之分類報告</w:t>
      </w:r>
      <w:r w:rsidRPr="00706F03">
        <w:rPr>
          <w:rFonts w:ascii="Times New Roman" w:eastAsia="標楷體" w:hAnsi="Times New Roman" w:cs="Times New Roman" w:hint="eastAsia"/>
          <w:b w:val="0"/>
          <w:color w:val="auto"/>
          <w:sz w:val="24"/>
          <w:szCs w:val="28"/>
        </w:rPr>
        <w:tab/>
        <w:t>56</w:t>
      </w:r>
    </w:p>
    <w:p w14:paraId="0DD3EF7D" w14:textId="1697352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4-8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模型之類別</w:t>
      </w:r>
      <w:r w:rsidRPr="00706F03">
        <w:rPr>
          <w:rFonts w:ascii="Times New Roman" w:eastAsia="標楷體" w:hAnsi="Times New Roman" w:cs="Times New Roman" w:hint="eastAsia"/>
          <w:b w:val="0"/>
          <w:color w:val="auto"/>
          <w:sz w:val="24"/>
          <w:szCs w:val="28"/>
        </w:rPr>
        <w:t xml:space="preserve"> F1 </w:t>
      </w:r>
      <w:r w:rsidRPr="00706F03">
        <w:rPr>
          <w:rFonts w:ascii="Times New Roman" w:eastAsia="標楷體" w:hAnsi="Times New Roman" w:cs="Times New Roman" w:hint="eastAsia"/>
          <w:b w:val="0"/>
          <w:color w:val="auto"/>
          <w:sz w:val="24"/>
          <w:szCs w:val="28"/>
        </w:rPr>
        <w:t>摘要</w:t>
      </w:r>
      <w:r w:rsidRPr="00706F03">
        <w:rPr>
          <w:rFonts w:ascii="Times New Roman" w:eastAsia="標楷體" w:hAnsi="Times New Roman" w:cs="Times New Roman" w:hint="eastAsia"/>
          <w:b w:val="0"/>
          <w:color w:val="auto"/>
          <w:sz w:val="24"/>
          <w:szCs w:val="28"/>
        </w:rPr>
        <w:tab/>
        <w:t>58</w:t>
      </w:r>
    </w:p>
    <w:p w14:paraId="40A021CE" w14:textId="5A3DBEF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5-1 </w:t>
      </w:r>
      <w:r w:rsidRPr="00706F03">
        <w:rPr>
          <w:rFonts w:ascii="Times New Roman" w:eastAsia="標楷體" w:hAnsi="Times New Roman" w:cs="Times New Roman" w:hint="eastAsia"/>
          <w:b w:val="0"/>
          <w:color w:val="auto"/>
          <w:sz w:val="24"/>
          <w:szCs w:val="28"/>
        </w:rPr>
        <w:t>不同案件類型下可優先考慮之文字特徵與模型流程</w:t>
      </w:r>
      <w:r w:rsidRPr="00706F03">
        <w:rPr>
          <w:rFonts w:ascii="Times New Roman" w:eastAsia="標楷體" w:hAnsi="Times New Roman" w:cs="Times New Roman" w:hint="eastAsia"/>
          <w:b w:val="0"/>
          <w:color w:val="auto"/>
          <w:sz w:val="24"/>
          <w:szCs w:val="28"/>
        </w:rPr>
        <w:tab/>
        <w:t>68</w:t>
      </w:r>
    </w:p>
    <w:p w14:paraId="05161E11" w14:textId="715763E4"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圖目錄</w:t>
      </w:r>
    </w:p>
    <w:p w14:paraId="5E2FF859"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37BC73AB" w14:textId="53AE3B90"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案件類型與裁判結果分布圖</w:t>
      </w:r>
      <w:r w:rsidRPr="00706F03">
        <w:rPr>
          <w:rFonts w:ascii="Times New Roman" w:eastAsia="標楷體" w:hAnsi="Times New Roman" w:cs="Times New Roman" w:hint="eastAsia"/>
          <w:b w:val="0"/>
          <w:color w:val="auto"/>
          <w:sz w:val="24"/>
          <w:szCs w:val="28"/>
        </w:rPr>
        <w:tab/>
        <w:t>25</w:t>
      </w:r>
    </w:p>
    <w:p w14:paraId="79B698E2" w14:textId="6D141D7F"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年度區間與案件類型分布圖</w:t>
      </w:r>
      <w:r w:rsidRPr="00706F03">
        <w:rPr>
          <w:rFonts w:ascii="Times New Roman" w:eastAsia="標楷體" w:hAnsi="Times New Roman" w:cs="Times New Roman" w:hint="eastAsia"/>
          <w:b w:val="0"/>
          <w:color w:val="auto"/>
          <w:sz w:val="24"/>
          <w:szCs w:val="28"/>
        </w:rPr>
        <w:tab/>
        <w:t>26</w:t>
      </w:r>
    </w:p>
    <w:p w14:paraId="711CB503" w14:textId="755930EB"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各案件類型高卡方特徵分布</w:t>
      </w:r>
      <w:r w:rsidRPr="00706F03">
        <w:rPr>
          <w:rFonts w:ascii="Times New Roman" w:eastAsia="標楷體" w:hAnsi="Times New Roman" w:cs="Times New Roman" w:hint="eastAsia"/>
          <w:b w:val="0"/>
          <w:color w:val="auto"/>
          <w:sz w:val="24"/>
          <w:szCs w:val="28"/>
        </w:rPr>
        <w:tab/>
        <w:t>28</w:t>
      </w:r>
    </w:p>
    <w:p w14:paraId="748AF1D1" w14:textId="116BD6D0"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3-5 SVM </w:t>
      </w:r>
      <w:r w:rsidRPr="00706F03">
        <w:rPr>
          <w:rFonts w:ascii="Times New Roman" w:eastAsia="標楷體" w:hAnsi="Times New Roman" w:cs="Times New Roman" w:hint="eastAsia"/>
          <w:b w:val="0"/>
          <w:color w:val="auto"/>
          <w:sz w:val="24"/>
          <w:szCs w:val="28"/>
        </w:rPr>
        <w:t>三類分類概念示意圖</w:t>
      </w:r>
      <w:r w:rsidRPr="00706F03">
        <w:rPr>
          <w:rFonts w:ascii="Times New Roman" w:eastAsia="標楷體" w:hAnsi="Times New Roman" w:cs="Times New Roman" w:hint="eastAsia"/>
          <w:b w:val="0"/>
          <w:color w:val="auto"/>
          <w:sz w:val="24"/>
          <w:szCs w:val="28"/>
        </w:rPr>
        <w:tab/>
        <w:t>38</w:t>
      </w:r>
    </w:p>
    <w:p w14:paraId="38F51EB4" w14:textId="2EA7C059"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4-1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51</w:t>
      </w:r>
    </w:p>
    <w:p w14:paraId="4D9482AB" w14:textId="5565AEF0"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4-2 </w:t>
      </w:r>
      <w:r w:rsidRPr="00706F03">
        <w:rPr>
          <w:rFonts w:ascii="Times New Roman" w:eastAsia="標楷體" w:hAnsi="Times New Roman" w:cs="Times New Roman" w:hint="eastAsia"/>
          <w:b w:val="0"/>
          <w:color w:val="auto"/>
          <w:sz w:val="24"/>
          <w:szCs w:val="28"/>
        </w:rPr>
        <w:t>不同文字特徵表示之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53</w:t>
      </w:r>
    </w:p>
    <w:p w14:paraId="3628F198" w14:textId="5BC91E19"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K </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 C </w:t>
      </w:r>
      <w:r w:rsidRPr="00706F03">
        <w:rPr>
          <w:rFonts w:ascii="Times New Roman" w:eastAsia="標楷體" w:hAnsi="Times New Roman" w:cs="Times New Roman" w:hint="eastAsia"/>
          <w:b w:val="0"/>
          <w:color w:val="auto"/>
          <w:sz w:val="24"/>
          <w:szCs w:val="28"/>
        </w:rPr>
        <w:t>驗證集</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熱力圖</w:t>
      </w:r>
      <w:r w:rsidRPr="00706F03">
        <w:rPr>
          <w:rFonts w:ascii="Times New Roman" w:eastAsia="標楷體" w:hAnsi="Times New Roman" w:cs="Times New Roman" w:hint="eastAsia"/>
          <w:b w:val="0"/>
          <w:color w:val="auto"/>
          <w:sz w:val="24"/>
          <w:szCs w:val="28"/>
        </w:rPr>
        <w:tab/>
        <w:t>57</w:t>
      </w:r>
    </w:p>
    <w:p w14:paraId="5FD07CF5" w14:textId="5CFB779F" w:rsidR="008613E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第一章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緒論</w:t>
      </w:r>
    </w:p>
    <w:p w14:paraId="5C56ABE7"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1.1 </w:t>
      </w:r>
      <w:r w:rsidRPr="00706F03">
        <w:rPr>
          <w:rFonts w:ascii="Times New Roman" w:eastAsia="標楷體" w:hAnsi="Times New Roman" w:cs="Times New Roman"/>
          <w:color w:val="auto"/>
          <w:szCs w:val="28"/>
        </w:rPr>
        <w:t>研究背景與動機</w:t>
      </w:r>
    </w:p>
    <w:p w14:paraId="040DA226"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B5A0493" w14:textId="435A9D05"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3FD4512B" w14:textId="79D2B193"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4F3AB86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06F03">
        <w:rPr>
          <w:rFonts w:cs="Times New Roman"/>
          <w:szCs w:val="28"/>
        </w:rPr>
        <w:t xml:space="preserve"> </w:t>
      </w:r>
      <w:r w:rsidRPr="00706F03">
        <w:rPr>
          <w:rFonts w:cs="Times New Roman"/>
          <w:szCs w:val="28"/>
        </w:rPr>
        <w:t>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多項式</w:t>
      </w:r>
      <w:r w:rsidR="00961BBF" w:rsidRPr="00706F03">
        <w:rPr>
          <w:rFonts w:cs="Times New Roman"/>
          <w:szCs w:val="28"/>
        </w:rPr>
        <w:t>逆</w:t>
      </w:r>
      <w:r w:rsidRPr="00706F03">
        <w:rPr>
          <w:rFonts w:cs="Times New Roman"/>
          <w:szCs w:val="28"/>
        </w:rPr>
        <w:t>迴歸（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支持向量機與</w:t>
      </w:r>
      <w:r w:rsidRPr="00706F03">
        <w:rPr>
          <w:rFonts w:cs="Times New Roman"/>
          <w:szCs w:val="28"/>
        </w:rPr>
        <w:t xml:space="preserve"> </w:t>
      </w:r>
      <w:r w:rsidRPr="00706F03">
        <w:rPr>
          <w:rFonts w:cs="Times New Roman"/>
          <w:szCs w:val="28"/>
        </w:rPr>
        <w:t>卡方特徵選擇</w:t>
      </w:r>
      <w:r w:rsidR="00525936"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w:t>
      </w:r>
      <w:r w:rsidR="00525936" w:rsidRPr="00706F03">
        <w:rPr>
          <w:rFonts w:cs="Times New Roman"/>
          <w:szCs w:val="28"/>
        </w:rPr>
        <w:t xml:space="preserve">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1AC078AC"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64E215A1"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1.2 </w:t>
      </w:r>
      <w:r w:rsidRPr="00706F03">
        <w:rPr>
          <w:rFonts w:ascii="Times New Roman" w:eastAsia="標楷體" w:hAnsi="Times New Roman" w:cs="Times New Roman"/>
          <w:color w:val="auto"/>
          <w:szCs w:val="28"/>
        </w:rPr>
        <w:t>研究目的</w:t>
      </w:r>
    </w:p>
    <w:p w14:paraId="5064B5B4" w14:textId="77777777" w:rsidR="007863E5" w:rsidRPr="00706F03" w:rsidRDefault="007863E5" w:rsidP="0004071A">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w:t>
      </w:r>
    </w:p>
    <w:p w14:paraId="429B89AA" w14:textId="77777777" w:rsidR="007863E5" w:rsidRPr="00706F03" w:rsidRDefault="007863E5" w:rsidP="00FA46B4">
      <w:pPr>
        <w:spacing w:line="276" w:lineRule="auto"/>
        <w:outlineLvl w:val="0"/>
        <w:rPr>
          <w:rFonts w:cs="Times New Roman"/>
          <w:szCs w:val="28"/>
        </w:rPr>
      </w:pPr>
      <w:r w:rsidRPr="00706F03">
        <w:rPr>
          <w:rFonts w:cs="Times New Roman"/>
          <w:szCs w:val="28"/>
        </w:rPr>
        <w:t>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文將裁判結果整理為敗訴、部分勝訴與勝訴三類，並依案件類型區分為行政、民事、刑事與刑事附帶民事案件，以檢驗不同案件類型下模型對裁判結果的辨識能力。</w:t>
      </w:r>
    </w:p>
    <w:p w14:paraId="63FD1F57" w14:textId="77777777" w:rsidR="007863E5" w:rsidRPr="00706F03" w:rsidRDefault="00832F63" w:rsidP="00FA46B4">
      <w:pPr>
        <w:spacing w:line="276" w:lineRule="auto"/>
        <w:outlineLvl w:val="0"/>
        <w:rPr>
          <w:rFonts w:cs="Times New Roman"/>
          <w:szCs w:val="28"/>
        </w:rPr>
      </w:pPr>
      <w:r w:rsidRPr="00706F03">
        <w:rPr>
          <w:rFonts w:cs="Times New Roman" w:hint="eastAsia"/>
          <w:szCs w:val="28"/>
        </w:rPr>
        <w:t>在文字特徵表示方面，本文比較三種將判決文本轉換為數值特徵的方法。第一，詞袋模型（</w:t>
      </w:r>
      <w:r w:rsidRPr="00706F03">
        <w:rPr>
          <w:rFonts w:cs="Times New Roman" w:hint="eastAsia"/>
          <w:szCs w:val="28"/>
        </w:rPr>
        <w:t>Bag-of-Words, BoW</w:t>
      </w:r>
      <w:r w:rsidRPr="00706F03">
        <w:rPr>
          <w:rFonts w:cs="Times New Roman" w:hint="eastAsia"/>
          <w:szCs w:val="28"/>
        </w:rPr>
        <w:t>）以詞彙在裁判文本中的出現次數建立特徵；第二，詞頻表示（</w:t>
      </w:r>
      <w:r w:rsidRPr="00706F03">
        <w:rPr>
          <w:rFonts w:cs="Times New Roman" w:hint="eastAsia"/>
          <w:szCs w:val="28"/>
        </w:rPr>
        <w:t>Term Frequency, TF</w:t>
      </w:r>
      <w:r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Pr="00706F03">
        <w:rPr>
          <w:rFonts w:cs="Times New Roman" w:hint="eastAsia"/>
          <w:szCs w:val="28"/>
        </w:rPr>
        <w:t>（</w:t>
      </w:r>
      <w:r w:rsidRPr="00706F03">
        <w:rPr>
          <w:rFonts w:cs="Times New Roman" w:hint="eastAsia"/>
          <w:szCs w:val="28"/>
        </w:rPr>
        <w:t>Term Frequency-Inverse Document Frequency, TF-IDF</w:t>
      </w:r>
      <w:r w:rsidRPr="00706F03">
        <w:rPr>
          <w:rFonts w:cs="Times New Roman" w:hint="eastAsia"/>
          <w:szCs w:val="28"/>
        </w:rPr>
        <w:t>）同時考量詞彙在單篇裁判書中的出現程度及其在整體語料中的普遍程度，以降低常見詞彙的權重。在模型流程方面，本文首先使用卡方特徵選擇篩選與裁判結果較具關聯的詞彙，再比較兩種分類流程。第一種為</w:t>
      </w:r>
      <w:r w:rsidRPr="00706F03">
        <w:rPr>
          <w:rFonts w:cs="Times New Roman" w:hint="eastAsia"/>
          <w:szCs w:val="28"/>
        </w:rPr>
        <w:t xml:space="preserve"> </w:t>
      </w:r>
      <w:r w:rsidR="001E5412" w:rsidRPr="00706F03">
        <w:rPr>
          <w:rFonts w:cs="Times New Roman" w:hint="eastAsia"/>
          <w:szCs w:val="28"/>
        </w:rPr>
        <w:t>Chi-square + MNIR + SVM</w:t>
      </w:r>
      <w:r w:rsidRPr="00706F03">
        <w:rPr>
          <w:rFonts w:cs="Times New Roman" w:hint="eastAsia"/>
          <w:szCs w:val="28"/>
        </w:rPr>
        <w:t>，亦即透過多項式逆迴歸（</w:t>
      </w:r>
      <w:r w:rsidRPr="00706F03">
        <w:rPr>
          <w:rFonts w:cs="Times New Roman" w:hint="eastAsia"/>
          <w:szCs w:val="28"/>
        </w:rPr>
        <w:t>Multinomial Inverse Regression, MNIR</w:t>
      </w:r>
      <w:r w:rsidRPr="00706F03">
        <w:rPr>
          <w:rFonts w:cs="Times New Roman" w:hint="eastAsia"/>
          <w:szCs w:val="28"/>
        </w:rPr>
        <w:t>）將高維文字特徵轉換為較低維的特徵，再以支持向量機進行分類；第二種為</w:t>
      </w:r>
      <w:r w:rsidRPr="00706F03">
        <w:rPr>
          <w:rFonts w:cs="Times New Roman" w:hint="eastAsia"/>
          <w:szCs w:val="28"/>
        </w:rPr>
        <w:t xml:space="preserve"> Chi-square + SVM</w:t>
      </w:r>
      <w:r w:rsidRPr="00706F03">
        <w:rPr>
          <w:rFonts w:cs="Times New Roman" w:hint="eastAsia"/>
          <w:szCs w:val="28"/>
        </w:rPr>
        <w:t>，亦即不經</w:t>
      </w:r>
      <w:r w:rsidRPr="00706F03">
        <w:rPr>
          <w:rFonts w:cs="Times New Roman" w:hint="eastAsia"/>
          <w:szCs w:val="28"/>
        </w:rPr>
        <w:t xml:space="preserve"> MNIR </w:t>
      </w:r>
      <w:r w:rsidRPr="00706F03">
        <w:rPr>
          <w:rFonts w:cs="Times New Roman" w:hint="eastAsia"/>
          <w:szCs w:val="28"/>
        </w:rPr>
        <w:t>特徵轉換，直接以卡方篩選後的文字特徵訓練</w:t>
      </w:r>
      <w:r w:rsidRPr="00706F03">
        <w:rPr>
          <w:rFonts w:cs="Times New Roman" w:hint="eastAsia"/>
          <w:szCs w:val="28"/>
        </w:rPr>
        <w:t xml:space="preserve"> SVM</w:t>
      </w:r>
      <w:r w:rsidRPr="00706F03">
        <w:rPr>
          <w:rFonts w:cs="Times New Roman" w:hint="eastAsia"/>
          <w:szCs w:val="28"/>
        </w:rPr>
        <w:t>。</w:t>
      </w:r>
    </w:p>
    <w:p w14:paraId="00A82B9E"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4E9E0C29"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智慧財產權判決文本分類流程。本文整理資料篩選、裁判結果標籤、文字特徵建構與模型訓練程序，作為法律文本分類分析之基礎。</w:t>
      </w:r>
    </w:p>
    <w:p w14:paraId="204570D7" w14:textId="0801259D"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比較不同文字特徵之分類效果。本文透過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2306B549" w14:textId="6A78D5C6"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監督式特徵轉換之適用性。本文比較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53656871"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分析模型對不同裁判結果類別的辨識能力。本文針對敗訴、部分勝訴與勝訴三類結果，檢視模型是否能有效辨識少數類別，並分析類別不平衡對分類表現的影響。</w:t>
      </w:r>
    </w:p>
    <w:p w14:paraId="7464965B"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建立較完整的模型評估方式。本文採用</w:t>
      </w:r>
      <w:r w:rsidRPr="00706F03">
        <w:rPr>
          <w:rFonts w:cs="Times New Roman"/>
          <w:szCs w:val="28"/>
        </w:rPr>
        <w:t xml:space="preserve"> 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、分類報告與混淆矩陣，評估模型整體表現與錯誤分類型態，避免僅以準確率判斷</w:t>
      </w:r>
      <w:r w:rsidRPr="00706F03">
        <w:rPr>
          <w:rFonts w:cs="Times New Roman"/>
          <w:szCs w:val="28"/>
        </w:rPr>
        <w:lastRenderedPageBreak/>
        <w:t>模型是否有效。</w:t>
      </w:r>
    </w:p>
    <w:p w14:paraId="51E9230F"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綜上所述，本研究不僅希望檢驗文字探勘方法應用於智慧財產權判決分類之可行性，也希望釐清不同案件類型、文字特徵表示與模型流程對分類結果之影響。基於上述研究目的，本文於下一節提出具體研究問題。</w:t>
      </w:r>
    </w:p>
    <w:p w14:paraId="77F2D5FB"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1.3 </w:t>
      </w:r>
      <w:r w:rsidR="005946D3" w:rsidRPr="00706F03">
        <w:rPr>
          <w:rFonts w:ascii="Times New Roman" w:eastAsia="標楷體" w:hAnsi="Times New Roman" w:cs="Times New Roman"/>
          <w:color w:val="auto"/>
          <w:szCs w:val="28"/>
        </w:rPr>
        <w:t>研究問題</w:t>
      </w:r>
    </w:p>
    <w:p w14:paraId="3A07EEBA"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本研究檢驗不同文字特徵表示、模型流程與案件類型對分類表現之影響。基於上述研究目的，本文提出以下研究問題：</w:t>
      </w:r>
    </w:p>
    <w:p w14:paraId="5D5E28D0"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r w:rsidR="005946D3" w:rsidRPr="00706F03">
        <w:rPr>
          <w:rFonts w:cs="Times New Roman"/>
        </w:rPr>
        <w:t>BoW</w:t>
      </w:r>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0050AC34"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1EAE4F0"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1B5D9ED0"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71A24855" w14:textId="77777777" w:rsidR="005946D3" w:rsidRPr="00706F03" w:rsidRDefault="005946D3"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1.4 </w:t>
      </w:r>
      <w:r w:rsidR="00133AB4" w:rsidRPr="00706F03">
        <w:rPr>
          <w:rFonts w:ascii="Times New Roman" w:eastAsia="標楷體" w:hAnsi="Times New Roman" w:cs="Times New Roman"/>
          <w:color w:val="auto"/>
          <w:szCs w:val="28"/>
        </w:rPr>
        <w:t>研究定位與論文架構</w:t>
      </w:r>
    </w:p>
    <w:p w14:paraId="79BDDC9C"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文所回顧之代表性研究多針對特定法院、案件領域或特定裁判任務建立模型，本研究進一步考量智慧財產權案件內部的異質性，將行政、民事、刑事與刑事附帶民事案件分別建模。此外，本文同時比較</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03C55712" w14:textId="77777777" w:rsidR="005946D3" w:rsidRPr="00706F03" w:rsidRDefault="00133AB4" w:rsidP="00133AB4">
      <w:pPr>
        <w:spacing w:line="276" w:lineRule="auto"/>
        <w:jc w:val="left"/>
        <w:rPr>
          <w:rFonts w:cs="Times New Roman"/>
        </w:rPr>
      </w:pPr>
      <w:r w:rsidRPr="00706F03">
        <w:rPr>
          <w:rFonts w:cs="Times New Roman" w:hint="eastAsia"/>
        </w:rPr>
        <w:t>本文共分為五章。第一章說明研究背景與動機、研究目的、研究問題及研究定位；第二章回顧實證法律研究、法律文本特徵表示、判決預測模型與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44A9ED89" w14:textId="77777777" w:rsidR="00CC5EA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第二章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文獻回顧</w:t>
      </w:r>
    </w:p>
    <w:p w14:paraId="460A69C0"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2.1 </w:t>
      </w:r>
      <w:r w:rsidRPr="00706F03">
        <w:rPr>
          <w:rFonts w:ascii="Times New Roman" w:eastAsia="標楷體" w:hAnsi="Times New Roman" w:cs="Times New Roman"/>
          <w:color w:val="auto"/>
          <w:szCs w:val="28"/>
        </w:rPr>
        <w:t>前言</w:t>
      </w:r>
    </w:p>
    <w:p w14:paraId="7459E208" w14:textId="04B87F51"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r w:rsidRPr="00706F03">
        <w:rPr>
          <w:rFonts w:cs="Times New Roman"/>
          <w:szCs w:val="28"/>
        </w:rPr>
        <w:t xml:space="preserve">Ariai </w:t>
      </w:r>
      <w:r w:rsidR="005963C8" w:rsidRPr="00706F03">
        <w:rPr>
          <w:rFonts w:cs="Times New Roman"/>
          <w:szCs w:val="28"/>
        </w:rPr>
        <w:t>et al.</w:t>
      </w:r>
      <w:r w:rsidRPr="00706F03">
        <w:rPr>
          <w:rFonts w:cs="Times New Roman"/>
          <w:szCs w:val="28"/>
        </w:rPr>
        <w:t>, 202</w:t>
      </w:r>
      <w:r w:rsidR="005963C8" w:rsidRPr="00706F03">
        <w:rPr>
          <w:rFonts w:cs="Times New Roman"/>
          <w:szCs w:val="28"/>
        </w:rPr>
        <w:t>5</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BoW</w:t>
      </w:r>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3741397A"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2.2 </w:t>
      </w:r>
      <w:r w:rsidRPr="00706F03">
        <w:rPr>
          <w:rFonts w:ascii="Times New Roman" w:eastAsia="標楷體" w:hAnsi="Times New Roman" w:cs="Times New Roman"/>
          <w:color w:val="auto"/>
          <w:szCs w:val="28"/>
        </w:rPr>
        <w:t>實證法律研究</w:t>
      </w:r>
      <w:r w:rsidR="00816C7D" w:rsidRPr="00706F03">
        <w:rPr>
          <w:rFonts w:ascii="Times New Roman" w:eastAsia="標楷體" w:hAnsi="Times New Roman" w:cs="Times New Roman"/>
          <w:color w:val="auto"/>
          <w:szCs w:val="28"/>
        </w:rPr>
        <w:t>與量化分析</w:t>
      </w:r>
      <w:r w:rsidRPr="00706F03">
        <w:rPr>
          <w:rFonts w:ascii="Times New Roman" w:eastAsia="標楷體" w:hAnsi="Times New Roman" w:cs="Times New Roman"/>
          <w:color w:val="auto"/>
          <w:szCs w:val="28"/>
        </w:rPr>
        <w:t>的發展</w:t>
      </w:r>
    </w:p>
    <w:p w14:paraId="5C46DECD" w14:textId="77777777" w:rsidR="00564795" w:rsidRPr="00706F03" w:rsidRDefault="00830A74" w:rsidP="0004071A">
      <w:pPr>
        <w:spacing w:line="276" w:lineRule="auto"/>
        <w:outlineLvl w:val="0"/>
        <w:rPr>
          <w:rFonts w:cs="Times New Roman"/>
          <w:sz w:val="28"/>
          <w:szCs w:val="28"/>
        </w:rPr>
      </w:pPr>
      <w:r w:rsidRPr="00706F03">
        <w:rPr>
          <w:rFonts w:cs="Times New Roman"/>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0EDA6C16" w14:textId="3A798BF9" w:rsidR="00564795" w:rsidRPr="00706F03" w:rsidRDefault="00564795" w:rsidP="001707F2">
      <w:pPr>
        <w:spacing w:line="276" w:lineRule="auto"/>
        <w:outlineLvl w:val="0"/>
        <w:rPr>
          <w:rFonts w:cs="Times New Roman"/>
          <w:sz w:val="28"/>
          <w:szCs w:val="28"/>
        </w:rPr>
      </w:pPr>
      <w:r w:rsidRPr="00706F03">
        <w:rPr>
          <w:rFonts w:cs="Times New Roman"/>
          <w:szCs w:val="28"/>
        </w:rPr>
        <w:t>國</w:t>
      </w:r>
      <w:r w:rsidR="00AD1A81" w:rsidRPr="00706F03">
        <w:rPr>
          <w:rFonts w:cs="Times New Roman"/>
          <w:szCs w:val="28"/>
        </w:rPr>
        <w:t>外</w:t>
      </w:r>
      <w:r w:rsidRPr="00706F03">
        <w:rPr>
          <w:rFonts w:cs="Times New Roman"/>
          <w:szCs w:val="28"/>
        </w:rPr>
        <w:t>研究中，已有文獻運用大量法院資料分析司法決策。例如</w:t>
      </w:r>
      <w:r w:rsidRPr="00706F03">
        <w:rPr>
          <w:rFonts w:cs="Times New Roman"/>
          <w:szCs w:val="28"/>
        </w:rPr>
        <w:t xml:space="preserve"> Eren and Mocan</w:t>
      </w:r>
      <w:r w:rsidRPr="00706F03">
        <w:rPr>
          <w:rFonts w:cs="Times New Roman"/>
          <w:szCs w:val="28"/>
        </w:rPr>
        <w:t>（</w:t>
      </w:r>
      <w:r w:rsidRPr="00706F03">
        <w:rPr>
          <w:rFonts w:cs="Times New Roman"/>
          <w:szCs w:val="28"/>
        </w:rPr>
        <w:t>2018</w:t>
      </w:r>
      <w:r w:rsidRPr="00706F03">
        <w:rPr>
          <w:rFonts w:cs="Times New Roman"/>
          <w:szCs w:val="28"/>
        </w:rPr>
        <w:t>）探討外部事件是否影響法官量刑</w:t>
      </w:r>
      <w:r w:rsidR="00B27478" w:rsidRPr="00706F03">
        <w:rPr>
          <w:rFonts w:cs="Times New Roman" w:hint="eastAsia"/>
          <w:szCs w:val="28"/>
        </w:rPr>
        <w:t>；</w:t>
      </w:r>
      <w:r w:rsidR="00B27478" w:rsidRPr="00706F03">
        <w:rPr>
          <w:rFonts w:cs="Times New Roman"/>
          <w:szCs w:val="28"/>
        </w:rPr>
        <w:t>Heyes and Saberian</w:t>
      </w:r>
      <w:r w:rsidR="00B27478" w:rsidRPr="00706F03">
        <w:rPr>
          <w:rFonts w:cs="Times New Roman"/>
          <w:szCs w:val="28"/>
        </w:rPr>
        <w:t>（</w:t>
      </w:r>
      <w:r w:rsidR="00B27478" w:rsidRPr="00706F03">
        <w:rPr>
          <w:rFonts w:cs="Times New Roman"/>
          <w:szCs w:val="28"/>
        </w:rPr>
        <w:t>2019</w:t>
      </w:r>
      <w:r w:rsidR="00B27478" w:rsidRPr="00706F03">
        <w:rPr>
          <w:rFonts w:cs="Times New Roman"/>
          <w:szCs w:val="28"/>
        </w:rPr>
        <w:t>）則以美國移民法院案件為資料，檢驗案件裁決當日的外部氣溫是否與法官作出有利於申請人的裁決機率相關。</w:t>
      </w:r>
      <w:r w:rsidRPr="00706F03">
        <w:rPr>
          <w:rFonts w:cs="Times New Roman"/>
          <w:szCs w:val="28"/>
        </w:rPr>
        <w:t>這類研究顯示，法院判決可被視為可觀察、可量化並可進一步分析的實證資料，而不僅是單純的法理文本。在</w:t>
      </w:r>
      <w:r w:rsidR="00AD1A81" w:rsidRPr="00706F03">
        <w:rPr>
          <w:rFonts w:cs="Times New Roman"/>
          <w:szCs w:val="28"/>
        </w:rPr>
        <w:t>臺灣</w:t>
      </w:r>
      <w:r w:rsidRPr="00706F03">
        <w:rPr>
          <w:rFonts w:cs="Times New Roman"/>
          <w:szCs w:val="28"/>
        </w:rPr>
        <w:t>，司法資料公開亦為法律實證研究提供重要基礎。林常青（</w:t>
      </w:r>
      <w:r w:rsidRPr="00706F03">
        <w:rPr>
          <w:rFonts w:cs="Times New Roman"/>
          <w:szCs w:val="28"/>
        </w:rPr>
        <w:t>2019</w:t>
      </w:r>
      <w:r w:rsidRPr="00706F03">
        <w:rPr>
          <w:rFonts w:cs="Times New Roman"/>
          <w:szCs w:val="28"/>
        </w:rPr>
        <w:t>）指出，司法院裁判書查詢系統提供大量完整判決資料，使研究者能夠從判決全文、案件類型、裁判結果等面向</w:t>
      </w:r>
      <w:r w:rsidRPr="00706F03">
        <w:rPr>
          <w:rFonts w:cs="Times New Roman"/>
          <w:szCs w:val="28"/>
        </w:rPr>
        <w:lastRenderedPageBreak/>
        <w:t>進行實證分析。</w:t>
      </w:r>
      <w:r w:rsidR="008C3417" w:rsidRPr="00706F03">
        <w:rPr>
          <w:rFonts w:cs="Times New Roman"/>
          <w:szCs w:val="28"/>
        </w:rPr>
        <w:t>Chen et al.</w:t>
      </w:r>
      <w:r w:rsidR="008C3417" w:rsidRPr="00706F03">
        <w:rPr>
          <w:rFonts w:cs="Times New Roman"/>
          <w:szCs w:val="28"/>
        </w:rPr>
        <w:t>（</w:t>
      </w:r>
      <w:r w:rsidR="008C3417" w:rsidRPr="00706F03">
        <w:rPr>
          <w:rFonts w:cs="Times New Roman"/>
          <w:szCs w:val="28"/>
        </w:rPr>
        <w:t>2015</w:t>
      </w:r>
      <w:r w:rsidR="008C3417" w:rsidRPr="00706F03">
        <w:rPr>
          <w:rFonts w:cs="Times New Roman"/>
          <w:szCs w:val="28"/>
        </w:rPr>
        <w:t>）透過最高法院民事案件資料分析訴訟資源與裁判結果之關係；</w:t>
      </w:r>
      <w:r w:rsidR="008C3417" w:rsidRPr="00706F03">
        <w:rPr>
          <w:rFonts w:cs="Times New Roman"/>
          <w:szCs w:val="28"/>
        </w:rPr>
        <w:t>Chang et al.</w:t>
      </w:r>
      <w:r w:rsidR="008C3417" w:rsidRPr="00706F03">
        <w:rPr>
          <w:rFonts w:cs="Times New Roman"/>
          <w:szCs w:val="28"/>
        </w:rPr>
        <w:t>（</w:t>
      </w:r>
      <w:r w:rsidR="008C3417" w:rsidRPr="00706F03">
        <w:rPr>
          <w:rFonts w:cs="Times New Roman"/>
          <w:szCs w:val="28"/>
        </w:rPr>
        <w:t>2018</w:t>
      </w:r>
      <w:r w:rsidR="008C3417" w:rsidRPr="00706F03">
        <w:rPr>
          <w:rFonts w:cs="Times New Roman"/>
          <w:szCs w:val="28"/>
        </w:rPr>
        <w:t>）則檢驗法院賠償金額判斷中的定錨效果，亦即先前出現的金額資訊是否會成為法官後續判斷賠償金額時的參考基準。</w:t>
      </w:r>
      <w:r w:rsidRPr="00706F03">
        <w:rPr>
          <w:rFonts w:cs="Times New Roman"/>
          <w:szCs w:val="28"/>
        </w:rPr>
        <w:t>這些文獻不僅證明</w:t>
      </w:r>
      <w:r w:rsidR="00AD1A81" w:rsidRPr="00706F03">
        <w:rPr>
          <w:rFonts w:cs="Times New Roman"/>
          <w:szCs w:val="28"/>
        </w:rPr>
        <w:t>臺灣</w:t>
      </w:r>
      <w:r w:rsidRPr="00706F03">
        <w:rPr>
          <w:rFonts w:cs="Times New Roman"/>
          <w:szCs w:val="28"/>
        </w:rPr>
        <w:t>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C7145CE"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2.3 </w:t>
      </w:r>
      <w:r w:rsidR="00564795" w:rsidRPr="00706F03">
        <w:rPr>
          <w:rFonts w:ascii="Times New Roman" w:eastAsia="標楷體" w:hAnsi="Times New Roman" w:cs="Times New Roman"/>
          <w:color w:val="auto"/>
          <w:szCs w:val="28"/>
        </w:rPr>
        <w:t>法律文本之特徵表示：</w:t>
      </w:r>
      <w:r w:rsidR="00564795" w:rsidRPr="00706F03">
        <w:rPr>
          <w:rFonts w:ascii="Times New Roman" w:eastAsia="標楷體" w:hAnsi="Times New Roman" w:cs="Times New Roman"/>
          <w:color w:val="auto"/>
          <w:szCs w:val="28"/>
        </w:rPr>
        <w:t>BoW</w:t>
      </w:r>
      <w:r w:rsidR="00564795" w:rsidRPr="00706F03">
        <w:rPr>
          <w:rFonts w:ascii="Times New Roman" w:eastAsia="標楷體" w:hAnsi="Times New Roman" w:cs="Times New Roman"/>
          <w:color w:val="auto"/>
          <w:szCs w:val="28"/>
        </w:rPr>
        <w:t>、</w:t>
      </w:r>
      <w:r w:rsidR="00564795" w:rsidRPr="00706F03">
        <w:rPr>
          <w:rFonts w:ascii="Times New Roman" w:eastAsia="標楷體" w:hAnsi="Times New Roman" w:cs="Times New Roman"/>
          <w:color w:val="auto"/>
          <w:szCs w:val="28"/>
        </w:rPr>
        <w:t xml:space="preserve">TF </w:t>
      </w:r>
      <w:r w:rsidR="00564795" w:rsidRPr="00706F03">
        <w:rPr>
          <w:rFonts w:ascii="Times New Roman" w:eastAsia="標楷體" w:hAnsi="Times New Roman" w:cs="Times New Roman"/>
          <w:color w:val="auto"/>
          <w:szCs w:val="28"/>
        </w:rPr>
        <w:t>與</w:t>
      </w:r>
      <w:r w:rsidR="00564795" w:rsidRPr="00706F03">
        <w:rPr>
          <w:rFonts w:ascii="Times New Roman" w:eastAsia="標楷體" w:hAnsi="Times New Roman" w:cs="Times New Roman"/>
          <w:color w:val="auto"/>
          <w:szCs w:val="28"/>
        </w:rPr>
        <w:t xml:space="preserve"> TF-IDF</w:t>
      </w:r>
    </w:p>
    <w:p w14:paraId="3C20EB01" w14:textId="682D5C3A"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Bag-of-Words, BoW</w:t>
      </w:r>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）。這些方法雖然不直接處理詞序與深層語意，但在許多專業文本分類任務中仍具備良好的基準價值。法律</w:t>
      </w:r>
      <w:r w:rsidR="000414AC" w:rsidRPr="00706F03">
        <w:rPr>
          <w:rFonts w:cs="Times New Roman"/>
          <w:szCs w:val="28"/>
        </w:rPr>
        <w:t>裁判書</w:t>
      </w:r>
      <w:r w:rsidRPr="00706F03">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r w:rsidRPr="00706F03">
        <w:rPr>
          <w:rFonts w:cs="Times New Roman"/>
          <w:szCs w:val="28"/>
        </w:rPr>
        <w:t>Mamakas et al., 2022; Tang &amp; Yang, 2025</w:t>
      </w:r>
      <w:r w:rsidRPr="00706F03">
        <w:rPr>
          <w:rFonts w:cs="Times New Roman"/>
          <w:szCs w:val="28"/>
        </w:rPr>
        <w:t>）。此一發現表示，對高度制度化與專業化文本而言，詞彙本身的出現與分布仍可能包含重要分類訊號。</w:t>
      </w:r>
    </w:p>
    <w:p w14:paraId="55E460ED"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 xml:space="preserve">BoW </w:t>
      </w:r>
      <w:r w:rsidRPr="00706F03">
        <w:rPr>
          <w:rFonts w:cs="Times New Roman"/>
          <w:szCs w:val="28"/>
        </w:rPr>
        <w:t>將每一篇文件視為詞彙集合，並以詞項是否出現或出現次數作為特徵。其優點是模型結構簡單、計算效率高，且容易觀察哪些詞彙對分類結果具有貢獻。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BoW </w:t>
      </w:r>
      <w:r w:rsidR="0019485A" w:rsidRPr="00706F03">
        <w:rPr>
          <w:rFonts w:cs="Times New Roman"/>
          <w:szCs w:val="28"/>
        </w:rPr>
        <w:t>忽略詞序，其仍可能捕捉法律文本中具判別力的詞彙訊號。</w:t>
      </w:r>
    </w:p>
    <w:p w14:paraId="35673C97"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21BAEC48" w14:textId="63FB991C"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w:t>
      </w:r>
      <w:r w:rsidRPr="00706F03">
        <w:rPr>
          <w:rFonts w:cs="Times New Roman"/>
          <w:szCs w:val="28"/>
        </w:rPr>
        <w:lastRenderedPageBreak/>
        <w:t>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1B074DA4"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2.</w:t>
      </w:r>
      <w:r w:rsidR="00751AD4" w:rsidRPr="00706F03">
        <w:rPr>
          <w:rFonts w:ascii="Times New Roman" w:eastAsia="標楷體" w:hAnsi="Times New Roman" w:cs="Times New Roman"/>
          <w:color w:val="auto"/>
          <w:szCs w:val="28"/>
        </w:rPr>
        <w:t xml:space="preserve">4 </w:t>
      </w:r>
      <w:r w:rsidR="00751AD4" w:rsidRPr="00706F03">
        <w:rPr>
          <w:rFonts w:ascii="Times New Roman" w:eastAsia="標楷體" w:hAnsi="Times New Roman" w:cs="Times New Roman"/>
          <w:color w:val="auto"/>
          <w:szCs w:val="28"/>
        </w:rPr>
        <w:t>預測模型建構與可解釋性之必要性</w:t>
      </w:r>
    </w:p>
    <w:p w14:paraId="023A4AFF"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Aletras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r w:rsidRPr="00706F03">
        <w:rPr>
          <w:rFonts w:cs="Times New Roman"/>
          <w:szCs w:val="28"/>
        </w:rPr>
        <w:t>Surdeanu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115BD7E1"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r w:rsidR="0063468A" w:rsidRPr="00706F03">
        <w:rPr>
          <w:rFonts w:cs="Times New Roman" w:hint="eastAsia"/>
          <w:szCs w:val="28"/>
        </w:rPr>
        <w:t>Alghazzawi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B7591E9" w14:textId="4E2B3BC9" w:rsidR="00564795" w:rsidRPr="00706F03" w:rsidRDefault="0063468A" w:rsidP="0063468A">
      <w:pPr>
        <w:spacing w:line="276" w:lineRule="auto"/>
        <w:outlineLvl w:val="0"/>
        <w:rPr>
          <w:rFonts w:cs="Times New Roman"/>
          <w:sz w:val="28"/>
          <w:szCs w:val="28"/>
        </w:rPr>
      </w:pPr>
      <w:r w:rsidRPr="00706F03">
        <w:rPr>
          <w:rFonts w:cs="Times New Roman" w:hint="eastAsia"/>
          <w:szCs w:val="28"/>
        </w:rPr>
        <w:lastRenderedPageBreak/>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BoW</w:t>
      </w:r>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386B407B"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2.5 </w:t>
      </w:r>
      <w:r w:rsidR="00564795" w:rsidRPr="00706F03">
        <w:rPr>
          <w:rFonts w:ascii="Times New Roman" w:eastAsia="標楷體" w:hAnsi="Times New Roman" w:cs="Times New Roman"/>
          <w:color w:val="auto"/>
          <w:szCs w:val="28"/>
        </w:rPr>
        <w:t xml:space="preserve">MNIR </w:t>
      </w:r>
      <w:r w:rsidR="00564795" w:rsidRPr="00706F03">
        <w:rPr>
          <w:rFonts w:ascii="Times New Roman" w:eastAsia="標楷體" w:hAnsi="Times New Roman" w:cs="Times New Roman"/>
          <w:color w:val="auto"/>
          <w:szCs w:val="28"/>
        </w:rPr>
        <w:t>監督式特徵轉換與本研究定位</w:t>
      </w:r>
    </w:p>
    <w:p w14:paraId="0595884D"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549AAEBD"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4D2E6E6A"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094EA59D"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w:t>
      </w:r>
      <w:r w:rsidRPr="00706F03">
        <w:rPr>
          <w:rFonts w:cs="Times New Roman"/>
          <w:szCs w:val="28"/>
        </w:rPr>
        <w:lastRenderedPageBreak/>
        <w:t>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。為比較兩條流程的分類效果，本文採用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293427FE" w14:textId="77777777" w:rsidR="00564795" w:rsidRPr="00706F03" w:rsidRDefault="00564795"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2.6 </w:t>
      </w:r>
      <w:r w:rsidRPr="00706F03">
        <w:rPr>
          <w:rFonts w:ascii="Times New Roman" w:eastAsia="標楷體" w:hAnsi="Times New Roman" w:cs="Times New Roman"/>
          <w:color w:val="auto"/>
          <w:szCs w:val="28"/>
        </w:rPr>
        <w:t>總結與研究缺口</w:t>
      </w:r>
    </w:p>
    <w:p w14:paraId="50EEF857"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r w:rsidRPr="00706F03">
        <w:rPr>
          <w:rFonts w:cs="Times New Roman"/>
          <w:szCs w:val="28"/>
        </w:rPr>
        <w:t>Aletras et al., 2016; Surdeanu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因此，法律判決預測並不限於單一二元分類形式，而會隨法院制度、案件領域與研究目的採取不同的分類設定。</w:t>
      </w:r>
    </w:p>
    <w:p w14:paraId="7AB9FCDD" w14:textId="77777777" w:rsidR="001D087D" w:rsidRPr="00706F03" w:rsidRDefault="005921D2" w:rsidP="001D087D">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sidRPr="00706F03">
        <w:rPr>
          <w:rFonts w:cs="Times New Roman" w:hint="eastAsia"/>
          <w:szCs w:val="28"/>
        </w:rPr>
        <w:t>而就本文所回顧的代表性研究而言，現有文獻多聚焦於國外法院、特定法律領域或特定預測任務；針對臺灣智慧財產權判決全文進行裁判結果分類，並比較不同案件類型之分類表現的研究仍相對少見。</w:t>
      </w:r>
    </w:p>
    <w:p w14:paraId="4C26B3A1" w14:textId="77777777" w:rsidR="008613E4" w:rsidRPr="00706F03" w:rsidRDefault="001D087D" w:rsidP="001D087D">
      <w:pPr>
        <w:spacing w:after="0" w:line="276" w:lineRule="auto"/>
        <w:outlineLvl w:val="0"/>
        <w:rPr>
          <w:rFonts w:cs="Times New Roman"/>
          <w:sz w:val="28"/>
          <w:szCs w:val="28"/>
        </w:rPr>
      </w:pPr>
      <w:r w:rsidRPr="00706F03">
        <w:rPr>
          <w:rFonts w:cs="Times New Roman" w:hint="eastAsia"/>
          <w:szCs w:val="28"/>
        </w:rPr>
        <w:t>基於此，本研究將裁判結果整理為敗訴、部分勝訴與勝訴三類，並將行政、民事、刑事及刑事附帶民事案件分別建模，以比較不同案件類型下的分類表現。在文字特徵表示方面，本研究比較</w:t>
      </w:r>
      <w:r w:rsidRPr="00706F03">
        <w:rPr>
          <w:rFonts w:cs="Times New Roman" w:hint="eastAsia"/>
          <w:szCs w:val="28"/>
        </w:rPr>
        <w:t xml:space="preserve"> BoW</w:t>
      </w:r>
      <w:r w:rsidRPr="00706F03">
        <w:rPr>
          <w:rFonts w:cs="Times New Roman" w:hint="eastAsia"/>
          <w:szCs w:val="28"/>
        </w:rPr>
        <w:t>、</w:t>
      </w:r>
      <w:r w:rsidRPr="00706F03">
        <w:rPr>
          <w:rFonts w:cs="Times New Roman" w:hint="eastAsia"/>
          <w:szCs w:val="28"/>
        </w:rPr>
        <w:t xml:space="preserve">TF </w:t>
      </w:r>
      <w:r w:rsidRPr="00706F03">
        <w:rPr>
          <w:rFonts w:cs="Times New Roman" w:hint="eastAsia"/>
          <w:szCs w:val="28"/>
        </w:rPr>
        <w:t>與</w:t>
      </w:r>
      <w:r w:rsidRPr="00706F03">
        <w:rPr>
          <w:rFonts w:cs="Times New Roman" w:hint="eastAsia"/>
          <w:szCs w:val="28"/>
        </w:rPr>
        <w:t xml:space="preserve"> TF-IDF </w:t>
      </w:r>
      <w:r w:rsidRPr="00706F03">
        <w:rPr>
          <w:rFonts w:cs="Times New Roman" w:hint="eastAsia"/>
          <w:szCs w:val="28"/>
        </w:rPr>
        <w:t>三種方法；在模型流程方面，則比較</w:t>
      </w:r>
      <w:r w:rsidRPr="00706F03">
        <w:rPr>
          <w:rFonts w:cs="Times New Roman" w:hint="eastAsia"/>
          <w:szCs w:val="28"/>
        </w:rPr>
        <w:t xml:space="preserve"> </w:t>
      </w:r>
      <w:r w:rsidR="001E5412" w:rsidRPr="00706F03">
        <w:rPr>
          <w:rFonts w:cs="Times New Roman" w:hint="eastAsia"/>
          <w:szCs w:val="28"/>
        </w:rPr>
        <w:t>Chi-square + MNIR + SVM</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Chi-square + SVM</w:t>
      </w:r>
      <w:r w:rsidRPr="00706F03">
        <w:rPr>
          <w:rFonts w:cs="Times New Roman" w:hint="eastAsia"/>
          <w:szCs w:val="28"/>
        </w:rPr>
        <w:t>。前者先以卡方統計量進行特徵選擇，再透過</w:t>
      </w:r>
      <w:r w:rsidRPr="00706F03">
        <w:rPr>
          <w:rFonts w:cs="Times New Roman" w:hint="eastAsia"/>
          <w:szCs w:val="28"/>
        </w:rPr>
        <w:t xml:space="preserve"> MNIR </w:t>
      </w:r>
      <w:r w:rsidRPr="00706F03">
        <w:rPr>
          <w:rFonts w:cs="Times New Roman" w:hint="eastAsia"/>
          <w:szCs w:val="28"/>
        </w:rPr>
        <w:t>將高維文字特徵轉換為較低維的監督式特徵，最後以</w:t>
      </w:r>
      <w:r w:rsidRPr="00706F03">
        <w:rPr>
          <w:rFonts w:cs="Times New Roman" w:hint="eastAsia"/>
          <w:szCs w:val="28"/>
        </w:rPr>
        <w:t xml:space="preserve"> SVM </w:t>
      </w:r>
      <w:r w:rsidRPr="00706F03">
        <w:rPr>
          <w:rFonts w:cs="Times New Roman" w:hint="eastAsia"/>
          <w:szCs w:val="28"/>
        </w:rPr>
        <w:t>進行分類；後者則直接以卡方篩選後的稀疏文字特徵訓練</w:t>
      </w:r>
      <w:r w:rsidRPr="00706F03">
        <w:rPr>
          <w:rFonts w:cs="Times New Roman" w:hint="eastAsia"/>
          <w:szCs w:val="28"/>
        </w:rPr>
        <w:t xml:space="preserve"> SVM</w:t>
      </w:r>
      <w:r w:rsidRPr="00706F03">
        <w:rPr>
          <w:rFonts w:cs="Times New Roman" w:hint="eastAsia"/>
          <w:szCs w:val="28"/>
        </w:rPr>
        <w:t>。</w:t>
      </w:r>
      <w:r w:rsidR="00CC5EA4" w:rsidRPr="00706F03">
        <w:rPr>
          <w:rFonts w:cs="Times New Roman"/>
          <w:szCs w:val="28"/>
        </w:rPr>
        <w:br w:type="page"/>
      </w:r>
    </w:p>
    <w:p w14:paraId="03C5FF62" w14:textId="77777777" w:rsidR="008613E4" w:rsidRPr="00706F03" w:rsidRDefault="0013551A"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第三章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研究方法與資料</w:t>
      </w:r>
    </w:p>
    <w:p w14:paraId="5DE3088C" w14:textId="77777777" w:rsidR="00E81A55" w:rsidRPr="00706F03" w:rsidRDefault="00E81A55"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3.1 </w:t>
      </w:r>
      <w:r w:rsidRPr="00706F03">
        <w:rPr>
          <w:rFonts w:ascii="Times New Roman" w:eastAsia="標楷體" w:hAnsi="Times New Roman" w:cs="Times New Roman"/>
          <w:color w:val="auto"/>
          <w:szCs w:val="28"/>
        </w:rPr>
        <w:t>研究流程</w:t>
      </w:r>
    </w:p>
    <w:p w14:paraId="69CBDAAB"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4C90BCF8"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67AE50AE" w14:textId="77777777"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BoW / TF / TF-IDF </w:t>
      </w:r>
      <w:r w:rsidRPr="00706F03">
        <w:rPr>
          <w:rFonts w:cs="Times New Roman"/>
          <w:szCs w:val="28"/>
        </w:rPr>
        <w:t>特徵建構</w:t>
      </w:r>
      <w:r w:rsidRPr="00706F03">
        <w:rPr>
          <w:rFonts w:cs="Times New Roman"/>
          <w:szCs w:val="28"/>
        </w:rPr>
        <w:t xml:space="preserve"> → Chi-square </w:t>
      </w:r>
      <w:r w:rsidR="006E5AFF" w:rsidRPr="00706F03">
        <w:rPr>
          <w:rFonts w:cs="Times New Roman"/>
          <w:szCs w:val="28"/>
        </w:rPr>
        <w:t>降維</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255A14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0BC5E570" w14:textId="77777777" w:rsidR="000E77F6" w:rsidRPr="00706F03" w:rsidRDefault="000E77F6" w:rsidP="0004071A">
      <w:pPr>
        <w:spacing w:before="80" w:after="80" w:line="276" w:lineRule="auto"/>
        <w:jc w:val="center"/>
        <w:outlineLvl w:val="0"/>
        <w:rPr>
          <w:rFonts w:cs="Times New Roman"/>
          <w:szCs w:val="28"/>
        </w:rPr>
      </w:pPr>
    </w:p>
    <w:p w14:paraId="41FFA54C" w14:textId="77777777" w:rsidR="00B66EDF" w:rsidRPr="00706F03" w:rsidRDefault="00B66EDF"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3.2 </w:t>
      </w:r>
      <w:r w:rsidRPr="00706F03">
        <w:rPr>
          <w:rFonts w:ascii="Times New Roman" w:eastAsia="標楷體" w:hAnsi="Times New Roman" w:cs="Times New Roman"/>
          <w:color w:val="auto"/>
          <w:szCs w:val="28"/>
        </w:rPr>
        <w:t>資料獲取與前處理</w:t>
      </w:r>
    </w:p>
    <w:p w14:paraId="07752383" w14:textId="469E77CE"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JSON</w:t>
      </w:r>
      <w:r w:rsidR="00961BBF" w:rsidRPr="00706F03">
        <w:rPr>
          <w:rFonts w:cs="Times New Roman"/>
          <w:szCs w:val="28"/>
        </w:rPr>
        <w:t>（</w:t>
      </w:r>
      <w:r w:rsidR="00961BBF" w:rsidRPr="00706F03">
        <w:rPr>
          <w:rFonts w:cs="Times New Roman"/>
          <w:szCs w:val="28"/>
        </w:rPr>
        <w:t>JavaScript Object Notation</w:t>
      </w:r>
      <w:r w:rsidR="00961BBF" w:rsidRPr="00706F03">
        <w:rPr>
          <w:rFonts w:cs="Times New Roman"/>
          <w:szCs w:val="28"/>
        </w:rPr>
        <w:t>）格式之裁判書檔案</w:t>
      </w:r>
      <w:r w:rsidR="00E81A55" w:rsidRPr="00706F03">
        <w:rPr>
          <w:rFonts w:cs="Times New Roman"/>
          <w:szCs w:val="28"/>
        </w:rPr>
        <w:t>。</w:t>
      </w:r>
    </w:p>
    <w:p w14:paraId="33E01655"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6C5882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4DCC4121" w14:textId="77777777" w:rsidTr="000C3BE1">
        <w:trPr>
          <w:cantSplit/>
        </w:trPr>
        <w:tc>
          <w:tcPr>
            <w:tcW w:w="5228" w:type="dxa"/>
            <w:tcBorders>
              <w:bottom w:val="single" w:sz="2" w:space="0" w:color="000000"/>
            </w:tcBorders>
          </w:tcPr>
          <w:p w14:paraId="53043E3E"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4D4ABB6"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2BEDF444" w14:textId="77777777" w:rsidTr="000C3BE1">
        <w:trPr>
          <w:cantSplit/>
        </w:trPr>
        <w:tc>
          <w:tcPr>
            <w:tcW w:w="5228" w:type="dxa"/>
            <w:tcBorders>
              <w:bottom w:val="single" w:sz="2" w:space="0" w:color="000000"/>
            </w:tcBorders>
          </w:tcPr>
          <w:p w14:paraId="2FEB6AED"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7571DB1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08D56C8C" w14:textId="77777777" w:rsidTr="000C3BE1">
        <w:trPr>
          <w:cantSplit/>
        </w:trPr>
        <w:tc>
          <w:tcPr>
            <w:tcW w:w="5228" w:type="dxa"/>
            <w:tcBorders>
              <w:bottom w:val="single" w:sz="2" w:space="0" w:color="000000"/>
            </w:tcBorders>
          </w:tcPr>
          <w:p w14:paraId="62C0AD7E"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14CC9DF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41CDF713" w14:textId="77777777" w:rsidTr="000C3BE1">
        <w:trPr>
          <w:cantSplit/>
        </w:trPr>
        <w:tc>
          <w:tcPr>
            <w:tcW w:w="5228" w:type="dxa"/>
            <w:tcBorders>
              <w:bottom w:val="single" w:sz="2" w:space="0" w:color="000000"/>
            </w:tcBorders>
          </w:tcPr>
          <w:p w14:paraId="7EB1D97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07F0F40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4E0890E0" w14:textId="77777777" w:rsidTr="000C3BE1">
        <w:trPr>
          <w:cantSplit/>
        </w:trPr>
        <w:tc>
          <w:tcPr>
            <w:tcW w:w="5228" w:type="dxa"/>
            <w:tcBorders>
              <w:bottom w:val="single" w:sz="2" w:space="0" w:color="000000"/>
            </w:tcBorders>
          </w:tcPr>
          <w:p w14:paraId="158C618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458658C6"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CFC7C28" w14:textId="77777777" w:rsidTr="000C3BE1">
        <w:trPr>
          <w:cantSplit/>
        </w:trPr>
        <w:tc>
          <w:tcPr>
            <w:tcW w:w="5228" w:type="dxa"/>
            <w:tcBorders>
              <w:bottom w:val="single" w:sz="2" w:space="0" w:color="000000"/>
            </w:tcBorders>
          </w:tcPr>
          <w:p w14:paraId="39AABF43"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67837A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DDBC7F3" w14:textId="77777777" w:rsidTr="000C3BE1">
        <w:trPr>
          <w:cantSplit/>
        </w:trPr>
        <w:tc>
          <w:tcPr>
            <w:tcW w:w="5228" w:type="dxa"/>
            <w:tcBorders>
              <w:bottom w:val="single" w:sz="2" w:space="0" w:color="000000"/>
            </w:tcBorders>
          </w:tcPr>
          <w:p w14:paraId="6D33C69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7657B586"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14AB1D31" w14:textId="77777777" w:rsidTr="000C3BE1">
        <w:trPr>
          <w:cantSplit/>
          <w:trHeight w:val="143"/>
        </w:trPr>
        <w:tc>
          <w:tcPr>
            <w:tcW w:w="5228" w:type="dxa"/>
            <w:tcBorders>
              <w:bottom w:val="single" w:sz="2" w:space="0" w:color="000000"/>
            </w:tcBorders>
          </w:tcPr>
          <w:p w14:paraId="139268E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72CF4586"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34159B63" w14:textId="77777777" w:rsidTr="000C3BE1">
        <w:trPr>
          <w:cantSplit/>
          <w:trHeight w:val="25"/>
        </w:trPr>
        <w:tc>
          <w:tcPr>
            <w:tcW w:w="5228" w:type="dxa"/>
          </w:tcPr>
          <w:p w14:paraId="038BAFDB"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0E609E0" w14:textId="6F9237C2"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PDF</w:t>
            </w:r>
            <w:r w:rsidR="00141ACE" w:rsidRPr="00706F03">
              <w:rPr>
                <w:rFonts w:cs="Times New Roman"/>
                <w:sz w:val="22"/>
                <w:szCs w:val="22"/>
              </w:rPr>
              <w:t xml:space="preserve"> </w:t>
            </w:r>
            <w:r w:rsidRPr="00706F03">
              <w:rPr>
                <w:rFonts w:cs="Times New Roman"/>
                <w:sz w:val="22"/>
                <w:szCs w:val="22"/>
              </w:rPr>
              <w:t>下載連結</w:t>
            </w:r>
          </w:p>
        </w:tc>
      </w:tr>
    </w:tbl>
    <w:p w14:paraId="3BF6E39B" w14:textId="77777777" w:rsidR="00B66EDF" w:rsidRPr="00706F03" w:rsidRDefault="00B66EDF" w:rsidP="0004071A">
      <w:pPr>
        <w:spacing w:after="0" w:line="276" w:lineRule="auto"/>
        <w:ind w:firstLine="0"/>
        <w:outlineLvl w:val="0"/>
        <w:rPr>
          <w:rFonts w:cs="Times New Roman"/>
          <w:sz w:val="28"/>
          <w:szCs w:val="28"/>
        </w:rPr>
      </w:pPr>
    </w:p>
    <w:p w14:paraId="09868575"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08BA8C4F" w14:textId="77777777" w:rsidR="00650924" w:rsidRPr="00706F03" w:rsidRDefault="0065092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3.3 </w:t>
      </w:r>
      <w:r w:rsidR="00E81A55" w:rsidRPr="00706F03">
        <w:rPr>
          <w:rFonts w:ascii="Times New Roman" w:eastAsia="標楷體" w:hAnsi="Times New Roman" w:cs="Times New Roman"/>
          <w:color w:val="auto"/>
          <w:szCs w:val="28"/>
        </w:rPr>
        <w:t>智慧財產權案件篩選與文本前處理</w:t>
      </w:r>
    </w:p>
    <w:p w14:paraId="77A56C04" w14:textId="4866F34D" w:rsidR="00E81A55" w:rsidRPr="00706F03" w:rsidRDefault="00E81A55" w:rsidP="0004071A">
      <w:pPr>
        <w:spacing w:line="276" w:lineRule="auto"/>
        <w:outlineLvl w:val="0"/>
        <w:rPr>
          <w:rFonts w:cs="Times New Roman"/>
          <w:szCs w:val="28"/>
        </w:rPr>
      </w:pPr>
      <w:r w:rsidRPr="00706F03">
        <w:rPr>
          <w:rFonts w:cs="Times New Roman"/>
          <w:szCs w:val="28"/>
        </w:rPr>
        <w:t>本研究首先透過</w:t>
      </w:r>
      <w:r w:rsidR="00961BBF" w:rsidRPr="00706F03">
        <w:rPr>
          <w:rFonts w:cs="Times New Roman"/>
          <w:szCs w:val="28"/>
        </w:rPr>
        <w:t>正則表達式（</w:t>
      </w:r>
      <w:r w:rsidR="00961BBF" w:rsidRPr="00706F03">
        <w:rPr>
          <w:rFonts w:cs="Times New Roman"/>
          <w:szCs w:val="28"/>
        </w:rPr>
        <w:t>regular expression</w:t>
      </w:r>
      <w:r w:rsidR="00961BBF" w:rsidRPr="00706F03">
        <w:rPr>
          <w:rFonts w:cs="Times New Roman"/>
          <w:szCs w:val="28"/>
        </w:rPr>
        <w:t>）</w:t>
      </w:r>
      <w:r w:rsidRPr="00706F03">
        <w:rPr>
          <w:rFonts w:cs="Times New Roman"/>
          <w:szCs w:val="28"/>
        </w:rPr>
        <w:t>篩選智慧財產權相關案件。篩選條件包含兩類：第一，若</w:t>
      </w:r>
      <w:r w:rsidRPr="00706F03">
        <w:rPr>
          <w:rFonts w:cs="Times New Roman"/>
          <w:szCs w:val="28"/>
        </w:rPr>
        <w:t xml:space="preserve"> JTITLE </w:t>
      </w:r>
      <w:r w:rsidRPr="00706F03">
        <w:rPr>
          <w:rFonts w:cs="Times New Roman"/>
          <w:szCs w:val="28"/>
        </w:rPr>
        <w:t>中出現智慧財產權相關字詞，則歸類為智慧財產權相關案件；第二，若</w:t>
      </w:r>
      <w:r w:rsidRPr="00706F03">
        <w:rPr>
          <w:rFonts w:cs="Times New Roman"/>
          <w:szCs w:val="28"/>
        </w:rPr>
        <w:t xml:space="preserve"> JCASE </w:t>
      </w:r>
      <w:r w:rsidRPr="00706F03">
        <w:rPr>
          <w:rFonts w:cs="Times New Roman"/>
          <w:szCs w:val="28"/>
        </w:rPr>
        <w:t>中含有「智」字，亦納入智慧財產權相關案件之初步篩選範圍。</w:t>
      </w:r>
      <w:r w:rsidR="00D60AE9" w:rsidRPr="00706F03">
        <w:rPr>
          <w:rFonts w:cs="Times New Roman" w:hint="eastAsia"/>
          <w:szCs w:val="28"/>
        </w:rPr>
        <w:t>共有</w:t>
      </w:r>
      <w:r w:rsidR="001707F2" w:rsidRPr="00706F03">
        <w:rPr>
          <w:rFonts w:cs="Times New Roman" w:hint="eastAsia"/>
          <w:szCs w:val="28"/>
        </w:rPr>
        <w:t xml:space="preserve"> </w:t>
      </w:r>
      <w:r w:rsidR="00D60AE9" w:rsidRPr="00706F03">
        <w:rPr>
          <w:rFonts w:cs="Times New Roman" w:hint="eastAsia"/>
          <w:szCs w:val="28"/>
        </w:rPr>
        <w:t>90,027</w:t>
      </w:r>
      <w:r w:rsidR="00141ACE" w:rsidRPr="00706F03">
        <w:rPr>
          <w:rFonts w:cs="Times New Roman"/>
          <w:szCs w:val="28"/>
        </w:rPr>
        <w:t xml:space="preserve"> </w:t>
      </w:r>
      <w:r w:rsidR="00D60AE9" w:rsidRPr="00706F03">
        <w:rPr>
          <w:rFonts w:cs="Times New Roman" w:hint="eastAsia"/>
          <w:szCs w:val="28"/>
        </w:rPr>
        <w:t>篇裁判書檔案。</w:t>
      </w:r>
    </w:p>
    <w:p w14:paraId="202DD3EF" w14:textId="77777777" w:rsidR="00E81A55" w:rsidRPr="00706F03" w:rsidRDefault="00E81A55" w:rsidP="0004071A">
      <w:pPr>
        <w:spacing w:line="276" w:lineRule="auto"/>
        <w:outlineLvl w:val="0"/>
        <w:rPr>
          <w:rFonts w:cs="Times New Roman"/>
          <w:szCs w:val="28"/>
        </w:rPr>
      </w:pPr>
      <w:r w:rsidRPr="00706F03">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192842AE"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w:t>
      </w:r>
      <w:r w:rsidRPr="00706F03">
        <w:rPr>
          <w:rFonts w:cs="Times New Roman"/>
          <w:szCs w:val="28"/>
        </w:rPr>
        <w:lastRenderedPageBreak/>
        <w:t>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Jieba stop words </w:t>
      </w:r>
      <w:r w:rsidRPr="00706F03">
        <w:rPr>
          <w:rFonts w:cs="Times New Roman"/>
          <w:szCs w:val="28"/>
        </w:rPr>
        <w:t>字典移除停用詞，以降低常見但缺乏分類意義之詞彙對模型造成干擾。在斷詞方面，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3892D24C" w14:textId="77777777" w:rsidR="00BF71D8" w:rsidRPr="00706F03" w:rsidRDefault="00BF71D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3.4 </w:t>
      </w:r>
      <w:r w:rsidRPr="00706F03">
        <w:rPr>
          <w:rFonts w:ascii="Times New Roman" w:eastAsia="標楷體" w:hAnsi="Times New Roman" w:cs="Times New Roman"/>
          <w:color w:val="auto"/>
          <w:szCs w:val="28"/>
        </w:rPr>
        <w:t>樣本篩選、標籤整理與樣本分布</w:t>
      </w:r>
    </w:p>
    <w:p w14:paraId="739A7337"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0742FB5F" w14:textId="3090A62B"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FB21EB0"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5F50221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w:t>
      </w:r>
      <w:r w:rsidRPr="00706F03">
        <w:rPr>
          <w:rFonts w:cs="Times New Roman"/>
        </w:rPr>
        <w:lastRenderedPageBreak/>
        <w:t>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706F03">
        <w:rPr>
          <w:rFonts w:cs="Times New Roman"/>
        </w:rPr>
        <w:t>（司法院，</w:t>
      </w:r>
      <w:r w:rsidR="003F5CB6" w:rsidRPr="00706F03">
        <w:rPr>
          <w:rFonts w:cs="Times New Roman"/>
        </w:rPr>
        <w:t>2025</w:t>
      </w:r>
      <w:r w:rsidR="00B16311" w:rsidRPr="00706F03">
        <w:rPr>
          <w:rFonts w:cs="Times New Roman"/>
        </w:rPr>
        <w:t>）</w:t>
      </w:r>
      <w:r w:rsidRPr="00706F03">
        <w:rPr>
          <w:rFonts w:cs="Times New Roman"/>
        </w:rPr>
        <w:t>。</w:t>
      </w:r>
    </w:p>
    <w:p w14:paraId="203902F5"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46333DBB"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36D408C6"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7F616599"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af3"/>
        <w:tblW w:w="5151"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27D313C9" w14:textId="77777777" w:rsidTr="000C3BE1">
        <w:trPr>
          <w:cantSplit/>
        </w:trPr>
        <w:tc>
          <w:tcPr>
            <w:tcW w:w="1523" w:type="dxa"/>
            <w:tcBorders>
              <w:bottom w:val="single" w:sz="2" w:space="0" w:color="000000"/>
            </w:tcBorders>
          </w:tcPr>
          <w:p w14:paraId="56839E55"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125E178C"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3EBA0238"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00F3E63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016231F3" w14:textId="77777777" w:rsidTr="000C3BE1">
        <w:trPr>
          <w:cantSplit/>
        </w:trPr>
        <w:tc>
          <w:tcPr>
            <w:tcW w:w="1523" w:type="dxa"/>
            <w:tcBorders>
              <w:bottom w:val="single" w:sz="2" w:space="0" w:color="000000"/>
            </w:tcBorders>
          </w:tcPr>
          <w:p w14:paraId="67AAD704"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2007A75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60AC299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47C5914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0F01E4A9" w14:textId="77777777" w:rsidTr="000C3BE1">
        <w:trPr>
          <w:cantSplit/>
        </w:trPr>
        <w:tc>
          <w:tcPr>
            <w:tcW w:w="1523" w:type="dxa"/>
            <w:tcBorders>
              <w:bottom w:val="single" w:sz="2" w:space="0" w:color="000000"/>
            </w:tcBorders>
          </w:tcPr>
          <w:p w14:paraId="2F22E7C2"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6921C4F5"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4F8DDB4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10224D73"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72B129BE" w14:textId="77777777" w:rsidTr="000C3BE1">
        <w:trPr>
          <w:cantSplit/>
        </w:trPr>
        <w:tc>
          <w:tcPr>
            <w:tcW w:w="1523" w:type="dxa"/>
            <w:tcBorders>
              <w:bottom w:val="single" w:sz="2" w:space="0" w:color="000000"/>
            </w:tcBorders>
          </w:tcPr>
          <w:p w14:paraId="56ADDD7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67170A2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79ED8322"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27CCB1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26D77384" w14:textId="77777777" w:rsidTr="000C3BE1">
        <w:trPr>
          <w:cantSplit/>
        </w:trPr>
        <w:tc>
          <w:tcPr>
            <w:tcW w:w="1523" w:type="dxa"/>
          </w:tcPr>
          <w:p w14:paraId="119B5F0E"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109A4779"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B4A6F5"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7275A8BE"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32775769" w14:textId="77777777" w:rsidR="00BF71D8" w:rsidRPr="00706F03" w:rsidRDefault="00BF71D8" w:rsidP="0004071A">
      <w:pPr>
        <w:spacing w:line="276" w:lineRule="auto"/>
        <w:ind w:firstLine="0"/>
        <w:outlineLvl w:val="0"/>
        <w:rPr>
          <w:rFonts w:cs="Times New Roman"/>
        </w:rPr>
      </w:pPr>
    </w:p>
    <w:p w14:paraId="2761236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5498BCA0" w14:textId="77777777" w:rsidR="006D0B58" w:rsidRPr="00706F03" w:rsidRDefault="006D0B58" w:rsidP="0004071A">
      <w:pPr>
        <w:spacing w:line="276" w:lineRule="auto"/>
        <w:outlineLvl w:val="0"/>
        <w:rPr>
          <w:rFonts w:cs="Times New Roman"/>
        </w:rPr>
      </w:pPr>
      <w:r w:rsidRPr="00706F03">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02893087" w14:textId="77777777" w:rsidR="00BF71D8" w:rsidRPr="00706F0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、不重要案件，以及其他無法明確分類之案件，皆未納入後續模型分析。此一篩選方式可使分類任務聚焦於案件類型較為明確，且具備足夠樣本數可供模型訓練與比較之資料。在裁判結果方面，本研究將</w:t>
      </w:r>
      <w:r w:rsidR="00FB5D44" w:rsidRPr="00706F03">
        <w:rPr>
          <w:rFonts w:cs="Times New Roman" w:hint="eastAsia"/>
        </w:rPr>
        <w:t>結果</w:t>
      </w:r>
      <w:r w:rsidRPr="00706F03">
        <w:rPr>
          <w:rFonts w:cs="Times New Roman"/>
        </w:rPr>
        <w:t>標籤整理為三類，分別為敗訴、部分勝訴與勝訴。其對應至程式資料中的</w:t>
      </w:r>
      <w:r w:rsidRPr="00706F03">
        <w:rPr>
          <w:rFonts w:cs="Times New Roman"/>
        </w:rPr>
        <w:t xml:space="preserve"> VERDICT </w:t>
      </w:r>
      <w:r w:rsidRPr="00706F03">
        <w:rPr>
          <w:rFonts w:cs="Times New Roman"/>
        </w:rPr>
        <w:t>欄位，分別為</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。其他裁判結果類型，例如</w:t>
      </w:r>
      <w:r w:rsidRPr="00706F03">
        <w:rPr>
          <w:rFonts w:cs="Times New Roman"/>
        </w:rPr>
        <w:t xml:space="preserve"> Other</w:t>
      </w:r>
      <w:r w:rsidRPr="00706F03">
        <w:rPr>
          <w:rFonts w:cs="Times New Roman"/>
        </w:rPr>
        <w:t>、</w:t>
      </w:r>
      <w:r w:rsidRPr="00706F03">
        <w:rPr>
          <w:rFonts w:cs="Times New Roman"/>
        </w:rPr>
        <w:t>Remand</w:t>
      </w:r>
      <w:r w:rsidRPr="00706F03">
        <w:rPr>
          <w:rFonts w:cs="Times New Roman"/>
        </w:rPr>
        <w:t>、</w:t>
      </w:r>
      <w:r w:rsidRPr="00706F03">
        <w:rPr>
          <w:rFonts w:cs="Times New Roman"/>
        </w:rPr>
        <w:t>Settlement_Partial</w:t>
      </w:r>
      <w:r w:rsidRPr="00706F03">
        <w:rPr>
          <w:rFonts w:cs="Times New Roman"/>
        </w:rPr>
        <w:t>、未知結果與不重要案件，並未納入本研究之分類模型。換言之，本研究所稱之裁判結果分類，並非涵蓋所有可能的裁判結果，而是聚焦於可明確整理為敗訴、部分勝訴與勝訴之案件。</w:t>
      </w:r>
    </w:p>
    <w:p w14:paraId="5DD833DE" w14:textId="77777777" w:rsidR="00B94684" w:rsidRPr="00706F03" w:rsidRDefault="00B94684">
      <w:pPr>
        <w:widowControl/>
        <w:spacing w:after="160" w:line="278" w:lineRule="auto"/>
        <w:ind w:firstLine="0"/>
        <w:jc w:val="left"/>
        <w:rPr>
          <w:rFonts w:cs="Times New Roman"/>
          <w:b/>
          <w:szCs w:val="28"/>
        </w:rPr>
      </w:pPr>
      <w:r w:rsidRPr="00706F03">
        <w:rPr>
          <w:rFonts w:cs="Times New Roman"/>
          <w:b/>
          <w:szCs w:val="28"/>
        </w:rPr>
        <w:br w:type="page"/>
      </w:r>
    </w:p>
    <w:p w14:paraId="64175BD2" w14:textId="6ED78A0E" w:rsidR="00BF71D8" w:rsidRPr="00706F03" w:rsidRDefault="00BF71D8" w:rsidP="0004071A">
      <w:pPr>
        <w:spacing w:line="276" w:lineRule="auto"/>
        <w:rPr>
          <w:rFonts w:cs="Times New Roman"/>
          <w:b/>
          <w:szCs w:val="28"/>
        </w:rPr>
      </w:pPr>
      <w:r w:rsidRPr="00706F03">
        <w:rPr>
          <w:rFonts w:cs="Times New Roman"/>
          <w:b/>
          <w:szCs w:val="28"/>
        </w:rPr>
        <w:lastRenderedPageBreak/>
        <w:t xml:space="preserve">3.4.3 </w:t>
      </w:r>
      <w:r w:rsidRPr="00706F03">
        <w:rPr>
          <w:rFonts w:cs="Times New Roman"/>
          <w:b/>
          <w:szCs w:val="28"/>
        </w:rPr>
        <w:t>樣本分布</w:t>
      </w:r>
    </w:p>
    <w:p w14:paraId="6DBAB2BA"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3-3 </w:t>
      </w:r>
      <w:r w:rsidRPr="00706F03">
        <w:rPr>
          <w:rFonts w:cs="Times New Roman"/>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6F2A6AA5" w14:textId="5D35A2FD"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2891C5CF">
            <wp:extent cx="5400040" cy="3150023"/>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94A273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3CD02D32"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3-3 </w:t>
      </w:r>
      <w:r w:rsidRPr="00706F03">
        <w:rPr>
          <w:rFonts w:cs="Times New Roman"/>
          <w:b/>
          <w:sz w:val="22"/>
          <w:szCs w:val="22"/>
        </w:rPr>
        <w:t>案件類型與裁判結果分布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770111E4" w14:textId="77777777" w:rsidTr="000C3BE1">
        <w:trPr>
          <w:cantSplit/>
        </w:trPr>
        <w:tc>
          <w:tcPr>
            <w:tcW w:w="2127" w:type="dxa"/>
            <w:tcBorders>
              <w:bottom w:val="single" w:sz="2" w:space="0" w:color="000000"/>
            </w:tcBorders>
          </w:tcPr>
          <w:p w14:paraId="1962AF6F"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79F0E7BF"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29F793F5"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19F3E45D"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3C8C8CC4"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0A2D009" w14:textId="77777777" w:rsidTr="000C3BE1">
        <w:trPr>
          <w:cantSplit/>
        </w:trPr>
        <w:tc>
          <w:tcPr>
            <w:tcW w:w="2127" w:type="dxa"/>
            <w:tcBorders>
              <w:bottom w:val="single" w:sz="2" w:space="0" w:color="000000"/>
            </w:tcBorders>
          </w:tcPr>
          <w:p w14:paraId="7F185E1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64DED21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32F145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502D740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7AC9F401"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19270C2A" w14:textId="77777777" w:rsidTr="000C3BE1">
        <w:trPr>
          <w:cantSplit/>
        </w:trPr>
        <w:tc>
          <w:tcPr>
            <w:tcW w:w="2127" w:type="dxa"/>
            <w:tcBorders>
              <w:bottom w:val="single" w:sz="2" w:space="0" w:color="000000"/>
            </w:tcBorders>
          </w:tcPr>
          <w:p w14:paraId="7113C4E7"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1E75D7BE"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29E2576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6B3F2FC1"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7217E131"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40F9607" w14:textId="77777777" w:rsidTr="000C3BE1">
        <w:trPr>
          <w:cantSplit/>
        </w:trPr>
        <w:tc>
          <w:tcPr>
            <w:tcW w:w="2127" w:type="dxa"/>
            <w:tcBorders>
              <w:bottom w:val="single" w:sz="2" w:space="0" w:color="000000"/>
            </w:tcBorders>
          </w:tcPr>
          <w:p w14:paraId="0A0A6860"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4C52D86E"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859" w:type="dxa"/>
            <w:tcBorders>
              <w:bottom w:val="single" w:sz="2" w:space="0" w:color="000000"/>
            </w:tcBorders>
          </w:tcPr>
          <w:p w14:paraId="2145DE9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1078E62E"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790" w:type="dxa"/>
            <w:tcBorders>
              <w:bottom w:val="single" w:sz="2" w:space="0" w:color="000000"/>
            </w:tcBorders>
          </w:tcPr>
          <w:p w14:paraId="09232358"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16477445" w14:textId="77777777" w:rsidTr="000C3BE1">
        <w:trPr>
          <w:cantSplit/>
        </w:trPr>
        <w:tc>
          <w:tcPr>
            <w:tcW w:w="2127" w:type="dxa"/>
            <w:tcBorders>
              <w:bottom w:val="single" w:sz="2" w:space="0" w:color="000000"/>
            </w:tcBorders>
          </w:tcPr>
          <w:p w14:paraId="04FB40B8"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35EE92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1C83D3DE"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0863A10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71243D1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66F3D9CF" w14:textId="77777777" w:rsidTr="000C3BE1">
        <w:trPr>
          <w:cantSplit/>
        </w:trPr>
        <w:tc>
          <w:tcPr>
            <w:tcW w:w="2127" w:type="dxa"/>
          </w:tcPr>
          <w:p w14:paraId="4E442C7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2869DFC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39293</w:t>
            </w:r>
          </w:p>
        </w:tc>
        <w:tc>
          <w:tcPr>
            <w:tcW w:w="1859" w:type="dxa"/>
          </w:tcPr>
          <w:p w14:paraId="00BB221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2616F6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3014</w:t>
            </w:r>
          </w:p>
        </w:tc>
        <w:tc>
          <w:tcPr>
            <w:tcW w:w="1790" w:type="dxa"/>
          </w:tcPr>
          <w:p w14:paraId="5A00ACD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33F7BB9B"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3-4 </w:t>
      </w:r>
      <w:r w:rsidRPr="00706F03">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41E5083E"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lastRenderedPageBreak/>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0A7A11B0"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8053447"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4AB34921"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年度區間與案件類型分布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37C24BD7" w14:textId="77777777" w:rsidTr="000C3BE1">
        <w:trPr>
          <w:cantSplit/>
        </w:trPr>
        <w:tc>
          <w:tcPr>
            <w:tcW w:w="2069" w:type="dxa"/>
            <w:tcBorders>
              <w:bottom w:val="single" w:sz="2" w:space="0" w:color="000000"/>
            </w:tcBorders>
          </w:tcPr>
          <w:p w14:paraId="5B095FD0"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1AD8CD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4A00417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06DC184C"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49CD9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w:t>
            </w:r>
            <w:r w:rsidR="00EA4E9F" w:rsidRPr="00706F03">
              <w:rPr>
                <w:rFonts w:cs="Times New Roman"/>
                <w:b/>
                <w:sz w:val="22"/>
                <w:szCs w:val="22"/>
              </w:rPr>
              <w:t>帶</w:t>
            </w:r>
            <w:r w:rsidRPr="00706F03">
              <w:rPr>
                <w:rFonts w:cs="Times New Roman"/>
                <w:b/>
                <w:sz w:val="22"/>
                <w:szCs w:val="22"/>
              </w:rPr>
              <w:t>民事</w:t>
            </w:r>
          </w:p>
        </w:tc>
        <w:tc>
          <w:tcPr>
            <w:tcW w:w="1230" w:type="dxa"/>
            <w:tcBorders>
              <w:bottom w:val="single" w:sz="2" w:space="0" w:color="000000"/>
            </w:tcBorders>
          </w:tcPr>
          <w:p w14:paraId="5053BE8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7090BEDD" w14:textId="77777777" w:rsidTr="000C3BE1">
        <w:trPr>
          <w:cantSplit/>
        </w:trPr>
        <w:tc>
          <w:tcPr>
            <w:tcW w:w="2069" w:type="dxa"/>
            <w:tcBorders>
              <w:bottom w:val="single" w:sz="2" w:space="0" w:color="000000"/>
            </w:tcBorders>
          </w:tcPr>
          <w:p w14:paraId="33E4536B"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59610151"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797C6B45"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52C3705"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C47858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5EDA1CD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728BAFDA" w14:textId="77777777" w:rsidTr="000C3BE1">
        <w:trPr>
          <w:cantSplit/>
        </w:trPr>
        <w:tc>
          <w:tcPr>
            <w:tcW w:w="2069" w:type="dxa"/>
            <w:tcBorders>
              <w:bottom w:val="single" w:sz="2" w:space="0" w:color="000000"/>
            </w:tcBorders>
          </w:tcPr>
          <w:p w14:paraId="7BF719EB"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51AA537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1023</w:t>
            </w:r>
          </w:p>
        </w:tc>
        <w:tc>
          <w:tcPr>
            <w:tcW w:w="1459" w:type="dxa"/>
            <w:tcBorders>
              <w:bottom w:val="single" w:sz="2" w:space="0" w:color="000000"/>
            </w:tcBorders>
          </w:tcPr>
          <w:p w14:paraId="0E50E941"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w:t>
            </w:r>
          </w:p>
        </w:tc>
        <w:tc>
          <w:tcPr>
            <w:tcW w:w="1165" w:type="dxa"/>
            <w:tcBorders>
              <w:bottom w:val="single" w:sz="2" w:space="0" w:color="000000"/>
            </w:tcBorders>
          </w:tcPr>
          <w:p w14:paraId="5111211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1030</w:t>
            </w:r>
          </w:p>
        </w:tc>
        <w:tc>
          <w:tcPr>
            <w:tcW w:w="1984" w:type="dxa"/>
            <w:tcBorders>
              <w:bottom w:val="single" w:sz="2" w:space="0" w:color="000000"/>
            </w:tcBorders>
          </w:tcPr>
          <w:p w14:paraId="192FCF05"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5A25ADDC"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2091</w:t>
            </w:r>
          </w:p>
        </w:tc>
      </w:tr>
      <w:tr w:rsidR="00411048" w:rsidRPr="00706F03" w14:paraId="59BE5C01" w14:textId="77777777" w:rsidTr="000C3BE1">
        <w:trPr>
          <w:cantSplit/>
        </w:trPr>
        <w:tc>
          <w:tcPr>
            <w:tcW w:w="2069" w:type="dxa"/>
            <w:tcBorders>
              <w:bottom w:val="single" w:sz="2" w:space="0" w:color="000000"/>
            </w:tcBorders>
          </w:tcPr>
          <w:p w14:paraId="73E643B7"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63C0B7B1"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4588</w:t>
            </w:r>
          </w:p>
        </w:tc>
        <w:tc>
          <w:tcPr>
            <w:tcW w:w="1459" w:type="dxa"/>
            <w:tcBorders>
              <w:bottom w:val="single" w:sz="2" w:space="0" w:color="000000"/>
            </w:tcBorders>
          </w:tcPr>
          <w:p w14:paraId="7353F70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827</w:t>
            </w:r>
          </w:p>
        </w:tc>
        <w:tc>
          <w:tcPr>
            <w:tcW w:w="1165" w:type="dxa"/>
            <w:tcBorders>
              <w:bottom w:val="single" w:sz="2" w:space="0" w:color="000000"/>
            </w:tcBorders>
          </w:tcPr>
          <w:p w14:paraId="773815A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5838</w:t>
            </w:r>
          </w:p>
        </w:tc>
        <w:tc>
          <w:tcPr>
            <w:tcW w:w="1984" w:type="dxa"/>
            <w:tcBorders>
              <w:bottom w:val="single" w:sz="2" w:space="0" w:color="000000"/>
            </w:tcBorders>
          </w:tcPr>
          <w:p w14:paraId="3DA30F9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w:t>
            </w:r>
          </w:p>
        </w:tc>
        <w:tc>
          <w:tcPr>
            <w:tcW w:w="1230" w:type="dxa"/>
            <w:tcBorders>
              <w:bottom w:val="single" w:sz="2" w:space="0" w:color="000000"/>
            </w:tcBorders>
          </w:tcPr>
          <w:p w14:paraId="339AEE8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11312</w:t>
            </w:r>
          </w:p>
        </w:tc>
      </w:tr>
      <w:tr w:rsidR="00411048" w:rsidRPr="00706F03" w14:paraId="2F3E9454" w14:textId="77777777" w:rsidTr="000C3BE1">
        <w:trPr>
          <w:cantSplit/>
        </w:trPr>
        <w:tc>
          <w:tcPr>
            <w:tcW w:w="2069" w:type="dxa"/>
            <w:tcBorders>
              <w:bottom w:val="single" w:sz="2" w:space="0" w:color="000000"/>
            </w:tcBorders>
          </w:tcPr>
          <w:p w14:paraId="76DC88D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0579E72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0A5E7F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1741</w:t>
            </w:r>
          </w:p>
        </w:tc>
        <w:tc>
          <w:tcPr>
            <w:tcW w:w="1165" w:type="dxa"/>
            <w:tcBorders>
              <w:bottom w:val="single" w:sz="2" w:space="0" w:color="000000"/>
            </w:tcBorders>
          </w:tcPr>
          <w:p w14:paraId="67BFA61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7663</w:t>
            </w:r>
          </w:p>
        </w:tc>
        <w:tc>
          <w:tcPr>
            <w:tcW w:w="1984" w:type="dxa"/>
            <w:tcBorders>
              <w:bottom w:val="single" w:sz="2" w:space="0" w:color="000000"/>
            </w:tcBorders>
          </w:tcPr>
          <w:p w14:paraId="3E52F01C"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418</w:t>
            </w:r>
          </w:p>
        </w:tc>
        <w:tc>
          <w:tcPr>
            <w:tcW w:w="1230" w:type="dxa"/>
            <w:tcBorders>
              <w:bottom w:val="single" w:sz="2" w:space="0" w:color="000000"/>
            </w:tcBorders>
          </w:tcPr>
          <w:p w14:paraId="0ED2276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12674</w:t>
            </w:r>
          </w:p>
        </w:tc>
      </w:tr>
      <w:tr w:rsidR="00411048" w:rsidRPr="00706F03" w14:paraId="1F6B99CD" w14:textId="77777777" w:rsidTr="000C3BE1">
        <w:trPr>
          <w:cantSplit/>
        </w:trPr>
        <w:tc>
          <w:tcPr>
            <w:tcW w:w="2069" w:type="dxa"/>
            <w:tcBorders>
              <w:bottom w:val="single" w:sz="2" w:space="0" w:color="000000"/>
            </w:tcBorders>
          </w:tcPr>
          <w:p w14:paraId="0ECD224D"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6EA997E5"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1700</w:t>
            </w:r>
          </w:p>
        </w:tc>
        <w:tc>
          <w:tcPr>
            <w:tcW w:w="1459" w:type="dxa"/>
            <w:tcBorders>
              <w:bottom w:val="single" w:sz="2" w:space="0" w:color="000000"/>
            </w:tcBorders>
          </w:tcPr>
          <w:p w14:paraId="7B3527AC"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1690</w:t>
            </w:r>
          </w:p>
        </w:tc>
        <w:tc>
          <w:tcPr>
            <w:tcW w:w="1165" w:type="dxa"/>
            <w:tcBorders>
              <w:bottom w:val="single" w:sz="2" w:space="0" w:color="000000"/>
            </w:tcBorders>
          </w:tcPr>
          <w:p w14:paraId="413FD88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6322</w:t>
            </w:r>
          </w:p>
        </w:tc>
        <w:tc>
          <w:tcPr>
            <w:tcW w:w="1984" w:type="dxa"/>
            <w:tcBorders>
              <w:bottom w:val="single" w:sz="2" w:space="0" w:color="000000"/>
            </w:tcBorders>
          </w:tcPr>
          <w:p w14:paraId="4961E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668</w:t>
            </w:r>
          </w:p>
        </w:tc>
        <w:tc>
          <w:tcPr>
            <w:tcW w:w="1230" w:type="dxa"/>
            <w:tcBorders>
              <w:bottom w:val="single" w:sz="2" w:space="0" w:color="000000"/>
            </w:tcBorders>
          </w:tcPr>
          <w:p w14:paraId="4C6024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10380</w:t>
            </w:r>
          </w:p>
        </w:tc>
      </w:tr>
      <w:tr w:rsidR="00411048" w:rsidRPr="00706F03" w14:paraId="59E22DAD" w14:textId="77777777" w:rsidTr="000C3BE1">
        <w:trPr>
          <w:cantSplit/>
        </w:trPr>
        <w:tc>
          <w:tcPr>
            <w:tcW w:w="2069" w:type="dxa"/>
          </w:tcPr>
          <w:p w14:paraId="7DF8139A"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3114FBC0"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1147</w:t>
            </w:r>
          </w:p>
        </w:tc>
        <w:tc>
          <w:tcPr>
            <w:tcW w:w="1459" w:type="dxa"/>
          </w:tcPr>
          <w:p w14:paraId="0D0AB185"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1394</w:t>
            </w:r>
          </w:p>
        </w:tc>
        <w:tc>
          <w:tcPr>
            <w:tcW w:w="1165" w:type="dxa"/>
          </w:tcPr>
          <w:p w14:paraId="6E48FAB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5266</w:t>
            </w:r>
          </w:p>
        </w:tc>
        <w:tc>
          <w:tcPr>
            <w:tcW w:w="1984" w:type="dxa"/>
          </w:tcPr>
          <w:p w14:paraId="00C6BEDC"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632</w:t>
            </w:r>
          </w:p>
        </w:tc>
        <w:tc>
          <w:tcPr>
            <w:tcW w:w="1230" w:type="dxa"/>
          </w:tcPr>
          <w:p w14:paraId="6394ADF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8439</w:t>
            </w:r>
          </w:p>
        </w:tc>
      </w:tr>
    </w:tbl>
    <w:p w14:paraId="54FF2874"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3-5 </w:t>
      </w:r>
      <w:r w:rsidRPr="00706F03">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5BBFC57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3-5 </w:t>
      </w:r>
      <w:r w:rsidRPr="00706F03">
        <w:rPr>
          <w:rFonts w:cs="Times New Roman"/>
          <w:b/>
          <w:sz w:val="22"/>
          <w:szCs w:val="22"/>
        </w:rPr>
        <w:t>年度區間與裁判結果比例</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3967F295" w14:textId="77777777" w:rsidTr="000C3BE1">
        <w:trPr>
          <w:cantSplit/>
        </w:trPr>
        <w:tc>
          <w:tcPr>
            <w:tcW w:w="1954" w:type="dxa"/>
            <w:tcBorders>
              <w:bottom w:val="single" w:sz="2" w:space="0" w:color="000000"/>
            </w:tcBorders>
          </w:tcPr>
          <w:p w14:paraId="6707C344"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2FDB01C3"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7FDF6B8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392E1EFF"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27C324D1" w14:textId="77777777" w:rsidTr="000C3BE1">
        <w:trPr>
          <w:cantSplit/>
        </w:trPr>
        <w:tc>
          <w:tcPr>
            <w:tcW w:w="1954" w:type="dxa"/>
            <w:tcBorders>
              <w:bottom w:val="single" w:sz="2" w:space="0" w:color="000000"/>
            </w:tcBorders>
          </w:tcPr>
          <w:p w14:paraId="63D1FEB7"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0A25A25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c>
          <w:tcPr>
            <w:tcW w:w="1983" w:type="dxa"/>
            <w:tcBorders>
              <w:bottom w:val="single" w:sz="2" w:space="0" w:color="000000"/>
            </w:tcBorders>
          </w:tcPr>
          <w:p w14:paraId="60D21170"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75F3DF1C"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r>
      <w:tr w:rsidR="00144B2A" w:rsidRPr="00706F03" w14:paraId="3C80CB4B" w14:textId="77777777" w:rsidTr="000C3BE1">
        <w:trPr>
          <w:cantSplit/>
        </w:trPr>
        <w:tc>
          <w:tcPr>
            <w:tcW w:w="1954" w:type="dxa"/>
            <w:tcBorders>
              <w:bottom w:val="single" w:sz="2" w:space="0" w:color="000000"/>
            </w:tcBorders>
          </w:tcPr>
          <w:p w14:paraId="04683248"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2C5DAB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87.5%</w:t>
            </w:r>
          </w:p>
        </w:tc>
        <w:tc>
          <w:tcPr>
            <w:tcW w:w="1983" w:type="dxa"/>
            <w:tcBorders>
              <w:bottom w:val="single" w:sz="2" w:space="0" w:color="000000"/>
            </w:tcBorders>
          </w:tcPr>
          <w:p w14:paraId="207BDD73"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4AEB35E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11.3%</w:t>
            </w:r>
          </w:p>
        </w:tc>
      </w:tr>
      <w:tr w:rsidR="00144B2A" w:rsidRPr="00706F03" w14:paraId="38C211CE" w14:textId="77777777" w:rsidTr="000C3BE1">
        <w:trPr>
          <w:cantSplit/>
        </w:trPr>
        <w:tc>
          <w:tcPr>
            <w:tcW w:w="1954" w:type="dxa"/>
            <w:tcBorders>
              <w:bottom w:val="single" w:sz="2" w:space="0" w:color="000000"/>
            </w:tcBorders>
          </w:tcPr>
          <w:p w14:paraId="3403E24D"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140D669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89.2%</w:t>
            </w:r>
          </w:p>
        </w:tc>
        <w:tc>
          <w:tcPr>
            <w:tcW w:w="1983" w:type="dxa"/>
            <w:tcBorders>
              <w:bottom w:val="single" w:sz="2" w:space="0" w:color="000000"/>
            </w:tcBorders>
          </w:tcPr>
          <w:p w14:paraId="61254E53"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6F3AAB14"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6.8%</w:t>
            </w:r>
          </w:p>
        </w:tc>
      </w:tr>
      <w:tr w:rsidR="00144B2A" w:rsidRPr="00706F03" w14:paraId="66C4AD84" w14:textId="77777777" w:rsidTr="000C3BE1">
        <w:trPr>
          <w:cantSplit/>
        </w:trPr>
        <w:tc>
          <w:tcPr>
            <w:tcW w:w="1954" w:type="dxa"/>
            <w:tcBorders>
              <w:bottom w:val="single" w:sz="2" w:space="0" w:color="000000"/>
            </w:tcBorders>
          </w:tcPr>
          <w:p w14:paraId="0831E946"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7DCEE94F"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87.2%</w:t>
            </w:r>
          </w:p>
        </w:tc>
        <w:tc>
          <w:tcPr>
            <w:tcW w:w="1983" w:type="dxa"/>
            <w:tcBorders>
              <w:bottom w:val="single" w:sz="2" w:space="0" w:color="000000"/>
            </w:tcBorders>
          </w:tcPr>
          <w:p w14:paraId="05D9757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w:t>
            </w:r>
          </w:p>
        </w:tc>
        <w:tc>
          <w:tcPr>
            <w:tcW w:w="1955" w:type="dxa"/>
            <w:tcBorders>
              <w:bottom w:val="single" w:sz="2" w:space="0" w:color="000000"/>
            </w:tcBorders>
          </w:tcPr>
          <w:p w14:paraId="027BE9C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6.5%</w:t>
            </w:r>
          </w:p>
        </w:tc>
      </w:tr>
      <w:tr w:rsidR="00144B2A" w:rsidRPr="00706F03" w14:paraId="1CD87760" w14:textId="77777777" w:rsidTr="000C3BE1">
        <w:trPr>
          <w:cantSplit/>
        </w:trPr>
        <w:tc>
          <w:tcPr>
            <w:tcW w:w="1954" w:type="dxa"/>
            <w:tcBorders>
              <w:bottom w:val="single" w:sz="2" w:space="0" w:color="000000"/>
            </w:tcBorders>
          </w:tcPr>
          <w:p w14:paraId="22419792"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496074C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84.3%</w:t>
            </w:r>
          </w:p>
        </w:tc>
        <w:tc>
          <w:tcPr>
            <w:tcW w:w="1983" w:type="dxa"/>
            <w:tcBorders>
              <w:bottom w:val="single" w:sz="2" w:space="0" w:color="000000"/>
            </w:tcBorders>
          </w:tcPr>
          <w:p w14:paraId="146C2393"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9.0%</w:t>
            </w:r>
          </w:p>
        </w:tc>
        <w:tc>
          <w:tcPr>
            <w:tcW w:w="1955" w:type="dxa"/>
            <w:tcBorders>
              <w:bottom w:val="single" w:sz="2" w:space="0" w:color="000000"/>
            </w:tcBorders>
          </w:tcPr>
          <w:p w14:paraId="139D83DD"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6.8%</w:t>
            </w:r>
          </w:p>
        </w:tc>
      </w:tr>
      <w:tr w:rsidR="00144B2A" w:rsidRPr="00706F03" w14:paraId="5C131C70" w14:textId="77777777" w:rsidTr="000C3BE1">
        <w:trPr>
          <w:cantSplit/>
        </w:trPr>
        <w:tc>
          <w:tcPr>
            <w:tcW w:w="1954" w:type="dxa"/>
          </w:tcPr>
          <w:p w14:paraId="3768594B"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9366DA9"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84.8%</w:t>
            </w:r>
          </w:p>
        </w:tc>
        <w:tc>
          <w:tcPr>
            <w:tcW w:w="1983" w:type="dxa"/>
          </w:tcPr>
          <w:p w14:paraId="7819B6F2"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0D8C57DB"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5.4%</w:t>
            </w:r>
          </w:p>
        </w:tc>
      </w:tr>
    </w:tbl>
    <w:p w14:paraId="6436D126"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26027E31"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1D4CB356" w14:textId="20451971"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2288ADD4"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各案件類型高卡方特徵分布</w:t>
      </w:r>
    </w:p>
    <w:p w14:paraId="708171B5"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不同案件類型之代表性詞彙分佈</w:t>
      </w:r>
    </w:p>
    <w:p w14:paraId="30F428D6"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21CF6BCA"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2D66FA41" w14:textId="77777777" w:rsidR="00523799" w:rsidRPr="00706F03" w:rsidRDefault="00523799"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3.5 </w:t>
      </w:r>
      <w:r w:rsidRPr="00706F03">
        <w:rPr>
          <w:rFonts w:ascii="Times New Roman" w:eastAsia="標楷體" w:hAnsi="Times New Roman" w:cs="Times New Roman"/>
          <w:color w:val="auto"/>
          <w:szCs w:val="28"/>
        </w:rPr>
        <w:t>文字特徵建構</w:t>
      </w:r>
    </w:p>
    <w:p w14:paraId="629B493B"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7A55506B"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r w:rsidR="00120A33" w:rsidRPr="00706F03">
        <w:rPr>
          <w:rFonts w:cs="Times New Roman"/>
          <w:b/>
          <w:szCs w:val="28"/>
        </w:rPr>
        <w:t>BoW</w:t>
      </w:r>
      <w:r w:rsidR="00120A33" w:rsidRPr="00706F03">
        <w:rPr>
          <w:rFonts w:cs="Times New Roman"/>
          <w:b/>
          <w:szCs w:val="28"/>
        </w:rPr>
        <w:t>）</w:t>
      </w:r>
    </w:p>
    <w:p w14:paraId="35FB1FF8"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BoW </w:t>
      </w:r>
      <w:r w:rsidRPr="00706F03">
        <w:rPr>
          <w:rFonts w:cs="Times New Roman"/>
          <w:szCs w:val="28"/>
        </w:rPr>
        <w:t>可作為本研究的基礎文字特徵表示。</w:t>
      </w:r>
    </w:p>
    <w:p w14:paraId="7E0633BF"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BoW </w:t>
      </w:r>
      <w:r w:rsidRPr="00706F03">
        <w:rPr>
          <w:rFonts w:cs="Times New Roman"/>
          <w:szCs w:val="28"/>
        </w:rPr>
        <w:t>中的元素可表示為：</w:t>
      </w:r>
    </w:p>
    <w:p w14:paraId="4EFC319A"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3C07CDAB"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1269E21B"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0313D624"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BoW </w:t>
      </w:r>
      <w:r w:rsidRPr="00706F03">
        <w:rPr>
          <w:rFonts w:cs="Times New Roman"/>
          <w:szCs w:val="28"/>
        </w:rPr>
        <w:t>文件－詞彙矩陣：</w:t>
      </w:r>
    </w:p>
    <w:p w14:paraId="2B0ADCA0"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5ABEACC9"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5FF77083"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2A43519"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6095BBF3"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6B583822"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BoW </w:t>
      </w:r>
      <w:r w:rsidRPr="00706F03">
        <w:rPr>
          <w:rFonts w:cs="Times New Roman"/>
          <w:szCs w:val="28"/>
        </w:rPr>
        <w:t>的基礎上，進一步將詞彙出現次數轉換為該詞彙在單篇文件中的相對次數。</w:t>
      </w:r>
      <w:r w:rsidR="00456D93" w:rsidRPr="00706F03">
        <w:rPr>
          <w:rFonts w:cs="Times New Roman"/>
          <w:szCs w:val="28"/>
        </w:rPr>
        <w:t xml:space="preserve">BoW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326E6EE8"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51A18C2D"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3D8B88A4"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2D05E3CE"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560122B6"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049D87E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A73259F" w14:textId="29D2B0A2"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代表由所有裁判書所形成的</w:t>
      </w:r>
      <w:r w:rsidRPr="00706F03">
        <w:rPr>
          <w:rFonts w:cs="Times New Roman"/>
          <w:szCs w:val="28"/>
        </w:rPr>
        <w:t xml:space="preserve"> TF </w:t>
      </w:r>
      <w:r w:rsidRPr="00706F03">
        <w:rPr>
          <w:rFonts w:cs="Times New Roman"/>
          <w:szCs w:val="28"/>
        </w:rPr>
        <w:t>文件－詞彙矩陣，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1E771EE7"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5AE94B19"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因此透過逆文件頻率降低常見詞彙的權重，並提高相對少見但可能具有區辨力詞彙的權重。</w:t>
      </w:r>
    </w:p>
    <w:p w14:paraId="42F2ED5A"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smooth_idf</w:t>
      </w:r>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7C88656A"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17A79DE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sublinear_tf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14616D4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78AA05C5"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2DAC53A0"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4710DABF"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6CA49F03"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027516D4"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60F9634F"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5A63B28E"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3DC5CECC"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689B4073"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7045B8A"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TfidfVectorizer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r w:rsidR="001C5A9C" w:rsidRPr="00706F03">
        <w:rPr>
          <w:rFonts w:cs="Times New Roman"/>
          <w:szCs w:val="28"/>
        </w:rPr>
        <w:t>smooth_idf</w:t>
      </w:r>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r w:rsidR="001C5A9C" w:rsidRPr="00706F03">
        <w:rPr>
          <w:rFonts w:cs="Times New Roman"/>
          <w:szCs w:val="28"/>
        </w:rPr>
        <w:t xml:space="preserve">smooth_idf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6D3875D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2A0E194B" w14:textId="77777777" w:rsidR="00925402" w:rsidRPr="00706F03" w:rsidRDefault="00461938"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3240CC" w:rsidRPr="00706F03">
        <w:rPr>
          <w:rFonts w:ascii="Times New Roman" w:eastAsia="標楷體" w:hAnsi="Times New Roman" w:cs="Times New Roman"/>
          <w:color w:val="auto"/>
          <w:szCs w:val="28"/>
        </w:rPr>
        <w:t>6</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卡方特徵選擇</w:t>
      </w:r>
    </w:p>
    <w:p w14:paraId="79ED17B4"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17B33CD8"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5231E609"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lastRenderedPageBreak/>
        <w:t>對</w:t>
      </w:r>
      <w:r w:rsidR="00377F68" w:rsidRPr="00706F03">
        <w:rPr>
          <w:rFonts w:cs="Times New Roman"/>
        </w:rPr>
        <w:t xml:space="preserve"> BoW</w:t>
      </w:r>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5F52D09E"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071A2614"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1133773B"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7E71BB1E"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6C245FF0"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4A8165B6"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6127C3C4"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4D8E2F7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62BEB17B" w14:textId="77777777" w:rsidR="006B546A" w:rsidRPr="00706F03" w:rsidRDefault="006B546A" w:rsidP="0004071A">
      <w:pPr>
        <w:spacing w:line="276" w:lineRule="auto"/>
        <w:rPr>
          <w:rFonts w:cs="Times New Roman"/>
        </w:rPr>
      </w:pPr>
      <w:r w:rsidRPr="00706F03">
        <w:rPr>
          <w:rFonts w:cs="Times New Roman"/>
        </w:rPr>
        <w:lastRenderedPageBreak/>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8AB94B3"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797468C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01E4544B" w14:textId="77777777"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 Raghavan, &amp; Schütze, 2009</w:t>
      </w:r>
      <w:r w:rsidRPr="00706F03">
        <w:rPr>
          <w:rFonts w:cs="Times New Roman"/>
        </w:rPr>
        <w:t>）。本研究亦依此邏輯，將卡方統計量作為高維裁判文本特徵降維的前置步驟。</w:t>
      </w:r>
    </w:p>
    <w:p w14:paraId="2F826523" w14:textId="77777777" w:rsidR="007B2911" w:rsidRPr="00706F03" w:rsidRDefault="007B2911"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3.7 MNIR </w:t>
      </w:r>
      <w:r w:rsidRPr="00706F03">
        <w:rPr>
          <w:rFonts w:ascii="Times New Roman" w:eastAsia="標楷體" w:hAnsi="Times New Roman" w:cs="Times New Roman"/>
          <w:color w:val="auto"/>
          <w:szCs w:val="28"/>
        </w:rPr>
        <w:t>監督式特徵轉換</w:t>
      </w:r>
    </w:p>
    <w:p w14:paraId="386EC9C8"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D3FD4E0"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64D65955" w14:textId="77777777" w:rsidR="008F4871" w:rsidRPr="00706F03" w:rsidRDefault="008F4871" w:rsidP="0066788F">
      <w:pPr>
        <w:spacing w:line="276" w:lineRule="auto"/>
        <w:rPr>
          <w:rFonts w:cs="Times New Roman"/>
          <w:b/>
          <w:szCs w:val="28"/>
        </w:rPr>
      </w:pPr>
      <w:r w:rsidRPr="00706F03">
        <w:rPr>
          <w:rFonts w:cs="Times New Roman"/>
          <w:b/>
          <w:szCs w:val="28"/>
        </w:rPr>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0E2E086B" w14:textId="77777777" w:rsidR="004A2F7A" w:rsidRPr="00706F03" w:rsidRDefault="004A2F7A" w:rsidP="0004071A">
      <w:pPr>
        <w:spacing w:line="276" w:lineRule="auto"/>
        <w:rPr>
          <w:rFonts w:cs="Times New Roman"/>
        </w:rPr>
      </w:pPr>
      <w:r w:rsidRPr="00706F03">
        <w:rPr>
          <w:rFonts w:cs="Times New Roman"/>
        </w:rPr>
        <w:lastRenderedPageBreak/>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1705B1FD"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也就是說，本文不是一開始就問「哪些詞彙可以預測裁判結果」，而是先問「在不同裁判結果下，詞彙分布呈現哪些系統性差異」。若某些詞彙在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x</w:t>
      </w:r>
      <w:r w:rsidR="00E20216" w:rsidRPr="00706F03">
        <w:rPr>
          <w:rFonts w:ascii="Cambria Math" w:hAnsi="Cambria Math" w:cs="Cambria Math"/>
        </w:rPr>
        <w:t>∣</w:t>
      </w:r>
      <w:r w:rsidR="00E20216" w:rsidRPr="00706F03">
        <w:rPr>
          <w:rFonts w:cs="Times New Roman"/>
        </w:rPr>
        <w:t xml:space="preserve">y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5089E477"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550E93DA"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2B4AFE3E" w14:textId="12CEEEC0"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77086783"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18780860"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4FE6010C" w14:textId="77777777" w:rsidR="004A2F7A" w:rsidRPr="00706F03" w:rsidRDefault="004A2F7A" w:rsidP="0004071A">
      <w:pPr>
        <w:spacing w:line="276" w:lineRule="auto"/>
        <w:rPr>
          <w:rFonts w:cs="Times New Roman"/>
        </w:rPr>
      </w:pPr>
      <w:r w:rsidRPr="00706F03">
        <w:rPr>
          <w:rFonts w:cs="Times New Roman"/>
        </w:rPr>
        <w:t>其中：</w:t>
      </w:r>
    </w:p>
    <w:p w14:paraId="45C30FB6"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673E979A"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674ACAA8" w14:textId="77777777" w:rsidR="004A2F7A" w:rsidRPr="00706F03" w:rsidRDefault="004A2F7A" w:rsidP="0004071A">
      <w:pPr>
        <w:spacing w:line="276" w:lineRule="auto"/>
        <w:rPr>
          <w:rFonts w:cs="Times New Roman"/>
        </w:rPr>
      </w:pPr>
      <w:r w:rsidRPr="00706F03">
        <w:rPr>
          <w:rFonts w:cs="Times New Roman"/>
        </w:rPr>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w:t>
      </w:r>
      <w:r w:rsidRPr="00706F03">
        <w:rPr>
          <w:rFonts w:cs="Times New Roman"/>
        </w:rPr>
        <w:lastRenderedPageBreak/>
        <w:t>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3B4D7575"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259FEEF5"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039F0499"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06802206"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7CA5FBB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06B7B7BD"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5110901F" w14:textId="4030F460"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0375D387"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5A40827C"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w:t>
      </w:r>
      <w:r w:rsidRPr="00706F03">
        <w:rPr>
          <w:rFonts w:cs="Times New Roman"/>
        </w:rPr>
        <w:lastRenderedPageBreak/>
        <w:t>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77DAC1D5"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1E4B1313"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41277BC5"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22C4136D"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572A14CA"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046C5B3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4BF3C137"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61484753"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2CE52E0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6F233ABF"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3591B5C9"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模型設定成立下的理論性質。因此，本文對此採取保守解讀：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31F7B85C"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w:t>
      </w:r>
      <w:r w:rsidRPr="00706F03">
        <w:rPr>
          <w:rFonts w:cs="Times New Roman"/>
        </w:rPr>
        <w:lastRenderedPageBreak/>
        <w:t>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0768812F"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F30A0CB" w14:textId="77777777" w:rsidR="00B9506F" w:rsidRPr="00706F03" w:rsidRDefault="00512832"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7B2911" w:rsidRPr="00706F03">
        <w:rPr>
          <w:rFonts w:ascii="Times New Roman" w:eastAsia="標楷體" w:hAnsi="Times New Roman" w:cs="Times New Roman"/>
          <w:color w:val="auto"/>
          <w:szCs w:val="28"/>
        </w:rPr>
        <w:t>8</w:t>
      </w:r>
      <w:r w:rsidRPr="00706F03">
        <w:rPr>
          <w:rFonts w:ascii="Times New Roman" w:eastAsia="標楷體" w:hAnsi="Times New Roman" w:cs="Times New Roman"/>
          <w:color w:val="auto"/>
          <w:szCs w:val="28"/>
        </w:rPr>
        <w:t xml:space="preserve"> </w:t>
      </w:r>
      <w:r w:rsidR="007B2911" w:rsidRPr="00706F03">
        <w:rPr>
          <w:rFonts w:ascii="Times New Roman" w:eastAsia="標楷體" w:hAnsi="Times New Roman" w:cs="Times New Roman"/>
          <w:color w:val="auto"/>
          <w:szCs w:val="28"/>
        </w:rPr>
        <w:t>模型流程設計</w:t>
      </w:r>
    </w:p>
    <w:p w14:paraId="179578D8"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C49BBED" w14:textId="311BEB35"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13BB5B8D"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15B3EBA5"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3263CDFE"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7BF19595"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6AA940CD"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217CFC2B" w14:textId="57B6F66A"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084B653A" w14:textId="2886D570"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LinearSVC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r w:rsidRPr="00706F03">
        <w:rPr>
          <w:rFonts w:cs="Times New Roman" w:hint="eastAsia"/>
          <w:szCs w:val="28"/>
        </w:rPr>
        <w:t>BoW</w:t>
      </w:r>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轉換後，會形成高維且稀疏的文字特徵空間。</w:t>
      </w:r>
      <w:r w:rsidRPr="00706F03">
        <w:rPr>
          <w:rFonts w:cs="Times New Roman" w:hint="eastAsia"/>
          <w:szCs w:val="28"/>
        </w:rPr>
        <w:t>LinearSVC</w:t>
      </w:r>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39E253D4"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3AB6BB97"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0F4765F4" w14:textId="2B2046CB"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411EE9CD" w14:textId="104895EB"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59FC4519"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DF3B1F0"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48FE2691"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591A7578"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71972E7" w14:textId="77777777" w:rsidR="00A13222" w:rsidRPr="00706F03" w:rsidRDefault="00A13222" w:rsidP="0004071A">
      <w:pPr>
        <w:spacing w:line="276" w:lineRule="auto"/>
        <w:outlineLvl w:val="0"/>
        <w:rPr>
          <w:rFonts w:cs="Times New Roman"/>
          <w:szCs w:val="28"/>
        </w:rPr>
      </w:pPr>
      <w:r w:rsidRPr="00706F03">
        <w:rPr>
          <w:rFonts w:cs="Times New Roman"/>
          <w:szCs w:val="28"/>
        </w:rPr>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55DF8B7A" w14:textId="5050CB12"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7BF6B0D1"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41EA388A"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187CE4A"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6201C3A6"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78BB9E2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50B0339C"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12B8CCE7"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6997C9A"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94E131C"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233FF9FB"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6865DFBB"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7450910" w14:textId="77777777" w:rsidR="002E57C8" w:rsidRPr="00706F03" w:rsidRDefault="002E57C8" w:rsidP="0004071A">
      <w:pPr>
        <w:spacing w:line="276" w:lineRule="auto"/>
        <w:outlineLvl w:val="0"/>
        <w:rPr>
          <w:rFonts w:cs="Times New Roman"/>
          <w:szCs w:val="28"/>
        </w:rPr>
      </w:pPr>
      <w:r w:rsidRPr="00706F03">
        <w:rPr>
          <w:rFonts w:cs="Times New Roman"/>
          <w:szCs w:val="28"/>
        </w:rPr>
        <w:lastRenderedPageBreak/>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1E797585"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349E2677"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32367115"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6D9D01E7"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3B5EDB80"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41179C96"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41DEED3A" w14:textId="4BAC0660"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為說明各項評估指標之計算方式，本文先以任一類別</w:t>
      </w:r>
      <w:r w:rsidRPr="00706F03">
        <w:rPr>
          <w:rFonts w:cs="Times New Roman"/>
          <w:szCs w:val="28"/>
        </w:rPr>
        <w:t xml:space="preserve"> </w:t>
      </w:r>
      <m:oMath>
        <m:r>
          <w:rPr>
            <w:rFonts w:ascii="Cambria Math" w:hAnsi="Cambria Math" w:cs="Times New Roman"/>
            <w:szCs w:val="28"/>
          </w:rPr>
          <m:t xml:space="preserve">c </m:t>
        </m:r>
      </m:oMath>
      <w:r w:rsidRPr="00706F03">
        <w:rPr>
          <w:rFonts w:cs="Times New Roman"/>
          <w:szCs w:val="28"/>
        </w:rPr>
        <w:t>為目標類別，說明</w:t>
      </w:r>
      <w:r w:rsidRPr="00706F03">
        <w:rPr>
          <w:rFonts w:cs="Times New Roman"/>
          <w:szCs w:val="28"/>
        </w:rPr>
        <w:t xml:space="preserve"> TP</w:t>
      </w:r>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 xml:space="preserve">FN </w:t>
      </w:r>
      <w:r w:rsidRPr="00706F03">
        <w:rPr>
          <w:rFonts w:cs="Times New Roman"/>
          <w:szCs w:val="28"/>
        </w:rPr>
        <w:t>與</w:t>
      </w:r>
      <w:r w:rsidRPr="00706F03">
        <w:rPr>
          <w:rFonts w:cs="Times New Roman"/>
          <w:szCs w:val="28"/>
        </w:rPr>
        <w:t xml:space="preserve"> TN </w:t>
      </w:r>
      <w:r w:rsidRPr="00706F03">
        <w:rPr>
          <w:rFonts w:cs="Times New Roman"/>
          <w:szCs w:val="28"/>
        </w:rPr>
        <w:t>之判斷邏輯，如表</w:t>
      </w:r>
      <w:r w:rsidRPr="00706F03">
        <w:rPr>
          <w:rFonts w:cs="Times New Roman"/>
          <w:szCs w:val="28"/>
        </w:rPr>
        <w:t xml:space="preserve"> 3-6 </w:t>
      </w:r>
      <w:r w:rsidRPr="00706F03">
        <w:rPr>
          <w:rFonts w:cs="Times New Roman"/>
          <w:szCs w:val="28"/>
        </w:rPr>
        <w:t>所示。</w:t>
      </w:r>
    </w:p>
    <w:p w14:paraId="203F8F88"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3-6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DF70A8E" w14:textId="77777777" w:rsidTr="000C3BE1">
        <w:trPr>
          <w:cantSplit/>
        </w:trPr>
        <w:tc>
          <w:tcPr>
            <w:tcW w:w="0" w:type="auto"/>
            <w:tcBorders>
              <w:bottom w:val="single" w:sz="2" w:space="0" w:color="000000"/>
            </w:tcBorders>
            <w:hideMark/>
          </w:tcPr>
          <w:p w14:paraId="4172167E"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50D5C18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36F400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38AA48F3" w14:textId="77777777" w:rsidTr="000C3BE1">
        <w:trPr>
          <w:cantSplit/>
        </w:trPr>
        <w:tc>
          <w:tcPr>
            <w:tcW w:w="0" w:type="auto"/>
            <w:tcBorders>
              <w:bottom w:val="single" w:sz="2" w:space="0" w:color="000000"/>
            </w:tcBorders>
            <w:hideMark/>
          </w:tcPr>
          <w:p w14:paraId="195CB92A"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15382FFD"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2795CB7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0EFA2DC2" w14:textId="77777777" w:rsidTr="000C3BE1">
        <w:trPr>
          <w:cantSplit/>
        </w:trPr>
        <w:tc>
          <w:tcPr>
            <w:tcW w:w="0" w:type="auto"/>
            <w:hideMark/>
          </w:tcPr>
          <w:p w14:paraId="77BD7421"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3A1D1EBC"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0A30D8CF"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2EBA1391"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w:t>
      </w:r>
      <w:r w:rsidRPr="00706F03">
        <w:rPr>
          <w:rFonts w:cs="Times New Roman"/>
          <w:szCs w:val="28"/>
        </w:rPr>
        <w:t>True Positive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，且模型也正確預測為類別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False Positive</w:t>
      </w:r>
      <w:r w:rsidRPr="00706F03">
        <w:rPr>
          <w:rFonts w:cs="Times New Roman"/>
          <w:szCs w:val="28"/>
        </w:rPr>
        <w:t>）代表實際並非類別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FN</w:t>
      </w:r>
      <w:r w:rsidRPr="00706F03">
        <w:rPr>
          <w:rFonts w:cs="Times New Roman"/>
          <w:szCs w:val="28"/>
        </w:rPr>
        <w:t>（</w:t>
      </w:r>
      <w:r w:rsidRPr="00706F03">
        <w:rPr>
          <w:rFonts w:cs="Times New Roman"/>
          <w:szCs w:val="28"/>
        </w:rPr>
        <w:t>False Negative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TN</w:t>
      </w:r>
      <w:r w:rsidRPr="00706F03">
        <w:rPr>
          <w:rFonts w:cs="Times New Roman"/>
          <w:szCs w:val="28"/>
        </w:rPr>
        <w:t>（</w:t>
      </w:r>
      <w:r w:rsidRPr="00706F03">
        <w:rPr>
          <w:rFonts w:cs="Times New Roman"/>
          <w:szCs w:val="28"/>
        </w:rPr>
        <w:t>True Negative</w:t>
      </w:r>
      <w:r w:rsidRPr="00706F03">
        <w:rPr>
          <w:rFonts w:cs="Times New Roman"/>
          <w:szCs w:val="28"/>
        </w:rPr>
        <w:t>）則代表實際並非類別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，且模型也未預測為類別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004422CA" w:rsidRPr="00706F03">
        <w:rPr>
          <w:rFonts w:cs="Times New Roman"/>
          <w:szCs w:val="28"/>
        </w:rPr>
        <w:t>以本研究三類裁判結果為例，若以</w:t>
      </w:r>
      <w:r w:rsidR="004422CA" w:rsidRPr="00706F03">
        <w:rPr>
          <w:rFonts w:cs="Times New Roman"/>
          <w:szCs w:val="28"/>
        </w:rPr>
        <w:t xml:space="preserve"> Win </w:t>
      </w:r>
      <w:r w:rsidR="004422CA" w:rsidRPr="00706F03">
        <w:rPr>
          <w:rFonts w:cs="Times New Roman"/>
          <w:szCs w:val="28"/>
        </w:rPr>
        <w:t>作為目標類別，則</w:t>
      </w:r>
      <w:r w:rsidR="004422CA" w:rsidRPr="00706F03">
        <w:rPr>
          <w:rFonts w:cs="Times New Roman"/>
          <w:szCs w:val="28"/>
        </w:rPr>
        <w:t xml:space="preserve"> TP </w:t>
      </w:r>
      <w:r w:rsidR="004422CA" w:rsidRPr="00706F03">
        <w:rPr>
          <w:rFonts w:cs="Times New Roman"/>
          <w:szCs w:val="28"/>
        </w:rPr>
        <w:t>代表實際為</w:t>
      </w:r>
      <w:r w:rsidR="004422CA" w:rsidRPr="00706F03">
        <w:rPr>
          <w:rFonts w:cs="Times New Roman"/>
          <w:szCs w:val="28"/>
        </w:rPr>
        <w:t xml:space="preserve"> Win </w:t>
      </w:r>
      <w:r w:rsidR="004422CA" w:rsidRPr="00706F03">
        <w:rPr>
          <w:rFonts w:cs="Times New Roman"/>
          <w:szCs w:val="28"/>
        </w:rPr>
        <w:t>且模型亦預測為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FN </w:t>
      </w:r>
      <w:r w:rsidR="004422CA" w:rsidRPr="00706F03">
        <w:rPr>
          <w:rFonts w:cs="Times New Roman"/>
          <w:szCs w:val="28"/>
        </w:rPr>
        <w:t>代表實際為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338D5BF9"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510E1F12"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25CAD78C"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71BBDFD0"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4F86131E"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659836BE"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B7916DB"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0F6E7E64"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1CF389F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6006EB8"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w:t>
      </w:r>
      <w:r w:rsidRPr="00706F03">
        <w:rPr>
          <w:rFonts w:cs="Times New Roman"/>
          <w:szCs w:val="28"/>
        </w:rPr>
        <w:lastRenderedPageBreak/>
        <w:t>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19A4663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2F1BF2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F3FAC24"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68BB9A8C"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0024D2EA"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FBC1D9F"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r>
          <w:rPr>
            <w:rFonts w:ascii="Cambria Math" w:hAnsi="Cambria Math" w:cs="Times New Roman"/>
            <w:szCs w:val="28"/>
          </w:rPr>
          <m:t>C</m:t>
        </m:r>
      </m:oMath>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m:oMath>
        <m:r>
          <w:rPr>
            <w:rFonts w:ascii="Cambria Math" w:hAnsi="Cambria Math" w:cs="Times New Roman"/>
            <w:szCs w:val="28"/>
          </w:rPr>
          <m:t>C=3</m:t>
        </m:r>
      </m:oMath>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w:t>
      </w:r>
      <w:r w:rsidRPr="00706F03">
        <w:rPr>
          <w:rFonts w:cs="Times New Roman"/>
          <w:szCs w:val="28"/>
        </w:rPr>
        <w:t xml:space="preserve"> Lose </w:t>
      </w:r>
      <w:r w:rsidRPr="00706F03">
        <w:rPr>
          <w:rFonts w:cs="Times New Roman"/>
          <w:szCs w:val="28"/>
        </w:rPr>
        <w:t>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w:p>
    <w:p w14:paraId="0EC9229A"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55411488"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3CBD9427"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3-7 </w:t>
      </w:r>
      <w:r w:rsidRPr="00706F03">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4FE9617A"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w:t>
      </w:r>
      <w:r w:rsidRPr="00706F03">
        <w:rPr>
          <w:rFonts w:cs="Times New Roman"/>
          <w:b/>
          <w:sz w:val="22"/>
          <w:szCs w:val="22"/>
        </w:rPr>
        <w:t>本研究各方法之功能與流程比較</w:t>
      </w:r>
    </w:p>
    <w:tbl>
      <w:tblPr>
        <w:tblStyle w:val="af3"/>
        <w:tblW w:w="4782"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0515D03D" w14:textId="77777777" w:rsidTr="000C3BE1">
        <w:trPr>
          <w:cantSplit/>
        </w:trPr>
        <w:tc>
          <w:tcPr>
            <w:tcW w:w="1509" w:type="dxa"/>
            <w:tcBorders>
              <w:bottom w:val="single" w:sz="2" w:space="0" w:color="000000"/>
            </w:tcBorders>
            <w:hideMark/>
          </w:tcPr>
          <w:p w14:paraId="474D5FD5"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E62586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1DE64215"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2581F161"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3ECFB427" w14:textId="77777777" w:rsidTr="000C3BE1">
        <w:trPr>
          <w:cantSplit/>
        </w:trPr>
        <w:tc>
          <w:tcPr>
            <w:tcW w:w="1509" w:type="dxa"/>
            <w:tcBorders>
              <w:bottom w:val="single" w:sz="2" w:space="0" w:color="000000"/>
            </w:tcBorders>
            <w:hideMark/>
          </w:tcPr>
          <w:p w14:paraId="30E257E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BoW</w:t>
            </w:r>
          </w:p>
        </w:tc>
        <w:tc>
          <w:tcPr>
            <w:tcW w:w="1812" w:type="dxa"/>
            <w:tcBorders>
              <w:bottom w:val="single" w:sz="2" w:space="0" w:color="000000"/>
            </w:tcBorders>
            <w:hideMark/>
          </w:tcPr>
          <w:p w14:paraId="7653050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69F565D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064FCF4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043BBB96" w14:textId="77777777" w:rsidTr="000C3BE1">
        <w:trPr>
          <w:cantSplit/>
        </w:trPr>
        <w:tc>
          <w:tcPr>
            <w:tcW w:w="1509" w:type="dxa"/>
            <w:tcBorders>
              <w:bottom w:val="single" w:sz="2" w:space="0" w:color="000000"/>
            </w:tcBorders>
            <w:hideMark/>
          </w:tcPr>
          <w:p w14:paraId="413F227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2E1946E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1AC2F8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44BC3B4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288C52DF" w14:textId="77777777" w:rsidTr="000C3BE1">
        <w:trPr>
          <w:cantSplit/>
        </w:trPr>
        <w:tc>
          <w:tcPr>
            <w:tcW w:w="1509" w:type="dxa"/>
            <w:tcBorders>
              <w:bottom w:val="single" w:sz="2" w:space="0" w:color="000000"/>
            </w:tcBorders>
            <w:hideMark/>
          </w:tcPr>
          <w:p w14:paraId="02982F54"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235C681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2B11BAC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6238651F"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5F7CD9BD" w14:textId="77777777" w:rsidTr="000C3BE1">
        <w:trPr>
          <w:cantSplit/>
        </w:trPr>
        <w:tc>
          <w:tcPr>
            <w:tcW w:w="1509" w:type="dxa"/>
            <w:tcBorders>
              <w:bottom w:val="single" w:sz="2" w:space="0" w:color="000000"/>
            </w:tcBorders>
            <w:hideMark/>
          </w:tcPr>
          <w:p w14:paraId="2A53EB1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06F708E"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7E3DDA3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5E86524" w14:textId="217D7EF2"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0AB34943" w14:textId="77777777" w:rsidTr="000C3BE1">
        <w:trPr>
          <w:cantSplit/>
        </w:trPr>
        <w:tc>
          <w:tcPr>
            <w:tcW w:w="1509" w:type="dxa"/>
            <w:tcBorders>
              <w:bottom w:val="single" w:sz="2" w:space="0" w:color="000000"/>
            </w:tcBorders>
            <w:hideMark/>
          </w:tcPr>
          <w:p w14:paraId="53BA0253"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21F7FBC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4181C72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2AC2B55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3BC6D968" w14:textId="77777777" w:rsidTr="000C3BE1">
        <w:trPr>
          <w:cantSplit/>
        </w:trPr>
        <w:tc>
          <w:tcPr>
            <w:tcW w:w="1509" w:type="dxa"/>
            <w:tcBorders>
              <w:bottom w:val="single" w:sz="2" w:space="0" w:color="000000"/>
            </w:tcBorders>
            <w:hideMark/>
          </w:tcPr>
          <w:p w14:paraId="1B0E387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0B996F73"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8553B1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18C795B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0BFFD320" w14:textId="77777777" w:rsidTr="000C3BE1">
        <w:trPr>
          <w:cantSplit/>
        </w:trPr>
        <w:tc>
          <w:tcPr>
            <w:tcW w:w="1509" w:type="dxa"/>
            <w:tcBorders>
              <w:bottom w:val="single" w:sz="2" w:space="0" w:color="000000"/>
            </w:tcBorders>
            <w:hideMark/>
          </w:tcPr>
          <w:p w14:paraId="568F3B6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4FE6C95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63C6F029"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61F841C3"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75D7D39E" w14:textId="77777777" w:rsidTr="000C3BE1">
        <w:trPr>
          <w:cantSplit/>
        </w:trPr>
        <w:tc>
          <w:tcPr>
            <w:tcW w:w="1509" w:type="dxa"/>
            <w:hideMark/>
          </w:tcPr>
          <w:p w14:paraId="70531AB6"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3F3498C6"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5FD5CA0E"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27B56B08"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73DE39B3" w14:textId="77777777" w:rsidR="00D93B9F" w:rsidRPr="00706F03" w:rsidRDefault="00D93B9F" w:rsidP="0004071A">
      <w:pPr>
        <w:spacing w:line="276" w:lineRule="auto"/>
        <w:outlineLvl w:val="0"/>
        <w:rPr>
          <w:rFonts w:cs="Times New Roman"/>
          <w:szCs w:val="28"/>
        </w:rPr>
      </w:pPr>
      <w:r w:rsidRPr="00706F03">
        <w:rPr>
          <w:rFonts w:cs="Times New Roman"/>
          <w:szCs w:val="28"/>
        </w:rPr>
        <w:t>由表</w:t>
      </w:r>
      <w:r w:rsidRPr="00706F03">
        <w:rPr>
          <w:rFonts w:cs="Times New Roman"/>
          <w:szCs w:val="28"/>
        </w:rPr>
        <w:t xml:space="preserve"> 3-7 </w:t>
      </w:r>
      <w:r w:rsidRPr="00706F03">
        <w:rPr>
          <w:rFonts w:cs="Times New Roman"/>
          <w:szCs w:val="28"/>
        </w:rPr>
        <w:t>可知，本研究方法流程可分為三個層次。第一層為</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之文字特徵表示，其功能是將非結構化裁判文本轉換為模型可處理之數值矩陣。第二層為</w:t>
      </w:r>
      <w:r w:rsidRPr="00706F03">
        <w:rPr>
          <w:rFonts w:cs="Times New Roman"/>
          <w:szCs w:val="28"/>
        </w:rPr>
        <w:t xml:space="preserve"> Chi-square </w:t>
      </w:r>
      <w:r w:rsidRPr="00706F03">
        <w:rPr>
          <w:rFonts w:cs="Times New Roman"/>
          <w:szCs w:val="28"/>
        </w:rPr>
        <w:t>與</w:t>
      </w:r>
      <w:r w:rsidRPr="00706F03">
        <w:rPr>
          <w:rFonts w:cs="Times New Roman"/>
          <w:szCs w:val="28"/>
        </w:rPr>
        <w:t xml:space="preserve"> MNIR </w:t>
      </w:r>
      <w:r w:rsidRPr="00706F03">
        <w:rPr>
          <w:rFonts w:cs="Times New Roman"/>
          <w:szCs w:val="28"/>
        </w:rPr>
        <w:t>之特徵選擇與特徵轉換，其中</w:t>
      </w:r>
      <w:r w:rsidRPr="00706F03">
        <w:rPr>
          <w:rFonts w:cs="Times New Roman"/>
          <w:szCs w:val="28"/>
        </w:rPr>
        <w:t xml:space="preserve"> Chi-square </w:t>
      </w:r>
      <w:r w:rsidRPr="00706F03">
        <w:rPr>
          <w:rFonts w:cs="Times New Roman"/>
          <w:szCs w:val="28"/>
        </w:rPr>
        <w:t>用以篩選與裁判結果較相關之詞彙，</w:t>
      </w:r>
      <w:r w:rsidRPr="00706F03">
        <w:rPr>
          <w:rFonts w:cs="Times New Roman"/>
          <w:szCs w:val="28"/>
        </w:rPr>
        <w:t xml:space="preserve">MNIR </w:t>
      </w:r>
      <w:r w:rsidRPr="00706F03">
        <w:rPr>
          <w:rFonts w:cs="Times New Roman"/>
          <w:szCs w:val="28"/>
        </w:rPr>
        <w:t>則進一步透過</w:t>
      </w:r>
      <w:r w:rsidRPr="00706F03">
        <w:rPr>
          <w:rFonts w:cs="Times New Roman"/>
          <w:szCs w:val="28"/>
        </w:rPr>
        <w:t xml:space="preserve"> inverse regression </w:t>
      </w:r>
      <w:r w:rsidRPr="00706F03">
        <w:rPr>
          <w:rFonts w:cs="Times New Roman"/>
          <w:szCs w:val="28"/>
        </w:rPr>
        <w:t>將高維文字特徵轉換為低維充分縮減分數。第三層為</w:t>
      </w:r>
      <w:r w:rsidRPr="00706F03">
        <w:rPr>
          <w:rFonts w:cs="Times New Roman"/>
          <w:szCs w:val="28"/>
        </w:rPr>
        <w:t xml:space="preserve"> SVM </w:t>
      </w:r>
      <w:r w:rsidRPr="00706F03">
        <w:rPr>
          <w:rFonts w:cs="Times New Roman"/>
          <w:szCs w:val="28"/>
        </w:rPr>
        <w:t>分類器、</w:t>
      </w:r>
      <w:r w:rsidR="001E5412" w:rsidRPr="00706F03">
        <w:rPr>
          <w:rFonts w:cs="Times New Roman"/>
          <w:szCs w:val="28"/>
        </w:rPr>
        <w:t xml:space="preserve">Chi-square + SVM </w:t>
      </w:r>
      <w:r w:rsidR="001E5412" w:rsidRPr="00706F03">
        <w:rPr>
          <w:rFonts w:cs="Times New Roman"/>
          <w:szCs w:val="28"/>
        </w:rPr>
        <w:t>對照流程</w:t>
      </w:r>
      <w:r w:rsidRPr="00706F03">
        <w:rPr>
          <w:rFonts w:cs="Times New Roman"/>
          <w:szCs w:val="28"/>
        </w:rPr>
        <w:t>與</w:t>
      </w:r>
      <w:r w:rsidRPr="00706F03">
        <w:rPr>
          <w:rFonts w:cs="Times New Roman"/>
          <w:szCs w:val="28"/>
        </w:rPr>
        <w:t xml:space="preserve"> Majority Class baseline</w:t>
      </w:r>
      <w:r w:rsidRPr="00706F03">
        <w:rPr>
          <w:rFonts w:cs="Times New Roman"/>
          <w:szCs w:val="28"/>
        </w:rPr>
        <w:t>，用以檢驗模型是否能有效區分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w:t>
      </w:r>
    </w:p>
    <w:p w14:paraId="2F58780C"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70022D1D"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3.9 </w:t>
      </w:r>
      <w:r w:rsidRPr="00706F03">
        <w:rPr>
          <w:rFonts w:ascii="Times New Roman" w:eastAsia="標楷體" w:hAnsi="Times New Roman" w:cs="Times New Roman"/>
          <w:color w:val="auto"/>
          <w:szCs w:val="28"/>
        </w:rPr>
        <w:t>資料</w:t>
      </w:r>
      <w:r w:rsidR="004422CA" w:rsidRPr="00706F03">
        <w:rPr>
          <w:rFonts w:ascii="Times New Roman" w:eastAsia="標楷體" w:hAnsi="Times New Roman" w:cs="Times New Roman" w:hint="eastAsia"/>
          <w:color w:val="auto"/>
          <w:szCs w:val="28"/>
        </w:rPr>
        <w:t>集劃分</w:t>
      </w:r>
      <w:r w:rsidRPr="00706F03">
        <w:rPr>
          <w:rFonts w:ascii="Times New Roman" w:eastAsia="標楷體" w:hAnsi="Times New Roman" w:cs="Times New Roman"/>
          <w:color w:val="auto"/>
          <w:szCs w:val="28"/>
        </w:rPr>
        <w:t>與參數選擇</w:t>
      </w:r>
    </w:p>
    <w:p w14:paraId="1E8999B0"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w:t>
      </w:r>
      <w:r w:rsidRPr="00706F03">
        <w:rPr>
          <w:rFonts w:cs="Times New Roman"/>
          <w:szCs w:val="28"/>
        </w:rPr>
        <w:lastRenderedPageBreak/>
        <w:t>分別進行後續模型建構與評估。由於四類案件在樣本數、法律用語、裁判邏輯與裁判結果分布上皆可能存在差異，本文並未將所有案件合併為單一資料集後再進行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1FD9BAFF"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）。亦即，文字特徵表示係先於各案件類型資料集中完成，將裁判文本轉換為模型可處理之數值矩陣。因此，本文不將</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之詞彙表建立描述為完全僅由訓練集估計，而是明確區分「文件－詞項矩陣建立」與後續「模型訓練階段」之處理流程。</w:t>
      </w:r>
    </w:p>
    <w:p w14:paraId="7EE79C1A"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165C9EFD"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7A4C0807" w14:textId="77777777" w:rsidR="00661ACD" w:rsidRPr="00706F03" w:rsidRDefault="00661ACD" w:rsidP="0004071A">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本文不主張其具有理論上的最適性。訓練集用於特徵選擇與模型估計，驗證集用於參數選擇，測試集則僅用於最終模型表現評估。</w:t>
      </w:r>
    </w:p>
    <w:p w14:paraId="51DCF69E" w14:textId="667BDD3B" w:rsidR="009A19D8" w:rsidRPr="00706F03" w:rsidRDefault="009A19D8" w:rsidP="0004071A">
      <w:pPr>
        <w:spacing w:line="276" w:lineRule="auto"/>
        <w:outlineLvl w:val="0"/>
        <w:rPr>
          <w:rFonts w:cs="Times New Roman"/>
          <w:szCs w:val="28"/>
        </w:rPr>
      </w:pPr>
      <w:r w:rsidRPr="00706F03">
        <w:rPr>
          <w:rFonts w:cs="Times New Roman"/>
          <w:szCs w:val="28"/>
        </w:rPr>
        <w:t>進入模型訓練階段後，本研究僅使用訓練集估計卡方特徵選擇、</w:t>
      </w:r>
      <w:r w:rsidRPr="00706F03">
        <w:rPr>
          <w:rFonts w:cs="Times New Roman"/>
          <w:szCs w:val="28"/>
        </w:rPr>
        <w:t xml:space="preserve">MNIR </w:t>
      </w:r>
      <w:r w:rsidRPr="00706F03">
        <w:rPr>
          <w:rFonts w:cs="Times New Roman"/>
          <w:szCs w:val="28"/>
        </w:rPr>
        <w:t>特徵轉換模型與</w:t>
      </w:r>
      <w:r w:rsidRPr="00706F03">
        <w:rPr>
          <w:rFonts w:cs="Times New Roman"/>
          <w:szCs w:val="28"/>
        </w:rPr>
        <w:t xml:space="preserve"> SVM </w:t>
      </w:r>
      <w:r w:rsidRPr="00706F03">
        <w:rPr>
          <w:rFonts w:cs="Times New Roman"/>
          <w:szCs w:val="28"/>
        </w:rPr>
        <w:t>分類器。具體而言，卡方特徵選擇係以訓練集資料計算各詞彙特徵與裁判結果標籤之關聯，並選取前</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個特徵；</w:t>
      </w:r>
      <w:r w:rsidRPr="00706F03">
        <w:rPr>
          <w:rFonts w:cs="Times New Roman"/>
          <w:szCs w:val="28"/>
        </w:rPr>
        <w:t xml:space="preserve">MNIR </w:t>
      </w:r>
      <w:r w:rsidRPr="00706F03">
        <w:rPr>
          <w:rFonts w:cs="Times New Roman"/>
          <w:szCs w:val="28"/>
        </w:rPr>
        <w:t>模型亦以訓練集之卡方篩選後特徵與裁判結果標籤進行估計；</w:t>
      </w:r>
      <w:r w:rsidRPr="00706F03">
        <w:rPr>
          <w:rFonts w:cs="Times New Roman"/>
          <w:szCs w:val="28"/>
        </w:rPr>
        <w:t xml:space="preserve">SVM </w:t>
      </w:r>
      <w:r w:rsidRPr="00706F03">
        <w:rPr>
          <w:rFonts w:cs="Times New Roman"/>
          <w:szCs w:val="28"/>
        </w:rPr>
        <w:t>分類器則使用訓練集特徵進行分類模型訓練。驗證集與測試集不參與上述卡方特徵選擇規則、</w:t>
      </w:r>
      <w:r w:rsidRPr="00706F03">
        <w:rPr>
          <w:rFonts w:cs="Times New Roman"/>
          <w:szCs w:val="28"/>
        </w:rPr>
        <w:t xml:space="preserve">MNIR </w:t>
      </w:r>
      <w:r w:rsidRPr="00706F03">
        <w:rPr>
          <w:rFonts w:cs="Times New Roman"/>
          <w:szCs w:val="28"/>
        </w:rPr>
        <w:t>模型或初始</w:t>
      </w:r>
      <w:r w:rsidRPr="00706F03">
        <w:rPr>
          <w:rFonts w:cs="Times New Roman"/>
          <w:szCs w:val="28"/>
        </w:rPr>
        <w:t xml:space="preserve"> SVM </w:t>
      </w:r>
      <w:r w:rsidRPr="00706F03">
        <w:rPr>
          <w:rFonts w:cs="Times New Roman"/>
          <w:szCs w:val="28"/>
        </w:rPr>
        <w:t>分類器之估計，而是套用由訓練集得到的特徵選擇與模型轉換規則。</w:t>
      </w:r>
    </w:p>
    <w:p w14:paraId="24EDF1D4"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5763111B"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0E941067" w14:textId="77777777" w:rsidR="004C4318" w:rsidRPr="00706F03" w:rsidRDefault="004C4318" w:rsidP="0004071A">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p>
    <w:p w14:paraId="6145FFDB" w14:textId="38E3200A" w:rsidR="009A19D8" w:rsidRPr="00706F03" w:rsidRDefault="009A19D8" w:rsidP="0004071A">
      <w:pPr>
        <w:spacing w:line="276" w:lineRule="auto"/>
        <w:outlineLvl w:val="0"/>
        <w:rPr>
          <w:rFonts w:cs="Times New Roman"/>
          <w:szCs w:val="28"/>
        </w:rPr>
      </w:pPr>
      <w:r w:rsidRPr="00706F03">
        <w:rPr>
          <w:rFonts w:cs="Times New Roman"/>
          <w:szCs w:val="28"/>
        </w:rPr>
        <w:t>在選出最佳</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r>
          <w:rPr>
            <w:rFonts w:ascii="Cambria Math" w:hAnsi="Cambria Math" w:cs="Times New Roman"/>
            <w:szCs w:val="28"/>
          </w:rPr>
          <m:t xml:space="preserve">C </m:t>
        </m:r>
      </m:oMath>
      <w:r w:rsidRPr="00706F03">
        <w:rPr>
          <w:rFonts w:cs="Times New Roman"/>
          <w:szCs w:val="28"/>
        </w:rPr>
        <w:t>後，本研究再使用訓練集與驗證集合併後的資料重新訓練最終</w:t>
      </w:r>
      <w:r w:rsidRPr="00706F03">
        <w:rPr>
          <w:rFonts w:cs="Times New Roman"/>
          <w:szCs w:val="28"/>
        </w:rPr>
        <w:t xml:space="preserve"> </w:t>
      </w:r>
      <w:r w:rsidRPr="00706F03">
        <w:rPr>
          <w:rFonts w:cs="Times New Roman"/>
          <w:szCs w:val="28"/>
        </w:rPr>
        <w:lastRenderedPageBreak/>
        <w:t xml:space="preserve">SVM </w:t>
      </w:r>
      <w:r w:rsidRPr="00706F03">
        <w:rPr>
          <w:rFonts w:cs="Times New Roman"/>
          <w:szCs w:val="28"/>
        </w:rPr>
        <w:t>模型，並以測試集進行最終評估。此流程可表示為：</w:t>
      </w:r>
    </w:p>
    <w:p w14:paraId="5575567D"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1183E2C3"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0B9F1528" w14:textId="7C50DFEB" w:rsidR="009A19D8" w:rsidRPr="00706F03" w:rsidRDefault="009A19D8" w:rsidP="0004071A">
      <w:pPr>
        <w:spacing w:line="276" w:lineRule="auto"/>
        <w:outlineLvl w:val="0"/>
        <w:rPr>
          <w:rFonts w:cs="Times New Roman"/>
          <w:szCs w:val="28"/>
        </w:rPr>
      </w:pPr>
      <w:r w:rsidRPr="00706F03">
        <w:rPr>
          <w:rFonts w:cs="Times New Roman"/>
          <w:szCs w:val="28"/>
        </w:rPr>
        <w:t>測試集不參與特徵選擇、</w:t>
      </w:r>
      <w:r w:rsidRPr="00706F03">
        <w:rPr>
          <w:rFonts w:cs="Times New Roman"/>
          <w:szCs w:val="28"/>
        </w:rPr>
        <w:t xml:space="preserve">MNIR </w:t>
      </w:r>
      <w:r w:rsidRPr="00706F03">
        <w:rPr>
          <w:rFonts w:cs="Times New Roman"/>
          <w:szCs w:val="28"/>
        </w:rPr>
        <w:t>模型估計、</w:t>
      </w:r>
      <w:r w:rsidRPr="00706F03">
        <w:rPr>
          <w:rFonts w:cs="Times New Roman"/>
          <w:szCs w:val="28"/>
        </w:rPr>
        <w:t xml:space="preserve">SVM </w:t>
      </w:r>
      <w:r w:rsidRPr="00706F03">
        <w:rPr>
          <w:rFonts w:cs="Times New Roman"/>
          <w:szCs w:val="28"/>
        </w:rPr>
        <w:t>訓練，也不參與</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或</w:t>
      </w:r>
      <w:r w:rsidRPr="00706F03">
        <w:rPr>
          <w:rFonts w:cs="Times New Roman"/>
          <w:szCs w:val="28"/>
        </w:rPr>
        <w:t xml:space="preserve"> </w:t>
      </w:r>
      <m:oMath>
        <m:r>
          <w:rPr>
            <w:rFonts w:ascii="Cambria Math" w:hAnsi="Cambria Math" w:cs="Times New Roman"/>
            <w:szCs w:val="28"/>
          </w:rPr>
          <m:t xml:space="preserve">C </m:t>
        </m:r>
      </m:oMath>
      <w:r w:rsidRPr="00706F03">
        <w:rPr>
          <w:rFonts w:cs="Times New Roman"/>
          <w:szCs w:val="28"/>
        </w:rPr>
        <w:t>的選擇。換言之，測試集僅作為最終模型評估資料，用以檢驗模型在未參與模型選擇過程之資料上的分類表現。</w:t>
      </w:r>
      <w:r w:rsidR="00E85597" w:rsidRPr="00706F03">
        <w:rPr>
          <w:rFonts w:cs="Times New Roman"/>
          <w:szCs w:val="28"/>
        </w:rPr>
        <w:t>因此，本文在資料洩漏議題上採取較保守之表述：由於文件－詞項矩陣已於</w:t>
      </w:r>
      <w:r w:rsidR="0049398B" w:rsidRPr="00706F03">
        <w:rPr>
          <w:rFonts w:cs="Times New Roman"/>
          <w:szCs w:val="28"/>
        </w:rPr>
        <w:t>資料集劃分前</w:t>
      </w:r>
      <w:r w:rsidR="00E85597" w:rsidRPr="00706F03">
        <w:rPr>
          <w:rFonts w:cs="Times New Roman"/>
          <w:szCs w:val="28"/>
        </w:rPr>
        <w:t>依案件類型建立，本文不主張所有文字特徵建構步驟皆完全由訓練集估計；但在模型訓練與模型選擇階段，卡方特徵選擇、</w:t>
      </w:r>
      <w:r w:rsidR="00E85597" w:rsidRPr="00706F03">
        <w:rPr>
          <w:rFonts w:cs="Times New Roman"/>
          <w:szCs w:val="28"/>
        </w:rPr>
        <w:t xml:space="preserve">MNIR </w:t>
      </w:r>
      <w:r w:rsidR="00E85597" w:rsidRPr="00706F03">
        <w:rPr>
          <w:rFonts w:cs="Times New Roman"/>
          <w:szCs w:val="28"/>
        </w:rPr>
        <w:t>特徵轉換、</w:t>
      </w:r>
      <w:r w:rsidR="00E85597" w:rsidRPr="00706F03">
        <w:rPr>
          <w:rFonts w:cs="Times New Roman"/>
          <w:szCs w:val="28"/>
        </w:rPr>
        <w:t xml:space="preserve">SVM </w:t>
      </w:r>
      <w:r w:rsidR="00E85597" w:rsidRPr="00706F03">
        <w:rPr>
          <w:rFonts w:cs="Times New Roman"/>
          <w:szCs w:val="28"/>
        </w:rPr>
        <w:t>估計與超參數選擇皆未使用測試集進行估計或調整。</w:t>
      </w:r>
    </w:p>
    <w:p w14:paraId="70FB497D" w14:textId="77777777" w:rsidR="00523799" w:rsidRPr="00706F03" w:rsidRDefault="009A19D8" w:rsidP="0004071A">
      <w:pPr>
        <w:spacing w:line="276" w:lineRule="auto"/>
        <w:outlineLvl w:val="0"/>
        <w:rPr>
          <w:rFonts w:cs="Times New Roman"/>
          <w:szCs w:val="28"/>
        </w:rPr>
      </w:pPr>
      <w:r w:rsidRPr="00706F03">
        <w:rPr>
          <w:rFonts w:cs="Times New Roman"/>
          <w:szCs w:val="28"/>
        </w:rPr>
        <w:t>透過上述流程，本文得以在各案件類型中比較不同文字特徵表示、</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兩種模型流程之分類表現，並以測試集結果作為最終模型效能評估依據。</w:t>
      </w:r>
    </w:p>
    <w:p w14:paraId="733F35D2" w14:textId="7E574921" w:rsidR="0092540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3.10 </w:t>
      </w:r>
      <w:r w:rsidRPr="00706F03">
        <w:rPr>
          <w:rFonts w:ascii="Times New Roman" w:eastAsia="標楷體" w:hAnsi="Times New Roman" w:cs="Times New Roman"/>
          <w:color w:val="auto"/>
          <w:szCs w:val="28"/>
        </w:rPr>
        <w:t>小結</w:t>
      </w:r>
      <w:r w:rsidR="004F70FB" w:rsidRPr="00706F03">
        <w:rPr>
          <w:rFonts w:ascii="Times New Roman" w:eastAsia="標楷體" w:hAnsi="Times New Roman" w:cs="Times New Roman"/>
          <w:color w:val="auto"/>
        </w:rPr>
        <w:tab/>
      </w:r>
    </w:p>
    <w:p w14:paraId="31A7533B" w14:textId="41F58E02"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三類，並排除無法明確歸類之案件，以建立適合模型訓練之有效樣本。在文字處理方面，本文先進行文本清理、停用詞移除與中文斷詞，再分別建立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文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。透過此一設計，本文可檢驗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1A7B9766" w14:textId="0455BBAC" w:rsidR="009A19D8" w:rsidRPr="00706F03" w:rsidRDefault="00661ACD" w:rsidP="006E4931">
      <w:pPr>
        <w:widowControl/>
        <w:spacing w:after="0" w:line="276" w:lineRule="auto"/>
        <w:rPr>
          <w:rFonts w:cs="Times New Roman"/>
          <w:szCs w:val="28"/>
        </w:rPr>
      </w:pPr>
      <w:r w:rsidRPr="00706F03">
        <w:rPr>
          <w:rFonts w:cs="Times New Roman"/>
          <w:szCs w:val="28"/>
        </w:rPr>
        <w:lastRenderedPageBreak/>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126BEB9D"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513AAB6B" w14:textId="77777777" w:rsidR="00641412" w:rsidRPr="00706F03" w:rsidRDefault="00461938" w:rsidP="006C25BD">
      <w:pPr>
        <w:pStyle w:val="1"/>
        <w:pageBreakBefore/>
        <w:spacing w:before="240" w:after="120"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第四章</w:t>
      </w:r>
      <w:r w:rsidRPr="00706F03">
        <w:rPr>
          <w:rFonts w:ascii="Times New Roman" w:eastAsia="標楷體" w:hAnsi="Times New Roman" w:cs="Times New Roman"/>
          <w:color w:val="auto"/>
        </w:rPr>
        <w:t xml:space="preserve"> </w:t>
      </w:r>
      <w:r w:rsidRPr="00706F03">
        <w:rPr>
          <w:rFonts w:ascii="Times New Roman" w:eastAsia="標楷體" w:hAnsi="Times New Roman" w:cs="Times New Roman"/>
          <w:color w:val="auto"/>
        </w:rPr>
        <w:t>研究結果與分析</w:t>
      </w:r>
    </w:p>
    <w:p w14:paraId="52CF095A"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4.1 </w:t>
      </w:r>
      <w:r w:rsidRPr="00706F03">
        <w:rPr>
          <w:rFonts w:ascii="Times New Roman" w:eastAsia="標楷體" w:hAnsi="Times New Roman" w:cs="Times New Roman"/>
          <w:color w:val="auto"/>
          <w:szCs w:val="28"/>
        </w:rPr>
        <w:t>實驗設定與評估邏輯</w:t>
      </w:r>
    </w:p>
    <w:p w14:paraId="6BA6A798"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依據第三章之模型流程，針對行政、民事、刑事與刑事附帶民事四類智慧財產權判決資料集進行裁判結果三分類實驗。本文比較兩條模型流程：其一為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40CAF951" w14:textId="6D172ED6"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文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m:oMath>
        <m:r>
          <w:rPr>
            <w:rFonts w:ascii="Cambria Math" w:hAnsi="Cambria Math" w:cs="Times New Roman"/>
          </w:rPr>
          <m:t>K</m:t>
        </m:r>
      </m:oMath>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m:oMath>
        <m:r>
          <w:rPr>
            <w:rFonts w:ascii="Cambria Math" w:hAnsi="Cambria Math" w:cs="Times New Roman"/>
          </w:rPr>
          <m:t>C</m:t>
        </m:r>
      </m:oMath>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與混淆矩陣進行解讀。此一評估方式可同時觀察模型整體分類能力，以及模型是否偏向多數類別，或對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等少數類別產生較多誤判。</w:t>
      </w:r>
    </w:p>
    <w:p w14:paraId="32FE24CB" w14:textId="5A55D52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5AD63CB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4.2 </w:t>
      </w:r>
      <w:r w:rsidR="001E5412" w:rsidRPr="00706F03">
        <w:rPr>
          <w:rFonts w:ascii="Times New Roman" w:eastAsia="標楷體" w:hAnsi="Times New Roman" w:cs="Times New Roman"/>
          <w:color w:val="auto"/>
          <w:szCs w:val="28"/>
        </w:rPr>
        <w:t>Chi-square + MNIR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核心流程之模型表現</w:t>
      </w:r>
    </w:p>
    <w:p w14:paraId="67E4F2F4" w14:textId="58023796" w:rsidR="00641412" w:rsidRPr="00706F03" w:rsidRDefault="00F16D7F" w:rsidP="0004071A">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4-1 </w:t>
      </w:r>
      <w:r w:rsidRPr="00706F03">
        <w:rPr>
          <w:rFonts w:cs="Times New Roman"/>
        </w:rPr>
        <w:t>所示。</w:t>
      </w:r>
    </w:p>
    <w:p w14:paraId="554961BE"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4-1 </w:t>
      </w:r>
      <w:r w:rsidR="001E5412" w:rsidRPr="00706F03">
        <w:rPr>
          <w:rFonts w:cs="Times New Roman"/>
          <w:b/>
          <w:sz w:val="22"/>
          <w:szCs w:val="22"/>
        </w:rPr>
        <w:t>Chi-square + MNIR + SVM</w:t>
      </w:r>
      <w:r w:rsidRPr="00706F03">
        <w:rPr>
          <w:rFonts w:cs="Times New Roman"/>
          <w:b/>
          <w:sz w:val="22"/>
          <w:szCs w:val="22"/>
        </w:rPr>
        <w:t xml:space="preserve"> </w:t>
      </w:r>
      <w:r w:rsidRPr="00706F03">
        <w:rPr>
          <w:rFonts w:cs="Times New Roman"/>
          <w:b/>
          <w:sz w:val="22"/>
          <w:szCs w:val="22"/>
        </w:rPr>
        <w:t>於各資料集之最佳表現</w:t>
      </w:r>
    </w:p>
    <w:tbl>
      <w:tblPr>
        <w:tblStyle w:val="af3"/>
        <w:tblW w:w="522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3A2B2268" w14:textId="77777777" w:rsidTr="006E4931">
        <w:trPr>
          <w:cantSplit/>
        </w:trPr>
        <w:tc>
          <w:tcPr>
            <w:tcW w:w="1660" w:type="dxa"/>
            <w:tcBorders>
              <w:bottom w:val="single" w:sz="2" w:space="0" w:color="000000"/>
            </w:tcBorders>
            <w:vAlign w:val="center"/>
          </w:tcPr>
          <w:p w14:paraId="7B378D76"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1D3AE719"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7C06E0A"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2C4A6C2C"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3E24953F"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1C7E73BF"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2CEF80C5" w14:textId="77777777" w:rsidTr="006E4931">
        <w:trPr>
          <w:cantSplit/>
        </w:trPr>
        <w:tc>
          <w:tcPr>
            <w:tcW w:w="1660" w:type="dxa"/>
            <w:tcBorders>
              <w:bottom w:val="single" w:sz="2" w:space="0" w:color="000000"/>
            </w:tcBorders>
          </w:tcPr>
          <w:p w14:paraId="23D3B63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0C022BE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059" w:type="dxa"/>
            <w:tcBorders>
              <w:bottom w:val="single" w:sz="2" w:space="0" w:color="000000"/>
            </w:tcBorders>
          </w:tcPr>
          <w:p w14:paraId="4A5C1C0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4AAC3F3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4D00FDF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3A1AB07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3958987D" w14:textId="77777777" w:rsidTr="006E4931">
        <w:trPr>
          <w:cantSplit/>
        </w:trPr>
        <w:tc>
          <w:tcPr>
            <w:tcW w:w="1660" w:type="dxa"/>
            <w:tcBorders>
              <w:bottom w:val="single" w:sz="2" w:space="0" w:color="000000"/>
            </w:tcBorders>
          </w:tcPr>
          <w:p w14:paraId="7B2BD55D"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5BA53BC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6CF3502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4D57DD7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ED7CF4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7838E2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1C7772F1" w14:textId="77777777" w:rsidTr="006E4931">
        <w:trPr>
          <w:cantSplit/>
        </w:trPr>
        <w:tc>
          <w:tcPr>
            <w:tcW w:w="1660" w:type="dxa"/>
            <w:tcBorders>
              <w:bottom w:val="single" w:sz="2" w:space="0" w:color="000000"/>
            </w:tcBorders>
          </w:tcPr>
          <w:p w14:paraId="16DEB5B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78EE4A8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68AE127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7906DE4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178955F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0AB352A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3616315F" w14:textId="77777777" w:rsidTr="006E4931">
        <w:trPr>
          <w:cantSplit/>
        </w:trPr>
        <w:tc>
          <w:tcPr>
            <w:tcW w:w="1660" w:type="dxa"/>
          </w:tcPr>
          <w:p w14:paraId="2D8154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5A4E078"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31442E8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1FBA40E5"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4758661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25512C1E"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75E3AB95" w14:textId="26AB9E1E"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3A3A71D5"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4.3 </w:t>
      </w:r>
      <w:r w:rsidR="001E5412" w:rsidRPr="00706F03">
        <w:rPr>
          <w:rFonts w:ascii="Times New Roman" w:eastAsia="標楷體" w:hAnsi="Times New Roman" w:cs="Times New Roman"/>
          <w:color w:val="auto"/>
          <w:szCs w:val="28"/>
        </w:rPr>
        <w:t xml:space="preserve">Chi-square + SVM </w:t>
      </w:r>
      <w:r w:rsidR="001E5412" w:rsidRPr="00706F03">
        <w:rPr>
          <w:rFonts w:ascii="Times New Roman" w:eastAsia="標楷體" w:hAnsi="Times New Roman" w:cs="Times New Roman"/>
          <w:color w:val="auto"/>
          <w:szCs w:val="28"/>
        </w:rPr>
        <w:t>對照流程之</w:t>
      </w:r>
      <w:r w:rsidRPr="00706F03">
        <w:rPr>
          <w:rFonts w:ascii="Times New Roman" w:eastAsia="標楷體" w:hAnsi="Times New Roman" w:cs="Times New Roman"/>
          <w:color w:val="auto"/>
          <w:szCs w:val="28"/>
        </w:rPr>
        <w:t>模型表現</w:t>
      </w:r>
    </w:p>
    <w:p w14:paraId="4CCC75AB" w14:textId="0FE0ACFB"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5ACB0A3F" w14:textId="77777777" w:rsidR="00641412" w:rsidRPr="00706F03" w:rsidRDefault="00461938" w:rsidP="0004071A">
      <w:pPr>
        <w:spacing w:line="276" w:lineRule="auto"/>
        <w:rPr>
          <w:rFonts w:cs="Times New Roman"/>
        </w:rPr>
      </w:pPr>
      <w:r w:rsidRPr="00706F03">
        <w:t>表</w:t>
      </w:r>
      <w:r w:rsidRPr="00706F03">
        <w:t xml:space="preserve"> 4-2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3A54E6A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4-2 Chi-square + </w:t>
      </w:r>
      <w:r w:rsidR="00AF715B" w:rsidRPr="00706F03">
        <w:rPr>
          <w:rFonts w:cs="Times New Roman"/>
          <w:b/>
          <w:sz w:val="22"/>
          <w:szCs w:val="22"/>
        </w:rPr>
        <w:t>SVM</w:t>
      </w:r>
      <w:r w:rsidRPr="00706F03">
        <w:rPr>
          <w:rFonts w:cs="Times New Roman"/>
          <w:b/>
          <w:sz w:val="22"/>
          <w:szCs w:val="22"/>
        </w:rPr>
        <w:t xml:space="preserve"> </w:t>
      </w:r>
      <w:r w:rsidRPr="00706F03">
        <w:rPr>
          <w:rFonts w:cs="Times New Roman"/>
          <w:b/>
          <w:sz w:val="22"/>
          <w:szCs w:val="22"/>
        </w:rPr>
        <w:t>於各資料集之最佳表現</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218679E7" w14:textId="77777777" w:rsidTr="000C3BE1">
        <w:trPr>
          <w:cantSplit/>
        </w:trPr>
        <w:tc>
          <w:tcPr>
            <w:tcW w:w="1696" w:type="dxa"/>
            <w:tcBorders>
              <w:bottom w:val="single" w:sz="2" w:space="0" w:color="000000"/>
            </w:tcBorders>
          </w:tcPr>
          <w:p w14:paraId="662197B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31C63BC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CEFCAD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364443A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73E489C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4D0586A3" w14:textId="77777777" w:rsidTr="000C3BE1">
        <w:trPr>
          <w:cantSplit/>
        </w:trPr>
        <w:tc>
          <w:tcPr>
            <w:tcW w:w="1696" w:type="dxa"/>
            <w:tcBorders>
              <w:bottom w:val="single" w:sz="2" w:space="0" w:color="000000"/>
            </w:tcBorders>
          </w:tcPr>
          <w:p w14:paraId="3EFF47E5"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275DFC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890" w:type="dxa"/>
            <w:tcBorders>
              <w:bottom w:val="single" w:sz="2" w:space="0" w:color="000000"/>
            </w:tcBorders>
          </w:tcPr>
          <w:p w14:paraId="5F16A8FC"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035DC7A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3FC03D8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09BC894C" w14:textId="77777777" w:rsidTr="000C3BE1">
        <w:trPr>
          <w:cantSplit/>
        </w:trPr>
        <w:tc>
          <w:tcPr>
            <w:tcW w:w="1696" w:type="dxa"/>
            <w:tcBorders>
              <w:bottom w:val="single" w:sz="2" w:space="0" w:color="000000"/>
            </w:tcBorders>
          </w:tcPr>
          <w:p w14:paraId="680AFB3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0853A12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0B5A35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ED2A58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1223FD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60A3F463" w14:textId="77777777" w:rsidTr="000C3BE1">
        <w:trPr>
          <w:cantSplit/>
        </w:trPr>
        <w:tc>
          <w:tcPr>
            <w:tcW w:w="1696" w:type="dxa"/>
            <w:tcBorders>
              <w:bottom w:val="single" w:sz="2" w:space="0" w:color="000000"/>
            </w:tcBorders>
          </w:tcPr>
          <w:p w14:paraId="20EBE3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147AFD4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D524DA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6979CB7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00809A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19ABFA51" w14:textId="77777777" w:rsidTr="000C3BE1">
        <w:trPr>
          <w:cantSplit/>
        </w:trPr>
        <w:tc>
          <w:tcPr>
            <w:tcW w:w="1696" w:type="dxa"/>
          </w:tcPr>
          <w:p w14:paraId="0CE3753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0D14E9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BoW</w:t>
            </w:r>
          </w:p>
        </w:tc>
        <w:tc>
          <w:tcPr>
            <w:tcW w:w="1890" w:type="dxa"/>
          </w:tcPr>
          <w:p w14:paraId="7646B71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11E9D255"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5236C18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75AEC2D3" w14:textId="31219B46"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C750AD8"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4.4 </w:t>
      </w:r>
      <w:r w:rsidR="001E5412" w:rsidRPr="00706F03">
        <w:rPr>
          <w:rFonts w:ascii="Times New Roman" w:eastAsia="標楷體" w:hAnsi="Times New Roman" w:cs="Times New Roman"/>
          <w:color w:val="auto"/>
          <w:szCs w:val="28"/>
        </w:rPr>
        <w:t xml:space="preserve">Chi-square + MNIR + SVM </w:t>
      </w:r>
      <w:r w:rsidR="001E5412" w:rsidRPr="00706F03">
        <w:rPr>
          <w:rFonts w:ascii="Times New Roman" w:eastAsia="標楷體" w:hAnsi="Times New Roman" w:cs="Times New Roman"/>
          <w:color w:val="auto"/>
          <w:szCs w:val="28"/>
        </w:rPr>
        <w:t>與</w:t>
      </w:r>
      <w:r w:rsidR="001E5412" w:rsidRPr="00706F03">
        <w:rPr>
          <w:rFonts w:ascii="Times New Roman" w:eastAsia="標楷體" w:hAnsi="Times New Roman" w:cs="Times New Roman"/>
          <w:color w:val="auto"/>
          <w:szCs w:val="28"/>
        </w:rPr>
        <w:t xml:space="preserve"> Chi-square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之整體流程比較</w:t>
      </w:r>
    </w:p>
    <w:p w14:paraId="5110D635" w14:textId="3756C138"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4-3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w:t>
      </w:r>
      <w:r w:rsidR="00DF543D" w:rsidRPr="00706F03">
        <w:rPr>
          <w:rFonts w:cs="Times New Roman"/>
        </w:rPr>
        <w:t>為進一步檢視兩種模型流程之</w:t>
      </w:r>
      <w:r w:rsidR="00DF543D" w:rsidRPr="00706F03">
        <w:rPr>
          <w:rFonts w:cs="Times New Roman"/>
        </w:rPr>
        <w:t xml:space="preserve"> Macro F1 </w:t>
      </w:r>
      <w:r w:rsidR="00DF543D" w:rsidRPr="00706F03">
        <w:rPr>
          <w:rFonts w:cs="Times New Roman"/>
        </w:rPr>
        <w:t>差異，本研究另採</w:t>
      </w:r>
      <w:r w:rsidR="00DF543D" w:rsidRPr="00706F03">
        <w:rPr>
          <w:rFonts w:cs="Times New Roman"/>
        </w:rPr>
        <w:t xml:space="preserve"> paired bootstrap </w:t>
      </w:r>
      <w:r w:rsidR="00DF543D" w:rsidRPr="00706F03">
        <w:rPr>
          <w:rFonts w:cs="Times New Roman"/>
        </w:rPr>
        <w:t>重抽樣方法。在每次重抽樣中，本研究對同一測試集進行有放回抽樣，並使用相同的樣本索引分別計算兩種模型流程之</w:t>
      </w:r>
      <w:r w:rsidR="00DF543D" w:rsidRPr="00706F03">
        <w:rPr>
          <w:rFonts w:cs="Times New Roman"/>
        </w:rPr>
        <w:t xml:space="preserve"> Macro F1</w:t>
      </w:r>
      <w:r w:rsidR="00DF543D" w:rsidRPr="00706F03">
        <w:rPr>
          <w:rFonts w:cs="Times New Roman"/>
        </w:rPr>
        <w:t>，以維持兩模型比較的配對性。接著，依重抽樣所得之</w:t>
      </w:r>
      <w:r w:rsidR="00DF543D" w:rsidRPr="00706F03">
        <w:rPr>
          <w:rFonts w:cs="Times New Roman"/>
        </w:rPr>
        <w:t xml:space="preserve"> </w:t>
      </w:r>
      <m:oMath>
        <m:r>
          <m:rPr>
            <m:sty m:val="p"/>
          </m:rPr>
          <w:rPr>
            <w:rFonts w:ascii="Cambria Math" w:hAnsi="Cambria Math" w:cs="Times New Roman"/>
          </w:rPr>
          <m:t>Δ</m:t>
        </m:r>
      </m:oMath>
      <w:r w:rsidR="00DF543D" w:rsidRPr="00706F03">
        <w:rPr>
          <w:rFonts w:cs="Times New Roman" w:hint="eastAsia"/>
        </w:rPr>
        <w:t xml:space="preserve"> </w:t>
      </w:r>
      <w:r w:rsidR="00DF543D" w:rsidRPr="00706F03">
        <w:rPr>
          <w:rFonts w:cs="Times New Roman"/>
        </w:rPr>
        <w:t>分布建立</w:t>
      </w:r>
      <w:r w:rsidR="00DF543D" w:rsidRPr="00706F03">
        <w:rPr>
          <w:rFonts w:cs="Times New Roman"/>
        </w:rPr>
        <w:t xml:space="preserve"> 95% bootstrap </w:t>
      </w:r>
      <w:r w:rsidR="00DF543D" w:rsidRPr="00706F03">
        <w:rPr>
          <w:rFonts w:cs="Times New Roman"/>
        </w:rPr>
        <w:t>信賴區間。若信賴區間未包含</w:t>
      </w:r>
      <w:r w:rsidR="00DF543D" w:rsidRPr="00706F03">
        <w:rPr>
          <w:rFonts w:cs="Times New Roman"/>
        </w:rPr>
        <w:t xml:space="preserve"> 0</w:t>
      </w:r>
      <w:r w:rsidR="00DF543D" w:rsidRPr="00706F03">
        <w:rPr>
          <w:rFonts w:cs="Times New Roman"/>
        </w:rPr>
        <w:t>，表示在本研究固定資料集劃分、固定訓練結果與固定測試集下，兩種模型流程之</w:t>
      </w:r>
      <w:r w:rsidR="00DF543D" w:rsidRPr="00706F03">
        <w:rPr>
          <w:rFonts w:cs="Times New Roman"/>
        </w:rPr>
        <w:t xml:space="preserve"> Macro F1 </w:t>
      </w:r>
      <w:r w:rsidR="00DF543D" w:rsidRPr="00706F03">
        <w:rPr>
          <w:rFonts w:cs="Times New Roman"/>
        </w:rPr>
        <w:t>差異在測試樣本重抽樣下具有</w:t>
      </w:r>
      <w:r w:rsidR="00DF543D" w:rsidRPr="00706F03">
        <w:rPr>
          <w:rFonts w:cs="Times New Roman" w:hint="eastAsia"/>
        </w:rPr>
        <w:t>一定</w:t>
      </w:r>
      <w:r w:rsidR="00DF543D" w:rsidRPr="00706F03">
        <w:rPr>
          <w:rFonts w:cs="Times New Roman"/>
        </w:rPr>
        <w:t>穩定性。</w:t>
      </w:r>
    </w:p>
    <w:p w14:paraId="27A439F6"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af3"/>
        <w:tblW w:w="537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0BC85984" w14:textId="5D8ACDBA" w:rsidTr="002E2F39">
        <w:trPr>
          <w:cantSplit/>
        </w:trPr>
        <w:tc>
          <w:tcPr>
            <w:tcW w:w="1554" w:type="dxa"/>
            <w:tcBorders>
              <w:bottom w:val="single" w:sz="2" w:space="0" w:color="000000"/>
            </w:tcBorders>
            <w:vAlign w:val="center"/>
          </w:tcPr>
          <w:p w14:paraId="6250647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412BEC3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4D1308C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064D1946" w14:textId="56CF5963"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MNIR</w:t>
            </w:r>
          </w:p>
          <w:p w14:paraId="6E437BBF" w14:textId="6E0D10DE"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最佳特徵</w:t>
            </w:r>
          </w:p>
        </w:tc>
        <w:tc>
          <w:tcPr>
            <w:tcW w:w="2127" w:type="dxa"/>
            <w:tcBorders>
              <w:bottom w:val="single" w:sz="2" w:space="0" w:color="000000"/>
            </w:tcBorders>
            <w:vAlign w:val="center"/>
          </w:tcPr>
          <w:p w14:paraId="2DEF51F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495E8BA7"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12822B5" w14:textId="2B0A68AD"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31034E95" w14:textId="3BCF1ECF"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71014DCC" w14:textId="66EA8730" w:rsidTr="002E2F39">
        <w:trPr>
          <w:cantSplit/>
          <w:trHeight w:val="425"/>
        </w:trPr>
        <w:tc>
          <w:tcPr>
            <w:tcW w:w="1554" w:type="dxa"/>
            <w:tcBorders>
              <w:bottom w:val="single" w:sz="2" w:space="0" w:color="000000"/>
            </w:tcBorders>
          </w:tcPr>
          <w:p w14:paraId="201ED5AD"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59F8149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136" w:type="dxa"/>
            <w:tcBorders>
              <w:bottom w:val="single" w:sz="2" w:space="0" w:color="000000"/>
            </w:tcBorders>
            <w:vAlign w:val="center"/>
          </w:tcPr>
          <w:p w14:paraId="1D3A5D97"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63252BF1"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BoW</w:t>
            </w:r>
          </w:p>
        </w:tc>
        <w:tc>
          <w:tcPr>
            <w:tcW w:w="2127" w:type="dxa"/>
            <w:tcBorders>
              <w:bottom w:val="single" w:sz="2" w:space="0" w:color="000000"/>
            </w:tcBorders>
            <w:vAlign w:val="center"/>
          </w:tcPr>
          <w:p w14:paraId="24139E5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1FADFE4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4E512D34" w14:textId="57888925"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5C1553B5" w14:textId="1B400BE5" w:rsidTr="002E2F39">
        <w:trPr>
          <w:cantSplit/>
        </w:trPr>
        <w:tc>
          <w:tcPr>
            <w:tcW w:w="1554" w:type="dxa"/>
            <w:tcBorders>
              <w:bottom w:val="single" w:sz="2" w:space="0" w:color="000000"/>
            </w:tcBorders>
          </w:tcPr>
          <w:p w14:paraId="5A12810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12ED7F9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C451368"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41065C2A"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2C0A99D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2DBD8EA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0315082B" w14:textId="34C2E74C"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55424D49" w14:textId="58E70108" w:rsidTr="002E2F39">
        <w:trPr>
          <w:cantSplit/>
        </w:trPr>
        <w:tc>
          <w:tcPr>
            <w:tcW w:w="1554" w:type="dxa"/>
            <w:tcBorders>
              <w:bottom w:val="single" w:sz="2" w:space="0" w:color="000000"/>
            </w:tcBorders>
          </w:tcPr>
          <w:p w14:paraId="393940D0"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64784147"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746D393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1D3855C3"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53ED39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648E33C"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311F7E94" w14:textId="59208FA0"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7AAB9C87" w14:textId="2047C91C" w:rsidTr="002E2F39">
        <w:trPr>
          <w:cantSplit/>
        </w:trPr>
        <w:tc>
          <w:tcPr>
            <w:tcW w:w="1554" w:type="dxa"/>
          </w:tcPr>
          <w:p w14:paraId="6B9BD736"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549C2FD2"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BoW</w:t>
            </w:r>
          </w:p>
        </w:tc>
        <w:tc>
          <w:tcPr>
            <w:tcW w:w="1136" w:type="dxa"/>
            <w:vAlign w:val="center"/>
          </w:tcPr>
          <w:p w14:paraId="06E37936"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5FADD200"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2A5E2B7C"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79B6F395"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7CFB0CBD" w14:textId="4CFA6A2E"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24A0DB8F"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lastRenderedPageBreak/>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4A13C1CF"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72FEF943" w14:textId="5D34390D"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p>
    <w:p w14:paraId="2D6484D9" w14:textId="212F6626" w:rsidR="00B35353" w:rsidRPr="00706F03" w:rsidRDefault="00461938" w:rsidP="00683C49">
      <w:pPr>
        <w:spacing w:line="276" w:lineRule="auto"/>
        <w:ind w:firstLine="480"/>
        <w:rPr>
          <w:rFonts w:cs="Times New Roman"/>
        </w:rPr>
      </w:pPr>
      <w:r w:rsidRPr="00706F03">
        <w:rPr>
          <w:rFonts w:cs="Times New Roman"/>
        </w:rPr>
        <w:t>整體而言，四類資料集結果方向一致，顯示在本研究資料與超參數設定下，</w:t>
      </w:r>
      <w:r w:rsidR="001E5412" w:rsidRPr="00706F03">
        <w:rPr>
          <w:rFonts w:cs="Times New Roman"/>
        </w:rPr>
        <w:t xml:space="preserve">Chi-square + SVM </w:t>
      </w:r>
      <w:r w:rsidR="00DF543D" w:rsidRPr="00706F03">
        <w:rPr>
          <w:rFonts w:cs="Times New Roman" w:hint="eastAsia"/>
        </w:rPr>
        <w:t>對比</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取得較佳分類表現。</w:t>
      </w:r>
      <w:r w:rsidR="00CE420E" w:rsidRPr="00706F03">
        <w:rPr>
          <w:rFonts w:cs="Times New Roman"/>
        </w:rPr>
        <w:t>換言之，在本研究的實驗設定中，加入</w:t>
      </w:r>
      <w:r w:rsidR="00CE420E" w:rsidRPr="00706F03">
        <w:rPr>
          <w:rFonts w:cs="Times New Roman"/>
        </w:rPr>
        <w:t xml:space="preserve"> MNIR </w:t>
      </w:r>
      <w:r w:rsidR="00CE420E" w:rsidRPr="00706F03">
        <w:rPr>
          <w:rFonts w:cs="Times New Roman"/>
        </w:rPr>
        <w:t>特徵轉換並未在</w:t>
      </w:r>
      <w:r w:rsidR="00CE420E" w:rsidRPr="00706F03">
        <w:rPr>
          <w:rFonts w:cs="Times New Roman"/>
        </w:rPr>
        <w:t xml:space="preserve"> Chi-square + SVM </w:t>
      </w:r>
      <w:r w:rsidR="00CE420E" w:rsidRPr="00706F03">
        <w:rPr>
          <w:rFonts w:cs="Times New Roman"/>
        </w:rPr>
        <w:t>的基礎上帶來額外分類增益。此一結果可從法律文本特性、特徵壓縮效果與高維稀疏表示三個面向加以理解。</w:t>
      </w:r>
    </w:p>
    <w:p w14:paraId="092F621A" w14:textId="62EAA3ED"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001E5412" w:rsidRPr="00706F03">
        <w:rPr>
          <w:rFonts w:cs="Times New Roman"/>
        </w:rPr>
        <w:t xml:space="preserve">Chi-square + SVM </w:t>
      </w:r>
      <w:r w:rsidR="001E5412" w:rsidRPr="00706F03">
        <w:rPr>
          <w:rFonts w:cs="Times New Roman"/>
        </w:rPr>
        <w:t>可直接利用</w:t>
      </w:r>
      <w:r w:rsidRPr="00706F03">
        <w:rPr>
          <w:rFonts w:cs="Times New Roman"/>
        </w:rPr>
        <w:t>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4-4 </w:t>
      </w:r>
      <w:r w:rsidRPr="00706F03">
        <w:rPr>
          <w:rFonts w:cs="Times New Roman"/>
        </w:rPr>
        <w:t>相互呼應：行政案件與刑事附帶民事案件中</w:t>
      </w:r>
      <w:r w:rsidRPr="00706F03">
        <w:rPr>
          <w:rFonts w:cs="Times New Roman"/>
        </w:rPr>
        <w:t xml:space="preserve"> BoW </w:t>
      </w:r>
      <w:r w:rsidRPr="00706F03">
        <w:rPr>
          <w:rFonts w:cs="Times New Roman"/>
        </w:rPr>
        <w:t>表現相對較佳，顯示在部分法律文本情境下，詞彙是否出現或出現次數本身即具有重要分類訊號。</w:t>
      </w:r>
    </w:p>
    <w:p w14:paraId="06C4350E" w14:textId="61088179"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w:t>
      </w:r>
      <w:r w:rsidRPr="00706F03">
        <w:rPr>
          <w:rFonts w:cs="Times New Roman"/>
        </w:rPr>
        <w:lastRenderedPageBreak/>
        <w:t>中，</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類別樣本數相對較少，且其文字特徵可能較分散或與</w:t>
      </w:r>
      <w:r w:rsidRPr="00706F03">
        <w:rPr>
          <w:rFonts w:cs="Times New Roman"/>
        </w:rPr>
        <w:t xml:space="preserve"> Lose </w:t>
      </w:r>
      <w:r w:rsidRPr="00706F03">
        <w:rPr>
          <w:rFonts w:cs="Times New Roman"/>
        </w:rPr>
        <w:t>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w:t>
      </w:r>
      <w:r w:rsidRPr="00706F03">
        <w:rPr>
          <w:rFonts w:cs="Times New Roman"/>
        </w:rPr>
        <w:t xml:space="preserve">MNIR </w:t>
      </w:r>
      <w:r w:rsidRPr="00706F03">
        <w:rPr>
          <w:rFonts w:cs="Times New Roman"/>
        </w:rPr>
        <w:t>並非無效，而是在本研究資料結構下，其低維化過程可能未能完整保留少數類別所需的判別訊息。</w:t>
      </w:r>
    </w:p>
    <w:p w14:paraId="4DA381B6" w14:textId="3861D7C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58B9CC24" w14:textId="1AEB352E"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篩選高關聯詞彙，且法律文本之分類訊號可能分散於多個高維詞彙特徵的情況下，</w:t>
      </w:r>
      <w:r w:rsidRPr="00706F03">
        <w:rPr>
          <w:rFonts w:cs="Times New Roman"/>
        </w:rPr>
        <w:t xml:space="preserve">SVM </w:t>
      </w:r>
      <w:r w:rsidRPr="00706F03">
        <w:rPr>
          <w:rFonts w:cs="Times New Roman"/>
        </w:rPr>
        <w:t>直接利用高維稀疏特徵建立分類邊界，可能比先經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6AD95705"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4.5 </w:t>
      </w:r>
      <w:r w:rsidRPr="00706F03">
        <w:rPr>
          <w:rFonts w:ascii="Times New Roman" w:eastAsia="標楷體" w:hAnsi="Times New Roman" w:cs="Times New Roman"/>
          <w:color w:val="auto"/>
          <w:szCs w:val="28"/>
        </w:rPr>
        <w:t>不同文字特徵表示之影響</w:t>
      </w:r>
    </w:p>
    <w:p w14:paraId="2EEC41C5" w14:textId="223549A2"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001707F2" w:rsidRPr="00706F03">
        <w:rPr>
          <w:rFonts w:cs="Times New Roman" w:hint="eastAsia"/>
        </w:rPr>
        <w:t xml:space="preserve"> </w:t>
      </w:r>
      <w:r w:rsidRPr="00706F03">
        <w:rPr>
          <w:rFonts w:cs="Times New Roman"/>
        </w:rPr>
        <w:t>4-4</w:t>
      </w:r>
      <w:r w:rsidR="001707F2" w:rsidRPr="00706F03">
        <w:rPr>
          <w:rFonts w:cs="Times New Roman" w:hint="eastAsia"/>
        </w:rPr>
        <w:t xml:space="preserve"> </w:t>
      </w:r>
      <w:r w:rsidRPr="00706F03">
        <w:rPr>
          <w:rFonts w:cs="Times New Roman"/>
        </w:rPr>
        <w:t>與圖</w:t>
      </w:r>
      <w:r w:rsidR="001707F2" w:rsidRPr="00706F03">
        <w:rPr>
          <w:rFonts w:cs="Times New Roman" w:hint="eastAsia"/>
        </w:rPr>
        <w:t xml:space="preserve"> </w:t>
      </w:r>
      <w:r w:rsidRPr="00706F03">
        <w:rPr>
          <w:rFonts w:cs="Times New Roman"/>
        </w:rPr>
        <w:t>4-2</w:t>
      </w:r>
      <w:r w:rsidR="001707F2" w:rsidRPr="00706F03">
        <w:rPr>
          <w:rFonts w:cs="Times New Roman" w:hint="eastAsia"/>
        </w:rPr>
        <w:t xml:space="preserve"> </w:t>
      </w:r>
      <w:r w:rsidRPr="00706F03">
        <w:rPr>
          <w:rFonts w:cs="Times New Roman"/>
        </w:rPr>
        <w:t>所示。</w:t>
      </w:r>
    </w:p>
    <w:p w14:paraId="38A3EC3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w:t>
      </w:r>
      <w:r w:rsidR="001E5412" w:rsidRPr="00706F03">
        <w:rPr>
          <w:rFonts w:cs="Times New Roman"/>
          <w:b/>
          <w:sz w:val="22"/>
          <w:szCs w:val="22"/>
        </w:rPr>
        <w:t xml:space="preserve">Chi-square + SVM </w:t>
      </w:r>
      <w:r w:rsidR="001E5412" w:rsidRPr="00706F03">
        <w:rPr>
          <w:rFonts w:cs="Times New Roman"/>
          <w:b/>
          <w:sz w:val="22"/>
          <w:szCs w:val="22"/>
        </w:rPr>
        <w:t>下</w:t>
      </w:r>
      <w:r w:rsidR="001E5412" w:rsidRPr="00706F03">
        <w:rPr>
          <w:rFonts w:cs="Times New Roman"/>
          <w:b/>
          <w:sz w:val="22"/>
          <w:szCs w:val="22"/>
        </w:rPr>
        <w:t xml:space="preserve"> BoW</w:t>
      </w:r>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1AF08D7F" w14:textId="77777777" w:rsidTr="000C3BE1">
        <w:trPr>
          <w:cantSplit/>
        </w:trPr>
        <w:tc>
          <w:tcPr>
            <w:tcW w:w="2616" w:type="dxa"/>
            <w:tcBorders>
              <w:bottom w:val="single" w:sz="2" w:space="0" w:color="000000"/>
            </w:tcBorders>
          </w:tcPr>
          <w:p w14:paraId="03AA0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2E1D2A2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BoW</w:t>
            </w:r>
          </w:p>
        </w:tc>
        <w:tc>
          <w:tcPr>
            <w:tcW w:w="2616" w:type="dxa"/>
            <w:tcBorders>
              <w:bottom w:val="single" w:sz="2" w:space="0" w:color="000000"/>
            </w:tcBorders>
          </w:tcPr>
          <w:p w14:paraId="2FE6BD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420D7F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2E9702A" w14:textId="77777777" w:rsidTr="000C3BE1">
        <w:trPr>
          <w:cantSplit/>
        </w:trPr>
        <w:tc>
          <w:tcPr>
            <w:tcW w:w="2616" w:type="dxa"/>
            <w:tcBorders>
              <w:bottom w:val="single" w:sz="2" w:space="0" w:color="000000"/>
            </w:tcBorders>
          </w:tcPr>
          <w:p w14:paraId="19710D0B"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210E128D"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33EA5D8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4111CCC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42E86052" w14:textId="77777777" w:rsidTr="000C3BE1">
        <w:trPr>
          <w:cantSplit/>
        </w:trPr>
        <w:tc>
          <w:tcPr>
            <w:tcW w:w="2616" w:type="dxa"/>
            <w:tcBorders>
              <w:bottom w:val="single" w:sz="2" w:space="0" w:color="000000"/>
            </w:tcBorders>
          </w:tcPr>
          <w:p w14:paraId="3080E9D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5C982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5526E6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505AB54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4347993" w14:textId="77777777" w:rsidTr="000C3BE1">
        <w:trPr>
          <w:cantSplit/>
        </w:trPr>
        <w:tc>
          <w:tcPr>
            <w:tcW w:w="2616" w:type="dxa"/>
            <w:tcBorders>
              <w:bottom w:val="single" w:sz="2" w:space="0" w:color="000000"/>
            </w:tcBorders>
          </w:tcPr>
          <w:p w14:paraId="67C3FE3B"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64FD127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5BBA7B2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1C13872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5ED5300F" w14:textId="77777777" w:rsidTr="000C3BE1">
        <w:trPr>
          <w:cantSplit/>
        </w:trPr>
        <w:tc>
          <w:tcPr>
            <w:tcW w:w="2616" w:type="dxa"/>
          </w:tcPr>
          <w:p w14:paraId="5C28BB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21B927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573A862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7B39433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33A19295"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8811D84"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19307330" w14:textId="63EA5DE9"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BoW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BoW </w:t>
      </w:r>
      <w:r w:rsidRPr="00706F03">
        <w:t>表現最高，為</w:t>
      </w:r>
      <w:r w:rsidRPr="00706F03">
        <w:t xml:space="preserve"> 0.654</w:t>
      </w:r>
      <w:r w:rsidRPr="00706F03">
        <w:t>。不過，部分資料集中三種文字特徵表示的表現差距有限，因此不宜過度解讀單一特徵表示的優劣。例如，行政案件中</w:t>
      </w:r>
      <w:r w:rsidRPr="00706F03">
        <w:t xml:space="preserve"> BoW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r w:rsidRPr="00706F03">
        <w:t xml:space="preserve">BoW </w:t>
      </w:r>
      <w:r w:rsidRPr="00706F03">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r w:rsidRPr="00706F03">
        <w:t xml:space="preserve">BoW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40D0C38C" w14:textId="68E19D5D" w:rsidR="005B7A5E" w:rsidRPr="00706F03" w:rsidRDefault="005B7A5E" w:rsidP="005B7A5E">
      <w:pPr>
        <w:spacing w:line="276" w:lineRule="auto"/>
        <w:ind w:firstLine="480"/>
      </w:pPr>
      <w:r w:rsidRPr="00706F03">
        <w:t>就可能解釋而言，三種文字特徵表示的差異可從以下三點理解。</w:t>
      </w:r>
    </w:p>
    <w:p w14:paraId="7C904648" w14:textId="46E561B1" w:rsidR="005B7A5E" w:rsidRPr="00706F03" w:rsidRDefault="005B7A5E" w:rsidP="005B7A5E">
      <w:pPr>
        <w:spacing w:line="276" w:lineRule="auto"/>
        <w:ind w:firstLine="480"/>
      </w:pPr>
      <w:r w:rsidRPr="00706F03">
        <w:t>第一，</w:t>
      </w:r>
      <w:r w:rsidRPr="00706F03">
        <w:t xml:space="preserve">BoW </w:t>
      </w:r>
      <w:r w:rsidRPr="00706F03">
        <w:t>保留詞彙是否出現或出現次數的資訊。若某些案件類型的分類訊號主要來自程序用語、請求類型、案件事實描述或法律爭點詞彙，則</w:t>
      </w:r>
      <w:r w:rsidRPr="00706F03">
        <w:t xml:space="preserve"> BoW </w:t>
      </w:r>
      <w:r w:rsidRPr="00706F03">
        <w:t>可能已足以捕捉重要分類訊號。行政案件與刑事附帶民事案件中</w:t>
      </w:r>
      <w:r w:rsidRPr="00706F03">
        <w:t xml:space="preserve"> BoW </w:t>
      </w:r>
      <w:r w:rsidRPr="00706F03">
        <w:t>表現較佳，可能即與此有關。</w:t>
      </w:r>
    </w:p>
    <w:p w14:paraId="06792A1F" w14:textId="5A749E2F"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BoW</w:t>
      </w:r>
      <w:r w:rsidRPr="00706F03">
        <w:t>，</w:t>
      </w:r>
      <w:r w:rsidRPr="00706F03">
        <w:t xml:space="preserve">TF </w:t>
      </w:r>
      <w:r w:rsidRPr="00706F03">
        <w:t>較能降低文本</w:t>
      </w:r>
      <w:r w:rsidRPr="00706F03">
        <w:lastRenderedPageBreak/>
        <w:t>長度差異對原始詞頻的影響。因此，若刑事案件中的分類訊號與特定犯罪事實、行為描述或法律用語的相對出現比例有關，</w:t>
      </w:r>
      <w:r w:rsidRPr="00706F03">
        <w:t xml:space="preserve">TF </w:t>
      </w:r>
      <w:r w:rsidRPr="00706F03">
        <w:t>便可能取得較佳表現。</w:t>
      </w:r>
    </w:p>
    <w:p w14:paraId="60A78D7B" w14:textId="73A6A0D2"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49514527" w14:textId="16EB89EB" w:rsidR="00641412" w:rsidRPr="00706F03" w:rsidRDefault="005B7A5E" w:rsidP="005B7A5E">
      <w:pPr>
        <w:spacing w:line="276" w:lineRule="auto"/>
        <w:ind w:firstLine="480"/>
        <w:rPr>
          <w:rFonts w:cs="Times New Roman"/>
        </w:rPr>
      </w:pPr>
      <w:r w:rsidRPr="00706F03">
        <w:t>綜合而言，</w:t>
      </w:r>
      <w:r w:rsidRPr="00706F03">
        <w:t>BoW</w:t>
      </w:r>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4DD6C3E8" w14:textId="6C77145C"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4.6 </w:t>
      </w:r>
      <w:r w:rsidRPr="00706F03">
        <w:rPr>
          <w:rFonts w:ascii="Times New Roman" w:eastAsia="標楷體" w:hAnsi="Times New Roman" w:cs="Times New Roman"/>
          <w:color w:val="auto"/>
          <w:szCs w:val="28"/>
        </w:rPr>
        <w:t>參數選擇與驗證集表現</w:t>
      </w:r>
      <w:r w:rsidR="004F70FB" w:rsidRPr="00706F03">
        <w:rPr>
          <w:rFonts w:ascii="Times New Roman" w:eastAsia="標楷體" w:hAnsi="Times New Roman" w:cs="Times New Roman"/>
          <w:color w:val="auto"/>
          <w:szCs w:val="28"/>
        </w:rPr>
        <w:tab/>
      </w:r>
    </w:p>
    <w:p w14:paraId="432673D9"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4-5 </w:t>
      </w:r>
      <w:r w:rsidRPr="00706F03">
        <w:rPr>
          <w:rFonts w:cs="Times New Roman"/>
        </w:rPr>
        <w:t>呈現</w:t>
      </w:r>
      <w:r w:rsidR="001E5412" w:rsidRPr="00706F03">
        <w:rPr>
          <w:rFonts w:cs="Times New Roman"/>
        </w:rPr>
        <w:t>各資料集最佳</w:t>
      </w:r>
      <w:r w:rsidR="001E5412" w:rsidRPr="00706F03">
        <w:rPr>
          <w:rFonts w:cs="Times New Roman"/>
        </w:rPr>
        <w:t xml:space="preserve"> Chi-square + SVM </w:t>
      </w:r>
      <w:r w:rsidR="001E5412" w:rsidRPr="00706F03">
        <w:rPr>
          <w:rFonts w:cs="Times New Roman"/>
        </w:rPr>
        <w:t>模型</w:t>
      </w:r>
      <w:r w:rsidRPr="00706F03">
        <w:rPr>
          <w:rFonts w:cs="Times New Roman"/>
        </w:rPr>
        <w:t>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1DF25D13" w14:textId="32B90173"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w:t>
      </w:r>
      <w:r w:rsidR="001E5412" w:rsidRPr="00706F03">
        <w:rPr>
          <w:rFonts w:cs="Times New Roman"/>
          <w:b/>
          <w:sz w:val="22"/>
          <w:szCs w:val="22"/>
        </w:rPr>
        <w:t>各資料集最佳</w:t>
      </w:r>
      <w:r w:rsidR="001E5412" w:rsidRPr="00706F03">
        <w:rPr>
          <w:rFonts w:cs="Times New Roman"/>
          <w:b/>
          <w:sz w:val="22"/>
          <w:szCs w:val="22"/>
        </w:rPr>
        <w:t xml:space="preserve"> Chi-square + SVM </w:t>
      </w:r>
      <w:r w:rsidR="001E5412" w:rsidRPr="00706F03">
        <w:rPr>
          <w:rFonts w:cs="Times New Roman"/>
          <w:b/>
          <w:sz w:val="22"/>
          <w:szCs w:val="22"/>
        </w:rPr>
        <w:t>模型</w:t>
      </w:r>
      <w:r w:rsidRPr="00706F03">
        <w:rPr>
          <w:rFonts w:cs="Times New Roman"/>
          <w:b/>
          <w:sz w:val="22"/>
          <w:szCs w:val="22"/>
        </w:rPr>
        <w:t>之參數選擇摘要</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7D46B280" w14:textId="77777777" w:rsidTr="000C3BE1">
        <w:trPr>
          <w:cantSplit/>
        </w:trPr>
        <w:tc>
          <w:tcPr>
            <w:tcW w:w="1982" w:type="dxa"/>
            <w:tcBorders>
              <w:bottom w:val="single" w:sz="2" w:space="0" w:color="000000"/>
            </w:tcBorders>
          </w:tcPr>
          <w:p w14:paraId="75E969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168B18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7140B57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5A7DA5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213EB23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59887DD5" w14:textId="77777777" w:rsidTr="000C3BE1">
        <w:trPr>
          <w:cantSplit/>
        </w:trPr>
        <w:tc>
          <w:tcPr>
            <w:tcW w:w="1982" w:type="dxa"/>
            <w:tcBorders>
              <w:bottom w:val="single" w:sz="2" w:space="0" w:color="000000"/>
            </w:tcBorders>
          </w:tcPr>
          <w:p w14:paraId="1C3ADB41"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18F9FEB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9AE865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476527E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EB89067"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02DE9AD1" w14:textId="77777777" w:rsidTr="000C3BE1">
        <w:trPr>
          <w:cantSplit/>
        </w:trPr>
        <w:tc>
          <w:tcPr>
            <w:tcW w:w="1982" w:type="dxa"/>
            <w:tcBorders>
              <w:bottom w:val="single" w:sz="2" w:space="0" w:color="000000"/>
            </w:tcBorders>
          </w:tcPr>
          <w:p w14:paraId="645039FB"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74CD37B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7FDF1FA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DCF12A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7C0C67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78874D6" w14:textId="77777777" w:rsidTr="000C3BE1">
        <w:trPr>
          <w:cantSplit/>
        </w:trPr>
        <w:tc>
          <w:tcPr>
            <w:tcW w:w="1982" w:type="dxa"/>
            <w:tcBorders>
              <w:bottom w:val="single" w:sz="2" w:space="0" w:color="000000"/>
            </w:tcBorders>
          </w:tcPr>
          <w:p w14:paraId="30E5EE6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7FF80B9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69E24BD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985689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7E09C2F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135C251A" w14:textId="77777777" w:rsidTr="000C3BE1">
        <w:trPr>
          <w:cantSplit/>
        </w:trPr>
        <w:tc>
          <w:tcPr>
            <w:tcW w:w="1982" w:type="dxa"/>
          </w:tcPr>
          <w:p w14:paraId="28F71521"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29F24F3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4FD665C5"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6F0B208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8EB3BA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1080919" w14:textId="77777777" w:rsidR="00641412" w:rsidRPr="00706F03" w:rsidRDefault="00641412" w:rsidP="0004071A">
      <w:pPr>
        <w:spacing w:before="80" w:after="80" w:line="276" w:lineRule="auto"/>
        <w:ind w:firstLine="0"/>
        <w:rPr>
          <w:rFonts w:cs="Times New Roman"/>
        </w:rPr>
      </w:pPr>
    </w:p>
    <w:p w14:paraId="3C51D5D4"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lastRenderedPageBreak/>
        <w:drawing>
          <wp:inline distT="0" distB="0" distL="0" distR="0" wp14:anchorId="765BF8BB" wp14:editId="2E94A848">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2A85066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0E791B50" w14:textId="05B3E125" w:rsidR="00641412" w:rsidRPr="00706F03" w:rsidRDefault="00461938" w:rsidP="00CC5F60">
      <w:pPr>
        <w:spacing w:line="276" w:lineRule="auto"/>
        <w:ind w:firstLine="480"/>
        <w:rPr>
          <w:rFonts w:cs="Times New Roman"/>
        </w:rPr>
      </w:pPr>
      <w:r w:rsidRPr="00706F03">
        <w:t>根據表</w:t>
      </w:r>
      <w:r w:rsidRPr="00706F03">
        <w:t xml:space="preserve"> 4-5</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w:t>
      </w:r>
      <w:r w:rsidRPr="00706F03">
        <w:rPr>
          <w:rFonts w:cs="Times New Roman"/>
        </w:rPr>
        <w:t>不過，此表僅能說明各資料集最佳模型之參數選擇結果，不能直接推論所有資料集皆具有相同最佳</w:t>
      </w:r>
      <w:r w:rsidRPr="00706F03">
        <w:rPr>
          <w:rFonts w:cs="Times New Roman"/>
        </w:rPr>
        <w:t xml:space="preserve"> K </w:t>
      </w:r>
      <w:r w:rsidRPr="00706F03">
        <w:rPr>
          <w:rFonts w:cs="Times New Roman"/>
        </w:rPr>
        <w:t>與</w:t>
      </w:r>
      <w:r w:rsidRPr="00706F03">
        <w:rPr>
          <w:rFonts w:cs="Times New Roman"/>
        </w:rPr>
        <w:t xml:space="preserve"> C</w:t>
      </w:r>
      <w:r w:rsidRPr="00706F03">
        <w:rPr>
          <w:rFonts w:cs="Times New Roman"/>
        </w:rPr>
        <w:t>。圖</w:t>
      </w:r>
      <w:r w:rsidRPr="00706F03">
        <w:rPr>
          <w:rFonts w:cs="Times New Roman"/>
        </w:rPr>
        <w:t xml:space="preserve"> 4-3 </w:t>
      </w:r>
      <w:r w:rsidRPr="00706F03">
        <w:rPr>
          <w:rFonts w:cs="Times New Roman"/>
        </w:rPr>
        <w:t>進一步呈現各資料集在不同</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組合下之</w:t>
      </w:r>
      <w:r w:rsidRPr="00706F03">
        <w:rPr>
          <w:rFonts w:cs="Times New Roman"/>
        </w:rPr>
        <w:t xml:space="preserve"> validation Macro F1</w:t>
      </w:r>
      <w:r w:rsidRPr="00706F03">
        <w:rPr>
          <w:rFonts w:cs="Times New Roman"/>
        </w:rPr>
        <w:t>，紅框標示各資料集之最佳組合；若要更完整檢驗參數結果是否穩定，仍需搭配</w:t>
      </w:r>
      <w:r w:rsidR="00003F10" w:rsidRPr="00706F03">
        <w:rPr>
          <w:rFonts w:cs="Times New Roman"/>
        </w:rPr>
        <w:t>重複隨機</w:t>
      </w:r>
      <w:r w:rsidR="0049398B" w:rsidRPr="00706F03">
        <w:rPr>
          <w:rFonts w:cs="Times New Roman" w:hint="eastAsia"/>
          <w:szCs w:val="28"/>
        </w:rPr>
        <w:t>劃分</w:t>
      </w:r>
      <w:r w:rsidR="00003F10" w:rsidRPr="00706F03">
        <w:rPr>
          <w:rFonts w:cs="Times New Roman"/>
        </w:rPr>
        <w:t>或交叉驗證</w:t>
      </w:r>
      <w:r w:rsidRPr="00706F03">
        <w:rPr>
          <w:rFonts w:cs="Times New Roman"/>
        </w:rPr>
        <w:t>進行確認。</w:t>
      </w:r>
    </w:p>
    <w:p w14:paraId="57199484" w14:textId="61B18BA7" w:rsidR="0064141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4.7 </w:t>
      </w:r>
      <w:r w:rsidRPr="00706F03">
        <w:rPr>
          <w:rFonts w:ascii="Times New Roman" w:eastAsia="標楷體" w:hAnsi="Times New Roman" w:cs="Times New Roman"/>
          <w:color w:val="auto"/>
          <w:szCs w:val="28"/>
        </w:rPr>
        <w:t>錯誤分析與少數類別限制</w:t>
      </w:r>
      <w:r w:rsidR="004F70FB" w:rsidRPr="00706F03">
        <w:rPr>
          <w:rFonts w:ascii="Times New Roman" w:eastAsia="標楷體" w:hAnsi="Times New Roman" w:cs="Times New Roman"/>
          <w:color w:val="auto"/>
          <w:szCs w:val="28"/>
        </w:rPr>
        <w:tab/>
      </w:r>
    </w:p>
    <w:p w14:paraId="27864212" w14:textId="0AA7C38A"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被誤判的情形。第二，民事智慧財產權案件常涉及侵權責任、損害賠償、權利歸屬與商業利益衝突。其裁判結果較容易連結當事人之經濟利益，因此具有實務與經濟</w:t>
      </w:r>
      <w:r w:rsidR="00754FFD" w:rsidRPr="00706F03">
        <w:rPr>
          <w:rFonts w:cs="Times New Roman"/>
        </w:rPr>
        <w:lastRenderedPageBreak/>
        <w:t>解讀意義。</w:t>
      </w:r>
    </w:p>
    <w:p w14:paraId="64A183AE" w14:textId="77777777" w:rsidR="00754FFD" w:rsidRPr="00706F03" w:rsidRDefault="00754FFD" w:rsidP="0004071A">
      <w:pPr>
        <w:spacing w:line="276" w:lineRule="auto"/>
        <w:ind w:firstLine="480"/>
        <w:rPr>
          <w:rFonts w:cs="Times New Roman"/>
        </w:rPr>
      </w:pPr>
      <w:r w:rsidRPr="00706F03">
        <w:rPr>
          <w:rFonts w:cs="Times New Roman"/>
        </w:rPr>
        <w:t>民事案件中，</w:t>
      </w:r>
      <w:r w:rsidR="001E5412" w:rsidRPr="00706F03">
        <w:rPr>
          <w:rFonts w:cs="Times New Roman"/>
        </w:rPr>
        <w:t>最佳</w:t>
      </w:r>
      <w:r w:rsidR="001E5412" w:rsidRPr="00706F03">
        <w:rPr>
          <w:rFonts w:cs="Times New Roman"/>
        </w:rPr>
        <w:t xml:space="preserve"> Chi-square + SVM </w:t>
      </w:r>
      <w:r w:rsidR="001E5412" w:rsidRPr="00706F03">
        <w:rPr>
          <w:rFonts w:cs="Times New Roman"/>
        </w:rPr>
        <w:t>模型雖</w:t>
      </w:r>
      <w:r w:rsidRPr="00706F03">
        <w:rPr>
          <w:rFonts w:cs="Times New Roman"/>
        </w:rPr>
        <w:t>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4-6 </w:t>
      </w:r>
      <w:r w:rsidRPr="00706F03">
        <w:rPr>
          <w:rFonts w:cs="Times New Roman"/>
        </w:rPr>
        <w:t>為測試集混淆矩陣，表</w:t>
      </w:r>
      <w:r w:rsidRPr="00706F03">
        <w:rPr>
          <w:rFonts w:cs="Times New Roman"/>
        </w:rPr>
        <w:t xml:space="preserve"> 4-7 </w:t>
      </w:r>
      <w:r w:rsidRPr="00706F03">
        <w:rPr>
          <w:rFonts w:cs="Times New Roman"/>
        </w:rPr>
        <w:t>為分類報告。</w:t>
      </w:r>
    </w:p>
    <w:p w14:paraId="2345A492"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4-6 </w:t>
      </w:r>
      <w:r w:rsidR="001E5412" w:rsidRPr="00706F03">
        <w:rPr>
          <w:rFonts w:cs="Times New Roman"/>
          <w:b/>
          <w:sz w:val="22"/>
          <w:szCs w:val="22"/>
        </w:rPr>
        <w:t>民事案件最佳</w:t>
      </w:r>
      <w:r w:rsidR="001E5412" w:rsidRPr="00706F03">
        <w:rPr>
          <w:rFonts w:cs="Times New Roman"/>
          <w:b/>
          <w:sz w:val="22"/>
          <w:szCs w:val="22"/>
        </w:rPr>
        <w:t xml:space="preserve"> Chi-square + SVM </w:t>
      </w:r>
      <w:r w:rsidR="001E5412" w:rsidRPr="00706F03">
        <w:rPr>
          <w:rFonts w:cs="Times New Roman"/>
          <w:b/>
          <w:sz w:val="22"/>
          <w:szCs w:val="22"/>
        </w:rPr>
        <w:t>模型</w:t>
      </w:r>
      <w:r w:rsidRPr="00706F03">
        <w:rPr>
          <w:rFonts w:cs="Times New Roman"/>
          <w:b/>
          <w:sz w:val="22"/>
          <w:szCs w:val="22"/>
        </w:rPr>
        <w:t>之測試集混淆矩陣</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5CE42E6F" w14:textId="77777777" w:rsidTr="000C3BE1">
        <w:trPr>
          <w:cantSplit/>
        </w:trPr>
        <w:tc>
          <w:tcPr>
            <w:tcW w:w="2616" w:type="dxa"/>
            <w:tcBorders>
              <w:bottom w:val="single" w:sz="2" w:space="0" w:color="000000"/>
            </w:tcBorders>
          </w:tcPr>
          <w:p w14:paraId="41C74044"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3F958A2"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5FC9EFDA"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61037674"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7843AFD5" w14:textId="77777777" w:rsidTr="000C3BE1">
        <w:trPr>
          <w:cantSplit/>
        </w:trPr>
        <w:tc>
          <w:tcPr>
            <w:tcW w:w="2616" w:type="dxa"/>
            <w:tcBorders>
              <w:bottom w:val="single" w:sz="2" w:space="0" w:color="000000"/>
            </w:tcBorders>
          </w:tcPr>
          <w:p w14:paraId="38D6408D"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0E772E1A"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0D305CD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3672D5B"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93DBEDF" w14:textId="77777777" w:rsidTr="000C3BE1">
        <w:trPr>
          <w:cantSplit/>
        </w:trPr>
        <w:tc>
          <w:tcPr>
            <w:tcW w:w="2616" w:type="dxa"/>
            <w:tcBorders>
              <w:bottom w:val="single" w:sz="2" w:space="0" w:color="000000"/>
            </w:tcBorders>
          </w:tcPr>
          <w:p w14:paraId="57BD6BEC"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18E22C28"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37C4B1D4"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0FE6EDCE"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65E484A5" w14:textId="77777777" w:rsidTr="000C3BE1">
        <w:trPr>
          <w:cantSplit/>
        </w:trPr>
        <w:tc>
          <w:tcPr>
            <w:tcW w:w="2616" w:type="dxa"/>
          </w:tcPr>
          <w:p w14:paraId="40D02BFB"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0D341427"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21F5D91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6F95EE51"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0AC1AB73"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001E5412" w:rsidRPr="00706F03">
        <w:rPr>
          <w:rFonts w:cs="Times New Roman"/>
          <w:b/>
          <w:sz w:val="22"/>
          <w:szCs w:val="22"/>
        </w:rPr>
        <w:t>民事案件最佳</w:t>
      </w:r>
      <w:r w:rsidR="001E5412" w:rsidRPr="00706F03">
        <w:rPr>
          <w:rFonts w:cs="Times New Roman"/>
          <w:b/>
          <w:sz w:val="22"/>
          <w:szCs w:val="22"/>
        </w:rPr>
        <w:t xml:space="preserve"> Chi-square + SVM </w:t>
      </w:r>
      <w:r w:rsidR="001E5412" w:rsidRPr="00706F03">
        <w:rPr>
          <w:rFonts w:cs="Times New Roman"/>
          <w:b/>
          <w:sz w:val="22"/>
          <w:szCs w:val="22"/>
        </w:rPr>
        <w:t>模型</w:t>
      </w:r>
      <w:r w:rsidRPr="00706F03">
        <w:rPr>
          <w:rFonts w:cs="Times New Roman"/>
          <w:b/>
          <w:sz w:val="22"/>
          <w:szCs w:val="22"/>
        </w:rPr>
        <w:t>之分類報告</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3C89144D" w14:textId="77777777" w:rsidTr="000C3BE1">
        <w:trPr>
          <w:cantSplit/>
        </w:trPr>
        <w:tc>
          <w:tcPr>
            <w:tcW w:w="2093" w:type="dxa"/>
            <w:tcBorders>
              <w:bottom w:val="single" w:sz="2" w:space="0" w:color="000000"/>
            </w:tcBorders>
          </w:tcPr>
          <w:p w14:paraId="42DB17C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6A2BB4D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29C6430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3606149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2251F0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1EB80D51" w14:textId="77777777" w:rsidTr="000C3BE1">
        <w:trPr>
          <w:cantSplit/>
        </w:trPr>
        <w:tc>
          <w:tcPr>
            <w:tcW w:w="2093" w:type="dxa"/>
            <w:tcBorders>
              <w:bottom w:val="single" w:sz="2" w:space="0" w:color="000000"/>
            </w:tcBorders>
          </w:tcPr>
          <w:p w14:paraId="71DC9035"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359530F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378493B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742332A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055B682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7345421A" w14:textId="77777777" w:rsidTr="000C3BE1">
        <w:trPr>
          <w:cantSplit/>
        </w:trPr>
        <w:tc>
          <w:tcPr>
            <w:tcW w:w="2093" w:type="dxa"/>
            <w:tcBorders>
              <w:bottom w:val="single" w:sz="2" w:space="0" w:color="000000"/>
            </w:tcBorders>
          </w:tcPr>
          <w:p w14:paraId="15E3B22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5B36077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2CA1C4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EABAFC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7B8332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033BD902" w14:textId="77777777" w:rsidTr="000C3BE1">
        <w:trPr>
          <w:cantSplit/>
        </w:trPr>
        <w:tc>
          <w:tcPr>
            <w:tcW w:w="2093" w:type="dxa"/>
            <w:tcBorders>
              <w:bottom w:val="single" w:sz="2" w:space="0" w:color="000000"/>
            </w:tcBorders>
          </w:tcPr>
          <w:p w14:paraId="4305CC7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5081D62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2001B01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7BCC7F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6F50A0F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6CEB916E" w14:textId="77777777" w:rsidTr="000C3BE1">
        <w:trPr>
          <w:cantSplit/>
        </w:trPr>
        <w:tc>
          <w:tcPr>
            <w:tcW w:w="2093" w:type="dxa"/>
            <w:tcBorders>
              <w:bottom w:val="single" w:sz="2" w:space="0" w:color="000000"/>
            </w:tcBorders>
          </w:tcPr>
          <w:p w14:paraId="2A00DAE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7DDA73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4096DD6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76B84D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177B36A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7C969CC1" w14:textId="77777777" w:rsidTr="000C3BE1">
        <w:trPr>
          <w:cantSplit/>
        </w:trPr>
        <w:tc>
          <w:tcPr>
            <w:tcW w:w="2093" w:type="dxa"/>
          </w:tcPr>
          <w:p w14:paraId="24372C16"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73A31D0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539DC25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6634E5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164BFF8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0223F99E" w14:textId="636C63AF" w:rsidR="004A07C8" w:rsidRPr="00706F03" w:rsidRDefault="00461938" w:rsidP="006960A7">
      <w:pPr>
        <w:spacing w:line="276" w:lineRule="auto"/>
        <w:ind w:firstLine="480"/>
        <w:rPr>
          <w:rFonts w:cs="Times New Roman"/>
        </w:rPr>
      </w:pPr>
      <w:r w:rsidRPr="00706F03">
        <w:rPr>
          <w:rFonts w:cs="Times New Roman"/>
        </w:rPr>
        <w:t>根據表</w:t>
      </w:r>
      <w:r w:rsidRPr="00706F03">
        <w:rPr>
          <w:rFonts w:cs="Times New Roman"/>
        </w:rPr>
        <w:t xml:space="preserve"> 4-6</w:t>
      </w:r>
      <w:r w:rsidRPr="00706F03">
        <w:rPr>
          <w:rFonts w:cs="Times New Roman"/>
        </w:rPr>
        <w:t>，民事案件模型主要能正確辨識</w:t>
      </w:r>
      <w:r w:rsidRPr="00706F03">
        <w:rPr>
          <w:rFonts w:cs="Times New Roman"/>
        </w:rPr>
        <w:t xml:space="preserve"> Lose </w:t>
      </w:r>
      <w:r w:rsidRPr="00706F03">
        <w:rPr>
          <w:rFonts w:cs="Times New Roman"/>
        </w:rPr>
        <w:t>類別。</w:t>
      </w:r>
      <w:r w:rsidRPr="00706F03">
        <w:rPr>
          <w:rFonts w:cs="Times New Roman"/>
        </w:rPr>
        <w:t xml:space="preserve">Actual Lose </w:t>
      </w:r>
      <w:r w:rsidRPr="00706F03">
        <w:rPr>
          <w:rFonts w:cs="Times New Roman"/>
        </w:rPr>
        <w:t>共有</w:t>
      </w:r>
      <w:r w:rsidRPr="00706F03">
        <w:rPr>
          <w:rFonts w:cs="Times New Roman"/>
        </w:rPr>
        <w:t xml:space="preserve"> 766 </w:t>
      </w:r>
      <w:r w:rsidRPr="00706F03">
        <w:rPr>
          <w:rFonts w:cs="Times New Roman"/>
        </w:rPr>
        <w:t>件，其中</w:t>
      </w:r>
      <w:r w:rsidRPr="00706F03">
        <w:rPr>
          <w:rFonts w:cs="Times New Roman"/>
        </w:rPr>
        <w:t xml:space="preserve"> 683 </w:t>
      </w:r>
      <w:r w:rsidRPr="00706F03">
        <w:rPr>
          <w:rFonts w:cs="Times New Roman"/>
        </w:rPr>
        <w:t>件被正確預測為</w:t>
      </w:r>
      <w:r w:rsidRPr="00706F03">
        <w:rPr>
          <w:rFonts w:cs="Times New Roman"/>
        </w:rPr>
        <w:t xml:space="preserve"> Lose</w:t>
      </w:r>
      <w:r w:rsidRPr="00706F03">
        <w:rPr>
          <w:rFonts w:cs="Times New Roman"/>
        </w:rPr>
        <w:t>，</w:t>
      </w:r>
      <w:r w:rsidRPr="00706F03">
        <w:rPr>
          <w:rFonts w:cs="Times New Roman"/>
        </w:rPr>
        <w:t xml:space="preserve">Recall </w:t>
      </w:r>
      <w:r w:rsidRPr="00706F03">
        <w:rPr>
          <w:rFonts w:cs="Times New Roman"/>
        </w:rPr>
        <w:t>達</w:t>
      </w:r>
      <w:r w:rsidRPr="00706F03">
        <w:rPr>
          <w:rFonts w:cs="Times New Roman"/>
        </w:rPr>
        <w:t xml:space="preserve"> 0.892</w:t>
      </w:r>
      <w:r w:rsidR="004A07C8" w:rsidRPr="00706F03">
        <w:rPr>
          <w:rFonts w:cs="Times New Roman"/>
        </w:rPr>
        <w:t>。相較之下，</w:t>
      </w:r>
      <w:r w:rsidR="004A07C8" w:rsidRPr="00706F03">
        <w:rPr>
          <w:rFonts w:cs="Times New Roman"/>
        </w:rPr>
        <w:t xml:space="preserve">Mixed </w:t>
      </w:r>
      <w:r w:rsidR="004A07C8" w:rsidRPr="00706F03">
        <w:rPr>
          <w:rFonts w:cs="Times New Roman"/>
        </w:rPr>
        <w:t>與</w:t>
      </w:r>
      <w:r w:rsidR="004A07C8" w:rsidRPr="00706F03">
        <w:rPr>
          <w:rFonts w:cs="Times New Roman"/>
        </w:rPr>
        <w:t xml:space="preserve"> Win </w:t>
      </w:r>
      <w:r w:rsidR="004A07C8" w:rsidRPr="00706F03">
        <w:rPr>
          <w:rFonts w:cs="Times New Roman"/>
        </w:rPr>
        <w:t>類別表現明顯較弱。</w:t>
      </w:r>
      <w:r w:rsidR="004A07C8" w:rsidRPr="00706F03">
        <w:rPr>
          <w:rFonts w:cs="Times New Roman"/>
        </w:rPr>
        <w:t xml:space="preserve">Actual Mixed </w:t>
      </w:r>
      <w:r w:rsidR="004A07C8" w:rsidRPr="00706F03">
        <w:rPr>
          <w:rFonts w:cs="Times New Roman"/>
        </w:rPr>
        <w:t>共有</w:t>
      </w:r>
      <w:r w:rsidR="004A07C8" w:rsidRPr="00706F03">
        <w:rPr>
          <w:rFonts w:cs="Times New Roman"/>
        </w:rPr>
        <w:t xml:space="preserve"> 281 </w:t>
      </w:r>
      <w:r w:rsidR="004A07C8" w:rsidRPr="00706F03">
        <w:rPr>
          <w:rFonts w:cs="Times New Roman"/>
        </w:rPr>
        <w:t>件，僅</w:t>
      </w:r>
      <w:r w:rsidR="004A07C8" w:rsidRPr="00706F03">
        <w:rPr>
          <w:rFonts w:cs="Times New Roman"/>
        </w:rPr>
        <w:t xml:space="preserve"> 80 </w:t>
      </w:r>
      <w:r w:rsidR="004A07C8" w:rsidRPr="00706F03">
        <w:rPr>
          <w:rFonts w:cs="Times New Roman"/>
        </w:rPr>
        <w:t>件被正確預測為</w:t>
      </w:r>
      <w:r w:rsidR="004A07C8" w:rsidRPr="00706F03">
        <w:rPr>
          <w:rFonts w:cs="Times New Roman"/>
        </w:rPr>
        <w:t xml:space="preserve"> Mixed</w:t>
      </w:r>
      <w:r w:rsidR="004A07C8" w:rsidRPr="00706F03">
        <w:rPr>
          <w:rFonts w:cs="Times New Roman"/>
        </w:rPr>
        <w:t>，另有</w:t>
      </w:r>
      <w:r w:rsidR="004A07C8" w:rsidRPr="00706F03">
        <w:rPr>
          <w:rFonts w:cs="Times New Roman"/>
        </w:rPr>
        <w:t xml:space="preserve"> 192 </w:t>
      </w:r>
      <w:r w:rsidR="004A07C8" w:rsidRPr="00706F03">
        <w:rPr>
          <w:rFonts w:cs="Times New Roman"/>
        </w:rPr>
        <w:t>件被誤判為</w:t>
      </w:r>
      <w:r w:rsidR="004A07C8" w:rsidRPr="00706F03">
        <w:rPr>
          <w:rFonts w:cs="Times New Roman"/>
        </w:rPr>
        <w:t xml:space="preserve"> Lose</w:t>
      </w:r>
      <w:r w:rsidR="004A07C8" w:rsidRPr="00706F03">
        <w:rPr>
          <w:rFonts w:cs="Times New Roman"/>
        </w:rPr>
        <w:t>。</w:t>
      </w:r>
      <w:r w:rsidR="004A07C8" w:rsidRPr="00706F03">
        <w:rPr>
          <w:rFonts w:cs="Times New Roman"/>
        </w:rPr>
        <w:t xml:space="preserve">Actual Win </w:t>
      </w:r>
      <w:r w:rsidR="004A07C8" w:rsidRPr="00706F03">
        <w:rPr>
          <w:rFonts w:cs="Times New Roman"/>
        </w:rPr>
        <w:t>共有</w:t>
      </w:r>
      <w:r w:rsidR="004A07C8" w:rsidRPr="00706F03">
        <w:rPr>
          <w:rFonts w:cs="Times New Roman"/>
        </w:rPr>
        <w:t xml:space="preserve"> 86 </w:t>
      </w:r>
      <w:r w:rsidR="004A07C8" w:rsidRPr="00706F03">
        <w:rPr>
          <w:rFonts w:cs="Times New Roman"/>
        </w:rPr>
        <w:t>件，僅</w:t>
      </w:r>
      <w:r w:rsidR="004A07C8" w:rsidRPr="00706F03">
        <w:rPr>
          <w:rFonts w:cs="Times New Roman"/>
        </w:rPr>
        <w:t xml:space="preserve"> 7 </w:t>
      </w:r>
      <w:r w:rsidR="004A07C8" w:rsidRPr="00706F03">
        <w:rPr>
          <w:rFonts w:cs="Times New Roman"/>
        </w:rPr>
        <w:t>件被正確預測為</w:t>
      </w:r>
      <w:r w:rsidR="004A07C8" w:rsidRPr="00706F03">
        <w:rPr>
          <w:rFonts w:cs="Times New Roman"/>
        </w:rPr>
        <w:t xml:space="preserve"> Win</w:t>
      </w:r>
      <w:r w:rsidR="004A07C8" w:rsidRPr="00706F03">
        <w:rPr>
          <w:rFonts w:cs="Times New Roman"/>
        </w:rPr>
        <w:t>，另有</w:t>
      </w:r>
      <w:r w:rsidR="004A07C8" w:rsidRPr="00706F03">
        <w:rPr>
          <w:rFonts w:cs="Times New Roman"/>
        </w:rPr>
        <w:t xml:space="preserve"> 62 </w:t>
      </w:r>
      <w:r w:rsidR="004A07C8" w:rsidRPr="00706F03">
        <w:rPr>
          <w:rFonts w:cs="Times New Roman"/>
        </w:rPr>
        <w:t>件被誤判為</w:t>
      </w:r>
      <w:r w:rsidR="004A07C8" w:rsidRPr="00706F03">
        <w:rPr>
          <w:rFonts w:cs="Times New Roman"/>
        </w:rPr>
        <w:t xml:space="preserve"> Lose</w:t>
      </w:r>
      <w:r w:rsidR="004A07C8" w:rsidRPr="00706F03">
        <w:rPr>
          <w:rFonts w:cs="Times New Roman"/>
        </w:rPr>
        <w:t>。此結果顯示，模型在民事案件中明顯傾向預測</w:t>
      </w:r>
      <w:r w:rsidR="004A07C8" w:rsidRPr="00706F03">
        <w:rPr>
          <w:rFonts w:cs="Times New Roman"/>
        </w:rPr>
        <w:t xml:space="preserve"> Lose </w:t>
      </w:r>
      <w:r w:rsidR="004A07C8" w:rsidRPr="00706F03">
        <w:rPr>
          <w:rFonts w:cs="Times New Roman"/>
        </w:rPr>
        <w:t>類別。換言之，</w:t>
      </w:r>
      <w:r w:rsidR="004A07C8" w:rsidRPr="00706F03">
        <w:rPr>
          <w:rFonts w:cs="Times New Roman"/>
        </w:rPr>
        <w:t xml:space="preserve">Mixed </w:t>
      </w:r>
      <w:r w:rsidR="004A07C8" w:rsidRPr="00706F03">
        <w:rPr>
          <w:rFonts w:cs="Times New Roman"/>
        </w:rPr>
        <w:t>與</w:t>
      </w:r>
      <w:r w:rsidR="004A07C8" w:rsidRPr="00706F03">
        <w:rPr>
          <w:rFonts w:cs="Times New Roman"/>
        </w:rPr>
        <w:t xml:space="preserve"> Win </w:t>
      </w:r>
      <w:r w:rsidR="004A07C8" w:rsidRPr="00706F03">
        <w:rPr>
          <w:rFonts w:cs="Times New Roman"/>
        </w:rPr>
        <w:t>類別容易被歸入敗訴。</w:t>
      </w:r>
    </w:p>
    <w:p w14:paraId="60EF8D1A" w14:textId="5039228A" w:rsidR="004A07C8" w:rsidRPr="00706F03" w:rsidRDefault="004A07C8" w:rsidP="006960A7">
      <w:pPr>
        <w:spacing w:line="276" w:lineRule="auto"/>
        <w:rPr>
          <w:rFonts w:cs="Times New Roman"/>
        </w:rPr>
      </w:pPr>
      <w:r w:rsidRPr="00706F03">
        <w:rPr>
          <w:rFonts w:cs="Times New Roman"/>
        </w:rPr>
        <w:t>表</w:t>
      </w:r>
      <w:r w:rsidRPr="00706F03">
        <w:rPr>
          <w:rFonts w:cs="Times New Roman"/>
        </w:rPr>
        <w:t xml:space="preserve"> 4-7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104FC67"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62CF582D" w14:textId="6B9214A7" w:rsidR="004A07C8" w:rsidRPr="00706F03" w:rsidRDefault="004A07C8" w:rsidP="006960A7">
      <w:pPr>
        <w:pStyle w:val="a9"/>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w:t>
      </w:r>
      <w:r w:rsidRPr="00706F03">
        <w:rPr>
          <w:rFonts w:cs="Times New Roman"/>
        </w:rPr>
        <w:lastRenderedPageBreak/>
        <w:t>部分當事人與部分爭點作成不同判斷。這些案件雖然同樣被整理為</w:t>
      </w:r>
      <w:r w:rsidRPr="00706F03">
        <w:rPr>
          <w:rFonts w:cs="Times New Roman"/>
        </w:rPr>
        <w:t xml:space="preserve"> Mixed</w:t>
      </w:r>
      <w:r w:rsidRPr="00706F03">
        <w:rPr>
          <w:rFonts w:cs="Times New Roman"/>
        </w:rPr>
        <w:t>，但其法律意義與文本特徵未必一致。因此，模型較難學習到穩定的</w:t>
      </w:r>
      <w:r w:rsidRPr="00706F03">
        <w:rPr>
          <w:rFonts w:cs="Times New Roman"/>
        </w:rPr>
        <w:t xml:space="preserve"> Mixed </w:t>
      </w:r>
      <w:r w:rsidRPr="00706F03">
        <w:rPr>
          <w:rFonts w:cs="Times New Roman"/>
        </w:rPr>
        <w:t>類別訊號。</w:t>
      </w:r>
    </w:p>
    <w:p w14:paraId="4A6CDFDF" w14:textId="1A3FA120" w:rsidR="004A07C8" w:rsidRPr="00706F03" w:rsidRDefault="004A07C8" w:rsidP="006960A7">
      <w:pPr>
        <w:pStyle w:val="a9"/>
        <w:numPr>
          <w:ilvl w:val="0"/>
          <w:numId w:val="21"/>
        </w:numPr>
        <w:spacing w:line="276" w:lineRule="auto"/>
        <w:rPr>
          <w:rFonts w:cs="Times New Roman"/>
        </w:rPr>
      </w:pPr>
      <w:r w:rsidRPr="00706F03">
        <w:rPr>
          <w:rFonts w:cs="Times New Roman"/>
        </w:rPr>
        <w:t>不同裁判結果之間可能共享相似法律詞彙。本研究已移除「駁回」、「有理由」、「准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5812D677" w14:textId="453CAD85" w:rsidR="004A07C8" w:rsidRPr="00706F03" w:rsidRDefault="004A07C8" w:rsidP="006960A7">
      <w:pPr>
        <w:pStyle w:val="a9"/>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4E745829" w14:textId="11303460"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60670E42"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001E5412" w:rsidRPr="00706F03">
        <w:rPr>
          <w:rFonts w:cs="Times New Roman"/>
          <w:b/>
          <w:sz w:val="22"/>
          <w:szCs w:val="22"/>
        </w:rPr>
        <w:t>各資料集最佳</w:t>
      </w:r>
      <w:r w:rsidR="001E5412" w:rsidRPr="00706F03">
        <w:rPr>
          <w:rFonts w:cs="Times New Roman"/>
          <w:b/>
          <w:sz w:val="22"/>
          <w:szCs w:val="22"/>
        </w:rPr>
        <w:t xml:space="preserve"> Chi-square + SVM </w:t>
      </w:r>
      <w:r w:rsidR="001E5412" w:rsidRPr="00706F03">
        <w:rPr>
          <w:rFonts w:cs="Times New Roman"/>
          <w:b/>
          <w:sz w:val="22"/>
          <w:szCs w:val="22"/>
        </w:rPr>
        <w:t>模型</w:t>
      </w:r>
      <w:r w:rsidRPr="00706F03">
        <w:rPr>
          <w:rFonts w:cs="Times New Roman"/>
          <w:b/>
          <w:sz w:val="22"/>
          <w:szCs w:val="22"/>
        </w:rPr>
        <w:t>之類別</w:t>
      </w:r>
      <w:r w:rsidRPr="00706F03">
        <w:rPr>
          <w:rFonts w:cs="Times New Roman"/>
          <w:b/>
          <w:sz w:val="22"/>
          <w:szCs w:val="22"/>
        </w:rPr>
        <w:t xml:space="preserve"> F1 </w:t>
      </w:r>
      <w:r w:rsidRPr="00706F03">
        <w:rPr>
          <w:rFonts w:cs="Times New Roman"/>
          <w:b/>
          <w:sz w:val="22"/>
          <w:szCs w:val="22"/>
        </w:rPr>
        <w:t>摘要</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38C5E14F" w14:textId="77777777" w:rsidTr="000C3BE1">
        <w:trPr>
          <w:cantSplit/>
        </w:trPr>
        <w:tc>
          <w:tcPr>
            <w:tcW w:w="1755" w:type="dxa"/>
            <w:tcBorders>
              <w:bottom w:val="single" w:sz="2" w:space="0" w:color="000000"/>
            </w:tcBorders>
          </w:tcPr>
          <w:p w14:paraId="6C9AF35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0F76F42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1814D0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38746B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655CEB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6BE4AA9A" w14:textId="77777777" w:rsidTr="000C3BE1">
        <w:trPr>
          <w:cantSplit/>
        </w:trPr>
        <w:tc>
          <w:tcPr>
            <w:tcW w:w="1755" w:type="dxa"/>
            <w:tcBorders>
              <w:bottom w:val="single" w:sz="2" w:space="0" w:color="000000"/>
            </w:tcBorders>
          </w:tcPr>
          <w:p w14:paraId="1A61600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24AEB016"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5CA5FBE8"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66BDCACC"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1A19D3F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54A2F08E" w14:textId="77777777" w:rsidTr="000C3BE1">
        <w:trPr>
          <w:cantSplit/>
        </w:trPr>
        <w:tc>
          <w:tcPr>
            <w:tcW w:w="1755" w:type="dxa"/>
            <w:tcBorders>
              <w:bottom w:val="single" w:sz="2" w:space="0" w:color="000000"/>
            </w:tcBorders>
          </w:tcPr>
          <w:p w14:paraId="3E71BEEC"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CB629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6368647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6E3656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4CB4F18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18C29980" w14:textId="77777777" w:rsidTr="000C3BE1">
        <w:trPr>
          <w:cantSplit/>
        </w:trPr>
        <w:tc>
          <w:tcPr>
            <w:tcW w:w="1755" w:type="dxa"/>
            <w:tcBorders>
              <w:bottom w:val="single" w:sz="2" w:space="0" w:color="000000"/>
            </w:tcBorders>
          </w:tcPr>
          <w:p w14:paraId="09F364FC"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5975D28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4" w:type="dxa"/>
            <w:tcBorders>
              <w:bottom w:val="single" w:sz="2" w:space="0" w:color="000000"/>
            </w:tcBorders>
          </w:tcPr>
          <w:p w14:paraId="1819E9E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352FBFA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7" w:type="dxa"/>
            <w:tcBorders>
              <w:bottom w:val="single" w:sz="2" w:space="0" w:color="000000"/>
            </w:tcBorders>
          </w:tcPr>
          <w:p w14:paraId="03D836F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74DBC101" w14:textId="77777777" w:rsidTr="000C3BE1">
        <w:trPr>
          <w:cantSplit/>
        </w:trPr>
        <w:tc>
          <w:tcPr>
            <w:tcW w:w="1755" w:type="dxa"/>
          </w:tcPr>
          <w:p w14:paraId="7C877433"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7381CB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55603B4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67CF26E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1152FE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02BBB5A" w14:textId="385A9286"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4-8 </w:t>
      </w:r>
      <w:r w:rsidRPr="00706F03">
        <w:rPr>
          <w:rFonts w:cs="Times New Roman"/>
        </w:rPr>
        <w:t>進一步摘要</w:t>
      </w:r>
      <w:r w:rsidR="001E5412" w:rsidRPr="00706F03">
        <w:rPr>
          <w:rFonts w:cs="Times New Roman"/>
        </w:rPr>
        <w:t>各資料集最佳</w:t>
      </w:r>
      <w:r w:rsidR="001E5412" w:rsidRPr="00706F03">
        <w:rPr>
          <w:rFonts w:cs="Times New Roman"/>
        </w:rPr>
        <w:t xml:space="preserve"> Chi-square + SVM </w:t>
      </w:r>
      <w:r w:rsidR="001E5412" w:rsidRPr="00706F03">
        <w:rPr>
          <w:rFonts w:cs="Times New Roman"/>
        </w:rPr>
        <w:t>模型</w:t>
      </w:r>
      <w:r w:rsidRPr="00706F03">
        <w:rPr>
          <w:rFonts w:cs="Times New Roman"/>
        </w:rPr>
        <w:t>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0.119</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0.591</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。這表示不同案件類型的困難類別並不完全相同。不過整體而言，模型對樣本數較少或語意特徵較不明顯的裁判結果類別，仍較難辨識。因此，</w:t>
      </w:r>
      <w:r w:rsidRPr="00706F03">
        <w:rPr>
          <w:rFonts w:cs="Times New Roman"/>
        </w:rPr>
        <w:lastRenderedPageBreak/>
        <w:t>本研究不能將模型過度解讀為已能完整預測所有裁判結果。較精確地說，模型在主要類別上具有一定分類能力，但對少數類別仍存在明顯限制。尤其在部分資料集中，</w:t>
      </w:r>
      <w:r w:rsidRPr="00706F03">
        <w:rPr>
          <w:rFonts w:cs="Times New Roman"/>
        </w:rPr>
        <w:t xml:space="preserve">Win </w:t>
      </w:r>
      <w:r w:rsidRPr="00706F03">
        <w:rPr>
          <w:rFonts w:cs="Times New Roman"/>
        </w:rPr>
        <w:t>或</w:t>
      </w:r>
      <w:r w:rsidRPr="00706F03">
        <w:rPr>
          <w:rFonts w:cs="Times New Roman"/>
        </w:rPr>
        <w:t xml:space="preserve"> Mixed </w:t>
      </w:r>
      <w:r w:rsidRPr="00706F03">
        <w:rPr>
          <w:rFonts w:cs="Times New Roman"/>
        </w:rPr>
        <w:t>類別仍是模型最難辨識的結果類別。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48BF33A0" w14:textId="674254E6"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4.8 </w:t>
      </w:r>
      <w:r w:rsidRPr="00706F03">
        <w:rPr>
          <w:rFonts w:ascii="Times New Roman" w:eastAsia="標楷體" w:hAnsi="Times New Roman" w:cs="Times New Roman"/>
          <w:color w:val="auto"/>
          <w:szCs w:val="28"/>
        </w:rPr>
        <w:t>小結</w:t>
      </w:r>
    </w:p>
    <w:p w14:paraId="6A2C6959"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可形成一套可執行的智慧財產權判決文本分類流程；然而，在本研究資料與超參數設定下，</w:t>
      </w:r>
      <w:r w:rsidR="001E5412" w:rsidRPr="00706F03">
        <w:rPr>
          <w:rFonts w:cs="Times New Roman"/>
        </w:rPr>
        <w:t>Chi-square + MNIR + SVM</w:t>
      </w:r>
      <w:r w:rsidRPr="00706F03">
        <w:rPr>
          <w:rFonts w:cs="Times New Roman"/>
        </w:rPr>
        <w:t xml:space="preserve"> </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未帶來</w:t>
      </w:r>
      <w:r w:rsidRPr="00706F03">
        <w:rPr>
          <w:rFonts w:cs="Times New Roman"/>
        </w:rPr>
        <w:t>額外增益。</w:t>
      </w:r>
    </w:p>
    <w:p w14:paraId="57E8BED0" w14:textId="60D10056" w:rsidR="00641412" w:rsidRPr="00706F03" w:rsidRDefault="00E42D4B" w:rsidP="00CC5F60">
      <w:pPr>
        <w:spacing w:line="276" w:lineRule="auto"/>
        <w:ind w:firstLine="480"/>
        <w:rPr>
          <w:rFonts w:cs="Times New Roman"/>
        </w:rPr>
      </w:pPr>
      <w:r w:rsidRPr="00706F03">
        <w:rPr>
          <w:rFonts w:cs="Times New Roman"/>
        </w:rPr>
        <w:t>Aletras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Surdeanu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r w:rsidR="00461938" w:rsidRPr="00706F03">
        <w:rPr>
          <w:rFonts w:cs="Times New Roman"/>
        </w:rPr>
        <w:t>BoW</w:t>
      </w:r>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BoW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16ED215C"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）所整理之智慧財產法院實務資料亦顯示，部分智慧財產權案件的裁判結果分布並不均衡，與本文所觀察到的樣本結構具有相似之處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22257A33" w14:textId="77777777" w:rsidR="00641412" w:rsidRPr="00706F03" w:rsidRDefault="007019C8" w:rsidP="0004071A">
      <w:pPr>
        <w:spacing w:line="276" w:lineRule="auto"/>
        <w:ind w:firstLine="480"/>
        <w:rPr>
          <w:rFonts w:cs="Times New Roman"/>
        </w:rPr>
      </w:pPr>
      <w:r w:rsidRPr="00706F03">
        <w:rPr>
          <w:rFonts w:cs="Times New Roman"/>
        </w:rPr>
        <w:lastRenderedPageBreak/>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文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12CDBDB6" w14:textId="77777777" w:rsidR="0067454C" w:rsidRPr="00706F03" w:rsidRDefault="00970794" w:rsidP="006C25BD">
      <w:pPr>
        <w:pStyle w:val="1"/>
        <w:pageBreakBefore/>
        <w:widowControl/>
        <w:spacing w:after="120" w:line="276" w:lineRule="auto"/>
        <w:ind w:firstLine="480"/>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第五章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結論與建議</w:t>
      </w:r>
    </w:p>
    <w:p w14:paraId="79F3B805" w14:textId="7D55FFC6"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5.1 </w:t>
      </w:r>
      <w:r w:rsidRPr="00706F03">
        <w:rPr>
          <w:rFonts w:ascii="Times New Roman" w:eastAsia="標楷體" w:hAnsi="Times New Roman" w:cs="Times New Roman"/>
          <w:color w:val="auto"/>
          <w:szCs w:val="28"/>
        </w:rPr>
        <w:t>研究結論</w:t>
      </w:r>
    </w:p>
    <w:p w14:paraId="6F3BBAF2" w14:textId="12DED665" w:rsidR="00970794" w:rsidRPr="00706F03" w:rsidRDefault="00970794" w:rsidP="002E2F39">
      <w:pPr>
        <w:widowControl/>
        <w:spacing w:line="276" w:lineRule="auto"/>
        <w:rPr>
          <w:rFonts w:cs="Times New Roman"/>
          <w:sz w:val="28"/>
          <w:szCs w:val="28"/>
        </w:rPr>
      </w:pPr>
      <w:r w:rsidRPr="00706F03">
        <w:rPr>
          <w:rFonts w:cs="Times New Roman"/>
          <w:szCs w:val="28"/>
        </w:rPr>
        <w:t>本研究以</w:t>
      </w:r>
      <w:r w:rsidR="00AD1A81" w:rsidRPr="00706F03">
        <w:rPr>
          <w:rFonts w:cs="Times New Roman"/>
          <w:szCs w:val="28"/>
        </w:rPr>
        <w:t>臺灣</w:t>
      </w:r>
      <w:r w:rsidRPr="00706F03">
        <w:rPr>
          <w:rFonts w:cs="Times New Roman"/>
          <w:szCs w:val="28"/>
        </w:rPr>
        <w:t>智慧財產權相關</w:t>
      </w:r>
      <w:r w:rsidR="000414AC" w:rsidRPr="00706F03">
        <w:rPr>
          <w:rFonts w:cs="Times New Roman"/>
          <w:szCs w:val="28"/>
        </w:rPr>
        <w:t>裁判書</w:t>
      </w:r>
      <w:r w:rsidRPr="00706F03">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w:t>
      </w:r>
      <w:r w:rsidR="00AD1A81" w:rsidRPr="00706F03">
        <w:rPr>
          <w:rFonts w:cs="Times New Roman"/>
          <w:szCs w:val="28"/>
        </w:rPr>
        <w:t>臺灣</w:t>
      </w:r>
      <w:r w:rsidRPr="00706F03">
        <w:rPr>
          <w:rFonts w:cs="Times New Roman"/>
          <w:szCs w:val="28"/>
        </w:rPr>
        <w:t>智慧財產權判決文本脈絡下，建立敗訴、部分勝訴與勝訴三類裁判結果之分類流程，並分析模型在不同案件類型與不同結果類別上的辨識差異。</w:t>
      </w:r>
    </w:p>
    <w:p w14:paraId="7F6CE931" w14:textId="152A4D29"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雖可形成一套可執行的分類流程，但相較於</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007019C8" w:rsidRPr="00706F03">
        <w:rPr>
          <w:rFonts w:cs="Times New Roman" w:hint="eastAsia"/>
          <w:szCs w:val="28"/>
        </w:rPr>
        <w:t>未</w:t>
      </w:r>
      <w:r w:rsidRPr="00706F03">
        <w:rPr>
          <w:rFonts w:cs="Times New Roman"/>
          <w:szCs w:val="28"/>
        </w:rPr>
        <w:t>取得更佳表現。四類案件資料集中，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，顯示卡方特徵選擇後的稀疏文字特徵已保留相當程度與裁判結果相關的分類訊息。因此，本研究並不將此結果解讀為</w:t>
      </w:r>
      <w:r w:rsidRPr="00706F03">
        <w:rPr>
          <w:rFonts w:cs="Times New Roman"/>
          <w:szCs w:val="28"/>
        </w:rPr>
        <w:t xml:space="preserve"> MNIR </w:t>
      </w:r>
      <w:r w:rsidRPr="00706F03">
        <w:rPr>
          <w:rFonts w:cs="Times New Roman"/>
          <w:szCs w:val="28"/>
        </w:rPr>
        <w:t>方法本身無效，而是指出在本研究任務中，直接使用篩選後之高維稀疏詞彙特徵，反而較能保留分類所需訊息。其次，不同文字特徵表示在不同案件類型下呈現不同效果。</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103AFC0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w:t>
      </w:r>
      <w:r w:rsidRPr="00706F03">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41E382DE" w14:textId="77777777" w:rsidR="000919E7"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5.2 </w:t>
      </w:r>
      <w:r w:rsidRPr="00706F03">
        <w:rPr>
          <w:rFonts w:ascii="Times New Roman" w:eastAsia="標楷體" w:hAnsi="Times New Roman" w:cs="Times New Roman"/>
          <w:color w:val="auto"/>
          <w:szCs w:val="28"/>
        </w:rPr>
        <w:t>研究貢獻</w:t>
      </w:r>
    </w:p>
    <w:p w14:paraId="50204ED2"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027CB5C5"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第一，在理論貢獻方面，本研究補充法律文本分類與智慧財產權判決結果預測之相關研究。本文不僅檢驗模型能否分類裁判結果，也比較不同案件類型、文字特徵表示與模型流程之差異。研究結果顯示，</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。此結果表示，在本研究資料、標籤設定與超參數範圍下，</w:t>
      </w:r>
      <w:r w:rsidRPr="00706F03">
        <w:rPr>
          <w:rFonts w:cs="Times New Roman"/>
          <w:szCs w:val="28"/>
        </w:rPr>
        <w:t xml:space="preserve">MNIR </w:t>
      </w:r>
      <w:r w:rsidRPr="00706F03">
        <w:rPr>
          <w:rFonts w:cs="Times New Roman"/>
          <w:szCs w:val="28"/>
        </w:rPr>
        <w:t>的降維優勢並未轉化為較佳分類效果。相對地，卡方篩選後的高維稀疏詞彙特徵仍具有重要分類價值。因此，本研究對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0555F420"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4D8333E3" w14:textId="77777777" w:rsidR="00704996" w:rsidRPr="00706F03" w:rsidRDefault="00704996" w:rsidP="0004071A">
      <w:pPr>
        <w:widowControl/>
        <w:spacing w:line="276" w:lineRule="auto"/>
        <w:rPr>
          <w:rFonts w:cs="Times New Roman"/>
          <w:szCs w:val="28"/>
        </w:rPr>
      </w:pPr>
      <w:r w:rsidRPr="00706F03">
        <w:rPr>
          <w:rFonts w:cs="Times New Roman"/>
          <w:szCs w:val="28"/>
        </w:rPr>
        <w:t>本文之</w:t>
      </w:r>
      <w:r w:rsidRPr="00706F03">
        <w:rPr>
          <w:rFonts w:cs="Times New Roman"/>
          <w:szCs w:val="28"/>
        </w:rPr>
        <w:t xml:space="preserve"> baseline pipeline </w:t>
      </w:r>
      <w:r w:rsidRPr="00706F03">
        <w:rPr>
          <w:rFonts w:cs="Times New Roman"/>
          <w:szCs w:val="28"/>
        </w:rPr>
        <w:t>包含以下步驟：</w:t>
      </w:r>
    </w:p>
    <w:p w14:paraId="3D6A6824"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蒐集並篩選智慧財產權判決文本。</w:t>
      </w:r>
    </w:p>
    <w:p w14:paraId="362A1215"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070483C7"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53401C18"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5D82A467"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77E9DB88"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197E19F"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1AB77C49"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文並未僅以整體準確率判斷模型表現。本文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三類結果上的辨識</w:t>
      </w:r>
      <w:r w:rsidRPr="00706F03">
        <w:rPr>
          <w:rFonts w:cs="Times New Roman"/>
          <w:szCs w:val="28"/>
        </w:rPr>
        <w:lastRenderedPageBreak/>
        <w:t>能力。此一評估方式有助於揭露</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等少數類別的分類限制，避免模型因主要預測多數類別而被高估。</w:t>
      </w:r>
    </w:p>
    <w:p w14:paraId="06F4FAC5"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6D5A8FFB" w14:textId="53693A78"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6529076"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687CD78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18646B7F"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5F7CB5BC"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4E54DBE4" w14:textId="77777777" w:rsidR="00704996" w:rsidRPr="00706F03" w:rsidRDefault="00704996" w:rsidP="007B138D">
      <w:pPr>
        <w:widowControl/>
        <w:spacing w:line="276" w:lineRule="auto"/>
        <w:rPr>
          <w:rFonts w:cs="Times New Roman"/>
          <w:szCs w:val="28"/>
        </w:rPr>
      </w:pPr>
      <w:r w:rsidRPr="00706F03">
        <w:rPr>
          <w:rFonts w:cs="Times New Roman"/>
          <w:szCs w:val="28"/>
        </w:rPr>
        <w:t>此結果顯示，法律文本分類不宜直接套用單一模型。較適當的作法，是依案件性質、文本結構與分類目的選擇合適方法。不過，本研究之實務貢獻仍應審慎界定。本文建立的是裁判結果分類之研究流程與方法基礎，而非可直接取代法律專業判斷的自動化決策工具。智慧財產權案件涉及技術事實、權利範圍、法律要件與法院裁量判斷。因此，模型分類結果仍應搭配人工審查與個案脈絡分析。本文較適合作為大量判決文本初步分類、研究樣本整理與法律科技系統開發之輔助基礎，而不宜直接作為個案勝敗預測或法律意見之依據。</w:t>
      </w:r>
    </w:p>
    <w:p w14:paraId="28849791"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綜合而言，本研究的貢獻不僅在於建立智慧財產權判決結果分類模型，更在於三個面向。理論上，本文說明不同文字特徵表示與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監督式特徵轉換在法律文本分類中的適用差異。方法上，本文建立可重複比較的</w:t>
      </w:r>
      <w:r w:rsidRPr="00706F03">
        <w:rPr>
          <w:rFonts w:cs="Times New Roman"/>
          <w:szCs w:val="28"/>
        </w:rPr>
        <w:t xml:space="preserve"> baseline pipeline</w:t>
      </w:r>
      <w:r w:rsidRPr="00706F03">
        <w:rPr>
          <w:rFonts w:cs="Times New Roman"/>
          <w:szCs w:val="28"/>
        </w:rPr>
        <w:t>。實務上，本文提供大量判決文本初步分類與模型選擇之參考。</w:t>
      </w:r>
    </w:p>
    <w:p w14:paraId="01B75212"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5.3 </w:t>
      </w:r>
      <w:r w:rsidRPr="00706F03">
        <w:rPr>
          <w:rFonts w:ascii="Times New Roman" w:eastAsia="標楷體" w:hAnsi="Times New Roman" w:cs="Times New Roman"/>
          <w:color w:val="auto"/>
          <w:szCs w:val="28"/>
        </w:rPr>
        <w:t>研究限制</w:t>
      </w:r>
    </w:p>
    <w:p w14:paraId="70D43F73"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7868092" w14:textId="4F241A1E" w:rsidR="00053F92" w:rsidRPr="00706F03" w:rsidRDefault="00053F92" w:rsidP="0066788F">
      <w:pPr>
        <w:widowControl/>
        <w:spacing w:line="276" w:lineRule="auto"/>
        <w:rPr>
          <w:rFonts w:cs="Times New Roman"/>
          <w:szCs w:val="28"/>
        </w:rPr>
      </w:pPr>
      <w:r w:rsidRPr="00706F03">
        <w:rPr>
          <w:rFonts w:cs="Times New Roman"/>
          <w:szCs w:val="28"/>
        </w:rPr>
        <w:t>第一，本文仍無法完全排除資料洩漏可能。本研究雖已移除「駁回」、「有理由」、「准許」、「撤銷」等明顯裁判結果詞彙，以降低模型直接依賴結果詞彙的疑慮。然而，法律文本中仍可能存在間接線索。例如語境、請求類型、程序狀態或裁判理由結構，皆可能反映裁判結果。</w:t>
      </w:r>
      <w:r w:rsidRPr="00706F03">
        <w:rPr>
          <w:rFonts w:cs="Times New Roman"/>
          <w:szCs w:val="28"/>
        </w:rPr>
        <w:lastRenderedPageBreak/>
        <w:t>因此，本研究結果應理解為「移除明顯結果詞彙後」的模型比較，而非完全排除所有結果線索後的預測效果。</w:t>
      </w:r>
    </w:p>
    <w:p w14:paraId="0185D24E" w14:textId="370AD454" w:rsidR="00053F92" w:rsidRPr="00706F03" w:rsidRDefault="00053F92" w:rsidP="0066788F">
      <w:pPr>
        <w:widowControl/>
        <w:spacing w:line="276" w:lineRule="auto"/>
        <w:rPr>
          <w:rFonts w:cs="Times New Roman"/>
          <w:szCs w:val="28"/>
        </w:rPr>
      </w:pPr>
      <w:r w:rsidRPr="00706F03">
        <w:rPr>
          <w:rFonts w:cs="Times New Roman"/>
          <w:szCs w:val="28"/>
        </w:rPr>
        <w:t>第二，本研究資料存在類別不平衡問題。部分案件類型中，</w:t>
      </w:r>
      <w:r w:rsidRPr="00706F03">
        <w:rPr>
          <w:rFonts w:cs="Times New Roman"/>
          <w:szCs w:val="28"/>
        </w:rPr>
        <w:t xml:space="preserve">Win </w:t>
      </w:r>
      <w:r w:rsidRPr="00706F03">
        <w:rPr>
          <w:rFonts w:cs="Times New Roman"/>
          <w:szCs w:val="28"/>
        </w:rPr>
        <w:t>或</w:t>
      </w:r>
      <w:r w:rsidRPr="00706F03">
        <w:rPr>
          <w:rFonts w:cs="Times New Roman"/>
          <w:szCs w:val="28"/>
        </w:rPr>
        <w:t xml:space="preserve"> Mixed </w:t>
      </w:r>
      <w:r w:rsidRPr="00706F03">
        <w:rPr>
          <w:rFonts w:cs="Times New Roman"/>
          <w:szCs w:val="28"/>
        </w:rPr>
        <w:t>樣本數相對較少。因此，模型較容易偏向預測</w:t>
      </w:r>
      <w:r w:rsidRPr="00706F03">
        <w:rPr>
          <w:rFonts w:cs="Times New Roman"/>
          <w:szCs w:val="28"/>
        </w:rPr>
        <w:t xml:space="preserve"> Lose </w:t>
      </w:r>
      <w:r w:rsidRPr="00706F03">
        <w:rPr>
          <w:rFonts w:cs="Times New Roman"/>
          <w:szCs w:val="28"/>
        </w:rPr>
        <w:t>類別。即使本文以</w:t>
      </w:r>
      <w:r w:rsidRPr="00706F03">
        <w:rPr>
          <w:rFonts w:cs="Times New Roman"/>
          <w:szCs w:val="28"/>
        </w:rPr>
        <w:t xml:space="preserve"> Macro F1 </w:t>
      </w:r>
      <w:r w:rsidRPr="00706F03">
        <w:rPr>
          <w:rFonts w:cs="Times New Roman"/>
          <w:szCs w:val="28"/>
        </w:rPr>
        <w:t>作為主要評估指標，仍無法完全解決少數類別資料不足所造成的學習限制。尤其在民事案件錯誤分析中，</w:t>
      </w:r>
      <w:r w:rsidRPr="00706F03">
        <w:rPr>
          <w:rFonts w:cs="Times New Roman"/>
          <w:szCs w:val="28"/>
        </w:rPr>
        <w:t xml:space="preserve">Win </w:t>
      </w:r>
      <w:r w:rsidRPr="00706F03">
        <w:rPr>
          <w:rFonts w:cs="Times New Roman"/>
          <w:szCs w:val="28"/>
        </w:rPr>
        <w:t>類別</w:t>
      </w:r>
      <w:r w:rsidRPr="00706F03">
        <w:rPr>
          <w:rFonts w:cs="Times New Roman"/>
          <w:szCs w:val="28"/>
        </w:rPr>
        <w:t xml:space="preserve"> recall </w:t>
      </w:r>
      <w:r w:rsidRPr="00706F03">
        <w:rPr>
          <w:rFonts w:cs="Times New Roman"/>
          <w:szCs w:val="28"/>
        </w:rPr>
        <w:t>明顯偏低，顯示模型對少數類別仍有改善空間。</w:t>
      </w:r>
    </w:p>
    <w:p w14:paraId="3DCF0A93" w14:textId="1C333647" w:rsidR="00053F92" w:rsidRPr="00706F03" w:rsidRDefault="00053F92" w:rsidP="0066788F">
      <w:pPr>
        <w:widowControl/>
        <w:spacing w:line="276" w:lineRule="auto"/>
        <w:rPr>
          <w:rFonts w:cs="Times New Roman"/>
          <w:szCs w:val="28"/>
        </w:rPr>
      </w:pPr>
      <w:r w:rsidRPr="00706F03">
        <w:rPr>
          <w:rFonts w:cs="Times New Roman"/>
          <w:szCs w:val="28"/>
        </w:rPr>
        <w:t>第三，裁判結果標籤可能存在邊界模糊。本研究將裁判結果整理為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三類。然而，</w:t>
      </w:r>
      <w:r w:rsidRPr="00706F03">
        <w:rPr>
          <w:rFonts w:cs="Times New Roman"/>
          <w:szCs w:val="28"/>
        </w:rPr>
        <w:t xml:space="preserve">Mixed </w:t>
      </w:r>
      <w:r w:rsidRPr="00706F03">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06F03">
        <w:rPr>
          <w:rFonts w:cs="Times New Roman"/>
          <w:szCs w:val="28"/>
        </w:rPr>
        <w:t xml:space="preserve"> Mixed</w:t>
      </w:r>
      <w:r w:rsidRPr="00706F03">
        <w:rPr>
          <w:rFonts w:cs="Times New Roman"/>
          <w:szCs w:val="28"/>
        </w:rPr>
        <w:t>，但其法律意義與文本特徵未必一致。因此，模型對</w:t>
      </w:r>
      <w:r w:rsidRPr="00706F03">
        <w:rPr>
          <w:rFonts w:cs="Times New Roman"/>
          <w:szCs w:val="28"/>
        </w:rPr>
        <w:t xml:space="preserve"> Mixed </w:t>
      </w:r>
      <w:r w:rsidRPr="00706F03">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3B3834AD" w14:textId="26418D3B" w:rsidR="00053F92" w:rsidRPr="00706F03" w:rsidRDefault="00053F92" w:rsidP="0066788F">
      <w:pPr>
        <w:widowControl/>
        <w:spacing w:line="276" w:lineRule="auto"/>
        <w:rPr>
          <w:rFonts w:cs="Times New Roman"/>
          <w:szCs w:val="28"/>
        </w:rPr>
      </w:pPr>
      <w:r w:rsidRPr="00706F03">
        <w:rPr>
          <w:rFonts w:cs="Times New Roman"/>
          <w:szCs w:val="28"/>
        </w:rPr>
        <w:t>第四，本文尚未將裁判書不同段落完整分離。本研究主要以裁判書全文作為模型輸入。雖然本文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文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4062987" w14:textId="3BD3E614" w:rsidR="00053F92" w:rsidRPr="00706F03" w:rsidRDefault="00053F92" w:rsidP="0066788F">
      <w:pPr>
        <w:widowControl/>
        <w:spacing w:line="276" w:lineRule="auto"/>
        <w:rPr>
          <w:rFonts w:cs="Times New Roman"/>
          <w:szCs w:val="28"/>
        </w:rPr>
      </w:pPr>
      <w:r w:rsidRPr="00706F03">
        <w:rPr>
          <w:rFonts w:cs="Times New Roman"/>
          <w:szCs w:val="28"/>
        </w:rPr>
        <w:t>第五，本文使用之稀疏文字特徵仍有語意限制。本研究主要以</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進行建模。此類方法具備可解釋性與計算效率，但較難捕捉長距離語意關係、事實脈絡與法理推論結構。智慧財產權判決常涉及技術事實、權利範圍解釋與法律要件判斷。若僅依靠詞彙分布，可能無法完整呈現法院裁判理由。</w:t>
      </w:r>
    </w:p>
    <w:p w14:paraId="09271752" w14:textId="4C0001F5" w:rsidR="00053F92" w:rsidRPr="00706F03" w:rsidRDefault="00053F92" w:rsidP="0066788F">
      <w:pPr>
        <w:widowControl/>
        <w:spacing w:line="276" w:lineRule="auto"/>
        <w:rPr>
          <w:rFonts w:cs="Times New Roman"/>
          <w:szCs w:val="28"/>
        </w:rPr>
      </w:pPr>
      <w:r w:rsidRPr="00706F03">
        <w:rPr>
          <w:rFonts w:cs="Times New Roman"/>
          <w:szCs w:val="28"/>
        </w:rPr>
        <w:t>第六，</w:t>
      </w:r>
      <w:r w:rsidRPr="00706F03">
        <w:rPr>
          <w:rFonts w:cs="Times New Roman"/>
          <w:szCs w:val="28"/>
        </w:rPr>
        <w:t xml:space="preserve">MNIR </w:t>
      </w:r>
      <w:r w:rsidRPr="00706F03">
        <w:rPr>
          <w:rFonts w:cs="Times New Roman"/>
          <w:szCs w:val="28"/>
        </w:rPr>
        <w:t>結果不宜過度推論。本研究結果顯示，</w:t>
      </w:r>
      <w:r w:rsidR="001E5412" w:rsidRPr="00706F03">
        <w:rPr>
          <w:rFonts w:cs="Times New Roman"/>
          <w:szCs w:val="28"/>
        </w:rPr>
        <w:t>Chi-square + MNIR + SVM</w:t>
      </w:r>
      <w:r w:rsidRPr="00706F03">
        <w:rPr>
          <w:rFonts w:cs="Times New Roman"/>
          <w:szCs w:val="28"/>
        </w:rPr>
        <w:t xml:space="preserve"> </w:t>
      </w:r>
      <w:r w:rsidR="001E5412" w:rsidRPr="00706F03">
        <w:rPr>
          <w:rFonts w:cs="Times New Roman"/>
          <w:szCs w:val="28"/>
        </w:rPr>
        <w:t>相較於</w:t>
      </w:r>
      <w:r w:rsidR="001E5412" w:rsidRPr="00706F03">
        <w:rPr>
          <w:rFonts w:cs="Times New Roman"/>
          <w:szCs w:val="28"/>
        </w:rPr>
        <w:t xml:space="preserve"> Chi-square + SVM </w:t>
      </w:r>
      <w:r w:rsidR="001E5412" w:rsidRPr="00706F03">
        <w:rPr>
          <w:rFonts w:cs="Times New Roman"/>
          <w:szCs w:val="28"/>
        </w:rPr>
        <w:t>未取得</w:t>
      </w:r>
      <w:r w:rsidRPr="00706F03">
        <w:rPr>
          <w:rFonts w:cs="Times New Roman"/>
          <w:szCs w:val="28"/>
        </w:rPr>
        <w:t>較佳表現。然而，此結果應限縮於本文資料、標籤設定、文本處理方式與超參數範圍之下。本文不能據此推論</w:t>
      </w:r>
      <w:r w:rsidRPr="00706F03">
        <w:rPr>
          <w:rFonts w:cs="Times New Roman"/>
          <w:szCs w:val="28"/>
        </w:rPr>
        <w:t xml:space="preserve"> MNIR </w:t>
      </w:r>
      <w:r w:rsidRPr="00706F03">
        <w:rPr>
          <w:rFonts w:cs="Times New Roman"/>
          <w:szCs w:val="28"/>
        </w:rPr>
        <w:t>在所有法律文本分類任務中皆不具效果。若後續研究採用不同案件類型、不同標籤設計、不同特徵數設定、重複交叉驗證或其他下游分類器，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p>
    <w:p w14:paraId="5E031343" w14:textId="3757F39D" w:rsidR="00053F92" w:rsidRPr="00706F03" w:rsidRDefault="00053F92" w:rsidP="0066788F">
      <w:pPr>
        <w:widowControl/>
        <w:spacing w:line="276" w:lineRule="auto"/>
        <w:rPr>
          <w:rFonts w:cs="Times New Roman"/>
          <w:szCs w:val="28"/>
        </w:rPr>
      </w:pPr>
      <w:r w:rsidRPr="00706F03">
        <w:rPr>
          <w:rFonts w:cs="Times New Roman"/>
          <w:szCs w:val="28"/>
        </w:rPr>
        <w:t>第七，本文採</w:t>
      </w:r>
      <w:r w:rsidR="0049398B" w:rsidRPr="00706F03">
        <w:rPr>
          <w:rFonts w:cs="Times New Roman"/>
          <w:szCs w:val="28"/>
        </w:rPr>
        <w:t>固定資料集劃分</w:t>
      </w:r>
      <w:r w:rsidRPr="00706F03">
        <w:rPr>
          <w:rFonts w:cs="Times New Roman"/>
          <w:szCs w:val="28"/>
        </w:rPr>
        <w:t>。本研究使用固定訓練集、驗證集與測試集進行模型訓練與評估。此設計可建立清楚且可重複的實驗流程。然而，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p>
    <w:p w14:paraId="3706CE40" w14:textId="77777777" w:rsidR="00053F92" w:rsidRPr="00706F03" w:rsidRDefault="00053F92" w:rsidP="0004071A">
      <w:pPr>
        <w:widowControl/>
        <w:spacing w:line="276" w:lineRule="auto"/>
        <w:rPr>
          <w:rFonts w:cs="Times New Roman"/>
          <w:szCs w:val="28"/>
        </w:rPr>
      </w:pPr>
      <w:r w:rsidRPr="00706F03">
        <w:rPr>
          <w:rFonts w:cs="Times New Roman"/>
          <w:szCs w:val="28"/>
        </w:rPr>
        <w:lastRenderedPageBreak/>
        <w:t>若要進一步確認</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之差異是否穩定，後續可加入重複隨機</w:t>
      </w:r>
      <w:r w:rsidR="0049398B" w:rsidRPr="00706F03">
        <w:rPr>
          <w:rFonts w:cs="Times New Roman" w:hint="eastAsia"/>
          <w:szCs w:val="28"/>
        </w:rPr>
        <w:t>劃分</w:t>
      </w:r>
      <w:r w:rsidRPr="00706F03">
        <w:rPr>
          <w:rFonts w:cs="Times New Roman"/>
          <w:szCs w:val="28"/>
        </w:rPr>
        <w:t>、交叉驗證或</w:t>
      </w:r>
      <w:r w:rsidRPr="00706F03">
        <w:rPr>
          <w:rFonts w:cs="Times New Roman"/>
          <w:szCs w:val="28"/>
        </w:rPr>
        <w:t xml:space="preserve"> bootstrap </w:t>
      </w:r>
      <w:r w:rsidRPr="00706F03">
        <w:rPr>
          <w:rFonts w:cs="Times New Roman"/>
          <w:szCs w:val="28"/>
        </w:rPr>
        <w:t>重抽樣檢定。因此，本文目前之模型比較結果，應理解為</w:t>
      </w:r>
      <w:r w:rsidR="0049398B" w:rsidRPr="00706F03">
        <w:rPr>
          <w:rFonts w:cs="Times New Roman"/>
          <w:szCs w:val="28"/>
        </w:rPr>
        <w:t>固定資料集劃分</w:t>
      </w:r>
      <w:r w:rsidRPr="00706F03">
        <w:rPr>
          <w:rFonts w:cs="Times New Roman"/>
          <w:szCs w:val="28"/>
        </w:rPr>
        <w:t>下的實證結果，而非所有可能</w:t>
      </w:r>
      <w:r w:rsidR="0049398B" w:rsidRPr="00706F03">
        <w:rPr>
          <w:rFonts w:cs="Times New Roman" w:hint="eastAsia"/>
          <w:szCs w:val="28"/>
        </w:rPr>
        <w:t>劃分</w:t>
      </w:r>
      <w:r w:rsidRPr="00706F03">
        <w:rPr>
          <w:rFonts w:cs="Times New Roman"/>
          <w:szCs w:val="28"/>
        </w:rPr>
        <w:t>下皆必然成立的結論。</w:t>
      </w:r>
    </w:p>
    <w:p w14:paraId="5E2DFBCF" w14:textId="0BCC9D0D" w:rsidR="00970794" w:rsidRPr="00706F03" w:rsidRDefault="00053F92" w:rsidP="0066788F">
      <w:pPr>
        <w:widowControl/>
        <w:spacing w:line="276" w:lineRule="auto"/>
        <w:rPr>
          <w:rFonts w:cs="Times New Roman"/>
          <w:szCs w:val="28"/>
        </w:rPr>
      </w:pPr>
      <w:r w:rsidRPr="00706F03">
        <w:rPr>
          <w:rFonts w:cs="Times New Roman"/>
          <w:szCs w:val="28"/>
        </w:rPr>
        <w:t>第八，本文資料限於公開裁判書。本研究資料係以公開裁判書為主要來源。因此，本文僅能觀察最終進入裁判並形成裁判書之案件。實務上，部分智慧財產權紛爭可能透過和解、撤回或其他方式結束。此類案件通常不會完整呈現在裁判書資料中，也未必形成可供本文分類的明確裁判結果。因此，本文模型分析的對象，主要是具有明確裁判結果的公開判決案件。本文尚未納入和解案件所反映的訴訟策略、風險評估與案件強弱訊息。此一限制表示，本研究結果不宜直接推論至所有智慧財產權紛爭，而應限縮於公開裁判書中具備明確裁判結果之案件。</w:t>
      </w:r>
    </w:p>
    <w:p w14:paraId="25222F62"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5.4 </w:t>
      </w:r>
      <w:r w:rsidR="00267900" w:rsidRPr="00706F03">
        <w:rPr>
          <w:rFonts w:ascii="Times New Roman" w:eastAsia="標楷體" w:hAnsi="Times New Roman" w:cs="Times New Roman"/>
          <w:color w:val="auto"/>
          <w:szCs w:val="28"/>
        </w:rPr>
        <w:t>研究結果之建議</w:t>
      </w:r>
    </w:p>
    <w:p w14:paraId="7DCB0611" w14:textId="43B1C06F"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w:t>
      </w:r>
      <w:r w:rsidR="00AD1A81" w:rsidRPr="00706F03">
        <w:rPr>
          <w:rFonts w:cs="Times New Roman"/>
          <w:szCs w:val="28"/>
        </w:rPr>
        <w:t>臺灣</w:t>
      </w:r>
      <w:r w:rsidRPr="00706F03">
        <w:rPr>
          <w:rFonts w:cs="Times New Roman"/>
          <w:szCs w:val="28"/>
        </w:rPr>
        <w:t>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001E5412" w:rsidRPr="00706F03">
        <w:rPr>
          <w:rFonts w:cs="Times New Roman"/>
          <w:szCs w:val="28"/>
        </w:rPr>
        <w:t xml:space="preserve">Chi-square + MNIR + SVM </w:t>
      </w:r>
      <w:r w:rsidR="001E5412" w:rsidRPr="00706F03">
        <w:rPr>
          <w:rFonts w:cs="Times New Roman"/>
          <w:szCs w:val="28"/>
        </w:rPr>
        <w:t>流程相較於</w:t>
      </w:r>
      <w:r w:rsidR="001E5412" w:rsidRPr="00706F03">
        <w:rPr>
          <w:rFonts w:cs="Times New Roman"/>
          <w:szCs w:val="28"/>
        </w:rPr>
        <w:t xml:space="preserve"> Chi-square + SVM </w:t>
      </w:r>
      <w:r w:rsidR="001E5412" w:rsidRPr="00706F03">
        <w:rPr>
          <w:rFonts w:cs="Times New Roman"/>
          <w:szCs w:val="28"/>
        </w:rPr>
        <w:t>並未取得</w:t>
      </w:r>
      <w:r w:rsidRPr="00706F03">
        <w:rPr>
          <w:rFonts w:cs="Times New Roman"/>
          <w:szCs w:val="28"/>
        </w:rPr>
        <w:t>更佳表現；同時，不同案件類型下較適合的文字特徵表示亦不完全相同。此外，模型雖能在多數類別上取得一定分類能力，但對</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等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70B4BC06"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609E2A23"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。此結果顯示，在本研究資料、標籤設定與超參數範圍下，</w:t>
      </w:r>
      <w:r w:rsidRPr="00706F03">
        <w:rPr>
          <w:rFonts w:cs="Times New Roman"/>
          <w:szCs w:val="28"/>
        </w:rPr>
        <w:t xml:space="preserve">MNIR </w:t>
      </w:r>
      <w:r w:rsidRPr="00706F03">
        <w:rPr>
          <w:rFonts w:cs="Times New Roman"/>
          <w:szCs w:val="28"/>
        </w:rPr>
        <w:t>監督式特徵轉換相較於直接使用卡方篩選後之稀疏文字特徵</w:t>
      </w:r>
      <w:r w:rsidR="007019C8" w:rsidRPr="00706F03">
        <w:rPr>
          <w:rFonts w:cs="Times New Roman" w:hint="eastAsia"/>
          <w:szCs w:val="28"/>
        </w:rPr>
        <w:t>並未</w:t>
      </w:r>
      <w:r w:rsidRPr="00706F03">
        <w:rPr>
          <w:rFonts w:cs="Times New Roman"/>
          <w:szCs w:val="28"/>
        </w:rPr>
        <w:t>取得更佳表現。然而，此結果不應被解讀為</w:t>
      </w:r>
      <w:r w:rsidRPr="00706F03">
        <w:rPr>
          <w:rFonts w:cs="Times New Roman"/>
          <w:szCs w:val="28"/>
        </w:rPr>
        <w:t xml:space="preserve"> MNIR </w:t>
      </w:r>
      <w:r w:rsidRPr="00706F03">
        <w:rPr>
          <w:rFonts w:cs="Times New Roman"/>
          <w:szCs w:val="28"/>
        </w:rPr>
        <w:t>方法本身無效，而應限縮理解為：在本研究已先透過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w:t>
      </w:r>
      <w:r w:rsidRPr="00706F03">
        <w:rPr>
          <w:rFonts w:cs="Times New Roman"/>
          <w:szCs w:val="28"/>
        </w:rPr>
        <w:lastRenderedPageBreak/>
        <w:t>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2EC37993" w14:textId="77777777" w:rsidR="00267900" w:rsidRPr="00706F03" w:rsidRDefault="00ED5D1D" w:rsidP="0004071A">
      <w:pPr>
        <w:widowControl/>
        <w:spacing w:line="276" w:lineRule="auto"/>
        <w:rPr>
          <w:rFonts w:cs="Times New Roman"/>
          <w:szCs w:val="28"/>
        </w:rPr>
      </w:pPr>
      <w:r w:rsidRPr="00706F03">
        <w:rPr>
          <w:rFonts w:cs="Times New Roman"/>
          <w:szCs w:val="28"/>
        </w:rPr>
        <w:t>因此，本文建議後續研究在選擇模型流程時，不宜僅依方法複雜度作為判斷依據，而應以明確的基準模型作為起點。就本研究資料而言，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1C1BD5B8"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72E2BB19"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7F30A451"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af3"/>
        <w:tblW w:w="5076"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56211D84" w14:textId="77777777" w:rsidTr="002E2F39">
        <w:trPr>
          <w:cantSplit/>
        </w:trPr>
        <w:tc>
          <w:tcPr>
            <w:tcW w:w="865" w:type="pct"/>
            <w:tcBorders>
              <w:bottom w:val="single" w:sz="2" w:space="0" w:color="000000"/>
            </w:tcBorders>
            <w:vAlign w:val="center"/>
            <w:hideMark/>
          </w:tcPr>
          <w:p w14:paraId="081CA98C"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4EA1058C"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125EB3B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5607AF3A" w14:textId="77777777" w:rsidTr="002E2F39">
        <w:trPr>
          <w:cantSplit/>
        </w:trPr>
        <w:tc>
          <w:tcPr>
            <w:tcW w:w="865" w:type="pct"/>
            <w:tcBorders>
              <w:bottom w:val="single" w:sz="2" w:space="0" w:color="000000"/>
            </w:tcBorders>
            <w:vAlign w:val="center"/>
            <w:hideMark/>
          </w:tcPr>
          <w:p w14:paraId="4F7626F8"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02C1E605"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tcBorders>
              <w:bottom w:val="single" w:sz="2" w:space="0" w:color="000000"/>
            </w:tcBorders>
            <w:vAlign w:val="center"/>
            <w:hideMark/>
          </w:tcPr>
          <w:p w14:paraId="63A1ECD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3EC0D00C" w14:textId="77777777" w:rsidTr="002E2F39">
        <w:trPr>
          <w:cantSplit/>
        </w:trPr>
        <w:tc>
          <w:tcPr>
            <w:tcW w:w="865" w:type="pct"/>
            <w:tcBorders>
              <w:bottom w:val="single" w:sz="2" w:space="0" w:color="000000"/>
            </w:tcBorders>
            <w:vAlign w:val="center"/>
            <w:hideMark/>
          </w:tcPr>
          <w:p w14:paraId="7FDA1A9C"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6D3BCB01"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29E7DAC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1C4B2D16" w14:textId="77777777" w:rsidTr="002E2F39">
        <w:trPr>
          <w:cantSplit/>
        </w:trPr>
        <w:tc>
          <w:tcPr>
            <w:tcW w:w="865" w:type="pct"/>
            <w:tcBorders>
              <w:bottom w:val="single" w:sz="2" w:space="0" w:color="000000"/>
            </w:tcBorders>
            <w:vAlign w:val="center"/>
            <w:hideMark/>
          </w:tcPr>
          <w:p w14:paraId="05FA285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68EA4C1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7F773C24"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7A8B605" w14:textId="77777777" w:rsidTr="002E2F39">
        <w:trPr>
          <w:cantSplit/>
        </w:trPr>
        <w:tc>
          <w:tcPr>
            <w:tcW w:w="865" w:type="pct"/>
            <w:vAlign w:val="center"/>
            <w:hideMark/>
          </w:tcPr>
          <w:p w14:paraId="0B0D7026"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1D941C67"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vAlign w:val="center"/>
            <w:hideMark/>
          </w:tcPr>
          <w:p w14:paraId="5612508B"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5D799288" w14:textId="3B1E8E3C"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BoW</w:t>
      </w:r>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r w:rsidRPr="00706F03">
        <w:rPr>
          <w:rFonts w:cs="Times New Roman"/>
          <w:szCs w:val="28"/>
        </w:rPr>
        <w:t xml:space="preserve">BoW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w:t>
      </w:r>
      <w:r w:rsidRPr="00706F03">
        <w:rPr>
          <w:rFonts w:cs="Times New Roman"/>
          <w:szCs w:val="28"/>
        </w:rPr>
        <w:lastRenderedPageBreak/>
        <w:t>不過，上述建議應限縮於本研究資料、文本處理方式與模型設定之下，不宜直接推論為所有智慧財產權案件皆適用相同組合。</w:t>
      </w:r>
    </w:p>
    <w:p w14:paraId="1BF75CC6"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00785003" w14:textId="73FFE5C4"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文模型較適合作為法律文本分類、案件初步篩選或研究輔助工具，而不宜直接作為個案勝敗預測或法律決策依據。尤其本研究模型對多數類別表現相對較佳，但對</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等少數類別仍存在辨識不足的問題。若將模型直接用於實務判斷，可能低估部分勝訴或勝訴案件的可能性。因此，模型輸出仍應搭配人工審查與個案脈絡分析。</w:t>
      </w:r>
    </w:p>
    <w:p w14:paraId="22A22D94"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r w:rsidRPr="00706F03">
        <w:rPr>
          <w:rFonts w:cs="Times New Roman"/>
          <w:szCs w:val="28"/>
        </w:rPr>
        <w:t>BoW</w:t>
      </w:r>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42BB39DE" w14:textId="77777777"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仍可能受到特定樣本分布影響。若要提高結論穩健性，後續研究可加入重複隨機</w:t>
      </w:r>
      <w:r w:rsidR="0049398B" w:rsidRPr="00706F03">
        <w:rPr>
          <w:rFonts w:cs="Times New Roman" w:hint="eastAsia"/>
          <w:szCs w:val="28"/>
        </w:rPr>
        <w:t>劃分</w:t>
      </w:r>
      <w:r w:rsidRPr="00706F03">
        <w:rPr>
          <w:rFonts w:cs="Times New Roman"/>
          <w:szCs w:val="28"/>
        </w:rPr>
        <w:t>、交叉驗證、</w:t>
      </w:r>
      <w:r w:rsidRPr="00706F03">
        <w:rPr>
          <w:rFonts w:cs="Times New Roman"/>
          <w:szCs w:val="28"/>
        </w:rPr>
        <w:t xml:space="preserve">bootstrap </w:t>
      </w:r>
      <w:r w:rsidRPr="00706F03">
        <w:rPr>
          <w:rFonts w:cs="Times New Roman"/>
          <w:szCs w:val="28"/>
        </w:rPr>
        <w:t>重抽樣檢定，或不同年度區間的外部測試資料。特別是本研究資料橫跨較長期間，不同年度的案件數量、裁判用語與案件類型分布可能有所變化，因此未來可進一步檢驗模型在不同時間區間下是否維持相似表現。</w:t>
      </w:r>
    </w:p>
    <w:p w14:paraId="23A7DA58"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類別誤判為</w:t>
      </w:r>
      <w:r w:rsidRPr="00706F03">
        <w:rPr>
          <w:rFonts w:cs="Times New Roman"/>
          <w:szCs w:val="28"/>
        </w:rPr>
        <w:t xml:space="preserve"> Lose </w:t>
      </w:r>
      <w:r w:rsidRPr="00706F03">
        <w:rPr>
          <w:rFonts w:cs="Times New Roman"/>
          <w:szCs w:val="28"/>
        </w:rPr>
        <w:t>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等少數類別之表現。</w:t>
      </w:r>
    </w:p>
    <w:p w14:paraId="79703848"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612C2BF3" w14:textId="77777777" w:rsidR="00970794" w:rsidRPr="00706F03" w:rsidRDefault="00053F92" w:rsidP="0004071A">
      <w:pPr>
        <w:widowControl/>
        <w:spacing w:line="276" w:lineRule="auto"/>
        <w:rPr>
          <w:rFonts w:cs="Times New Roman"/>
          <w:szCs w:val="28"/>
        </w:rPr>
      </w:pPr>
      <w:r w:rsidRPr="00706F03">
        <w:rPr>
          <w:rFonts w:cs="Times New Roman"/>
          <w:szCs w:val="28"/>
        </w:rPr>
        <w:lastRenderedPageBreak/>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769EE49D"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5.5 </w:t>
      </w:r>
      <w:r w:rsidRPr="00706F03">
        <w:rPr>
          <w:rFonts w:ascii="Times New Roman" w:eastAsia="標楷體" w:hAnsi="Times New Roman" w:cs="Times New Roman"/>
          <w:color w:val="auto"/>
          <w:szCs w:val="28"/>
        </w:rPr>
        <w:t>總結</w:t>
      </w:r>
    </w:p>
    <w:p w14:paraId="48B544FC" w14:textId="77777777" w:rsidR="0070310B" w:rsidRPr="00706F03" w:rsidRDefault="0070310B" w:rsidP="007B138D">
      <w:pPr>
        <w:widowControl/>
        <w:spacing w:line="276" w:lineRule="auto"/>
        <w:rPr>
          <w:rFonts w:cs="Times New Roman"/>
          <w:szCs w:val="28"/>
        </w:rPr>
      </w:pPr>
      <w:r w:rsidRPr="00706F03">
        <w:rPr>
          <w:rFonts w:cs="Times New Roman"/>
          <w:szCs w:val="28"/>
        </w:rPr>
        <w:t>整體而言，本研究證實，</w:t>
      </w:r>
      <w:r w:rsidR="00AD1A81" w:rsidRPr="00706F03">
        <w:rPr>
          <w:rFonts w:cs="Times New Roman"/>
          <w:szCs w:val="28"/>
        </w:rPr>
        <w:t>臺灣</w:t>
      </w:r>
      <w:r w:rsidRPr="00706F03">
        <w:rPr>
          <w:rFonts w:cs="Times New Roman"/>
          <w:szCs w:val="28"/>
        </w:rPr>
        <w:t>智慧財產權判決文本中確實存在可供機器學習模型辨識之文字訊號。透過文字特徵建構、卡方特徵選擇、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分類模型之比較，本研究發現，在本研究資料與設定下，</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相較於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具有較佳分類表現，顯示卡方篩選後之稀疏文字特徵已能保留相當程度的裁判結果分類訊息。因此，傳統文字特徵結合</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可作為智慧財產權判決文本分類任務中具參考價值的基準流程。然而，本研究亦顯示，模型表現不應僅以整體準確率判斷。由於裁判結果存在明顯類別不平衡，模型雖能在多數類別上取得一定分類能力，但對</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6D244B64"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246D1EFC"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094A7381" w14:textId="77777777" w:rsidR="004C1AE9"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 w:val="28"/>
        </w:rPr>
        <w:lastRenderedPageBreak/>
        <w:t>參考文獻</w:t>
      </w:r>
    </w:p>
    <w:p w14:paraId="083DDA0F" w14:textId="1077328D"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18" w:history="1">
        <w:r w:rsidR="00461938" w:rsidRPr="00706F03">
          <w:rPr>
            <w:rStyle w:val="af0"/>
            <w:rFonts w:cs="Times New Roman"/>
            <w:color w:val="auto"/>
          </w:rPr>
          <w:t>https://law.moj.gov.tw/LawClass/LawAll.aspx?pcode=A0010090</w:t>
        </w:r>
      </w:hyperlink>
    </w:p>
    <w:p w14:paraId="47E31BC9" w14:textId="364A77A2" w:rsidR="00FC1982" w:rsidRPr="00706F03" w:rsidRDefault="00FC1982"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2026</w:t>
      </w:r>
      <w:r w:rsidRPr="00706F03">
        <w:rPr>
          <w:rFonts w:cs="Times New Roman"/>
        </w:rPr>
        <w:t>，</w:t>
      </w:r>
      <w:r w:rsidRPr="00706F03">
        <w:rPr>
          <w:rFonts w:cs="Times New Roman"/>
        </w:rPr>
        <w:t>3</w:t>
      </w:r>
      <w:r w:rsidR="00141ACE" w:rsidRPr="00706F03">
        <w:rPr>
          <w:rFonts w:cs="Times New Roman"/>
        </w:rPr>
        <w:t xml:space="preserve"> </w:t>
      </w:r>
      <w:r w:rsidRPr="00706F03">
        <w:rPr>
          <w:rFonts w:cs="Times New Roman"/>
        </w:rPr>
        <w:t>月</w:t>
      </w:r>
      <w:r w:rsidRPr="00706F03">
        <w:rPr>
          <w:rFonts w:cs="Times New Roman"/>
        </w:rPr>
        <w:t>31</w:t>
      </w:r>
      <w:r w:rsidR="00141ACE" w:rsidRPr="00706F03">
        <w:rPr>
          <w:rFonts w:cs="Times New Roman"/>
        </w:rPr>
        <w:t xml:space="preserve"> </w:t>
      </w:r>
      <w:r w:rsidRPr="00706F03">
        <w:rPr>
          <w:rFonts w:cs="Times New Roman"/>
        </w:rPr>
        <w:t>日）。行政訴訟。</w:t>
      </w:r>
      <w:r w:rsidR="003F5CB6" w:rsidRPr="00706F03">
        <w:rPr>
          <w:rFonts w:cs="Times New Roman"/>
          <w:i/>
        </w:rPr>
        <w:t>司法院全球資訊網</w:t>
      </w:r>
      <w:r w:rsidRPr="00706F03">
        <w:rPr>
          <w:rFonts w:cs="Times New Roman"/>
        </w:rPr>
        <w:t>。</w:t>
      </w:r>
      <w:hyperlink r:id="rId19" w:history="1">
        <w:r w:rsidRPr="00706F03">
          <w:rPr>
            <w:rStyle w:val="af0"/>
            <w:rFonts w:cs="Times New Roman"/>
            <w:color w:val="auto"/>
          </w:rPr>
          <w:t>https://www.judicial.gov.tw/tw/np-85-1.html</w:t>
        </w:r>
      </w:hyperlink>
    </w:p>
    <w:p w14:paraId="6EADB98B" w14:textId="5C29B8D1"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009F05B0" w:rsidRPr="00706F03">
        <w:rPr>
          <w:rFonts w:cs="Times New Roman"/>
        </w:rPr>
        <w:t>2025</w:t>
      </w:r>
      <w:r w:rsidR="009F05B0"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）。民事訴訟須知。</w:t>
      </w:r>
      <w:r w:rsidR="003F5CB6" w:rsidRPr="00706F03">
        <w:rPr>
          <w:rFonts w:cs="Times New Roman"/>
          <w:i/>
        </w:rPr>
        <w:t>司法院全球資訊網</w:t>
      </w:r>
      <w:r w:rsidRPr="00706F03">
        <w:rPr>
          <w:rFonts w:cs="Times New Roman"/>
        </w:rPr>
        <w:t>。</w:t>
      </w:r>
      <w:hyperlink r:id="rId20" w:history="1">
        <w:r w:rsidRPr="00706F03">
          <w:rPr>
            <w:rStyle w:val="af0"/>
            <w:rFonts w:cs="Times New Roman"/>
            <w:color w:val="auto"/>
          </w:rPr>
          <w:t>https://www.judicial.gov.tw/tw/cp-165-27-430b8-1.html</w:t>
        </w:r>
      </w:hyperlink>
    </w:p>
    <w:p w14:paraId="19B40D4C" w14:textId="7EDD1212"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）。刑事訴訟須知。</w:t>
      </w:r>
      <w:r w:rsidRPr="00706F03">
        <w:rPr>
          <w:rFonts w:cs="Times New Roman"/>
          <w:i/>
        </w:rPr>
        <w:t>司法院全球資訊網</w:t>
      </w:r>
      <w:r w:rsidRPr="00706F03">
        <w:rPr>
          <w:rFonts w:cs="Times New Roman"/>
        </w:rPr>
        <w:t>。</w:t>
      </w:r>
      <w:hyperlink r:id="rId21" w:history="1">
        <w:r w:rsidRPr="00706F03">
          <w:rPr>
            <w:rStyle w:val="af0"/>
            <w:rFonts w:cs="Times New Roman"/>
            <w:color w:val="auto"/>
          </w:rPr>
          <w:t>https://www.judicial.gov.tw/tw/cp-165-28-683b6-1.html</w:t>
        </w:r>
      </w:hyperlink>
    </w:p>
    <w:p w14:paraId="2B6EE391" w14:textId="05E0C2DC"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3F5CB6" w:rsidRPr="00706F03">
        <w:rPr>
          <w:rFonts w:cs="Times New Roman"/>
        </w:rPr>
        <w:t>9</w:t>
      </w:r>
      <w:r w:rsidR="00141ACE" w:rsidRPr="00706F03">
        <w:rPr>
          <w:rFonts w:cs="Times New Roman"/>
        </w:rPr>
        <w:t xml:space="preserve"> </w:t>
      </w:r>
      <w:r w:rsidR="003F5CB6" w:rsidRPr="00706F03">
        <w:rPr>
          <w:rFonts w:cs="Times New Roman"/>
        </w:rPr>
        <w:t>日</w:t>
      </w:r>
      <w:r w:rsidRPr="00706F03">
        <w:rPr>
          <w:rFonts w:cs="Times New Roman"/>
        </w:rPr>
        <w:t>）。刑事附帶民事訴訟起訴狀。</w:t>
      </w:r>
      <w:r w:rsidRPr="00706F03">
        <w:rPr>
          <w:rFonts w:cs="Times New Roman"/>
          <w:i/>
        </w:rPr>
        <w:t>司法院全球資訊網</w:t>
      </w:r>
      <w:r w:rsidRPr="00706F03">
        <w:rPr>
          <w:rFonts w:cs="Times New Roman"/>
        </w:rPr>
        <w:t>。</w:t>
      </w:r>
      <w:hyperlink r:id="rId22" w:history="1">
        <w:r w:rsidRPr="00706F03">
          <w:rPr>
            <w:rStyle w:val="af0"/>
            <w:rFonts w:cs="Times New Roman"/>
            <w:color w:val="auto"/>
          </w:rPr>
          <w:t>https://www.judicial.gov.tw/tw/cp-1370-4310-e5078-1.html</w:t>
        </w:r>
      </w:hyperlink>
    </w:p>
    <w:p w14:paraId="581D0C0A"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rPr>
        <w:t>經濟論文</w:t>
      </w:r>
      <w:r w:rsidRPr="00706F03">
        <w:rPr>
          <w:rFonts w:cs="Times New Roman"/>
        </w:rPr>
        <w:t>，</w:t>
      </w:r>
      <w:r w:rsidRPr="00706F03">
        <w:rPr>
          <w:rFonts w:cs="Times New Roman"/>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hyperlink r:id="rId23" w:history="1">
        <w:r w:rsidRPr="00706F03">
          <w:rPr>
            <w:rStyle w:val="af0"/>
            <w:rFonts w:cs="Times New Roman"/>
            <w:color w:val="auto"/>
          </w:rPr>
          <w:t>https://www.airitilibrary.com/Article/Detail/1018161x-201912-201912300022-201912300022-533-546</w:t>
        </w:r>
      </w:hyperlink>
    </w:p>
    <w:p w14:paraId="6D63B7B8"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rPr>
        <w:t>科技法學評論</w:t>
      </w:r>
      <w:r w:rsidRPr="00706F03">
        <w:rPr>
          <w:rFonts w:cs="Times New Roman"/>
        </w:rPr>
        <w:t>，</w:t>
      </w:r>
      <w:r w:rsidRPr="00706F03">
        <w:rPr>
          <w:rFonts w:cs="Times New Roman"/>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hyperlink r:id="rId24" w:history="1">
        <w:r w:rsidR="003F5CB6" w:rsidRPr="00706F03">
          <w:rPr>
            <w:rStyle w:val="af0"/>
            <w:rFonts w:cs="Times New Roman"/>
            <w:color w:val="auto"/>
          </w:rPr>
          <w:t>https://lawdata.com.tw/tw/doi/?doi=10.3966/181130952013121002001</w:t>
        </w:r>
      </w:hyperlink>
    </w:p>
    <w:p w14:paraId="258BF0C0"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rPr>
        <w:t>專利師</w:t>
      </w:r>
      <w:r w:rsidRPr="00706F03">
        <w:rPr>
          <w:rFonts w:cs="Times New Roman"/>
        </w:rPr>
        <w:t>，</w:t>
      </w:r>
      <w:r w:rsidRPr="00706F03">
        <w:rPr>
          <w:rFonts w:cs="Times New Roman"/>
        </w:rPr>
        <w:t>47</w:t>
      </w:r>
      <w:r w:rsidR="00B57FD2" w:rsidRPr="00706F03">
        <w:rPr>
          <w:rFonts w:cs="Times New Roman"/>
        </w:rPr>
        <w:t>，</w:t>
      </w:r>
      <w:r w:rsidR="00B57FD2" w:rsidRPr="00706F03">
        <w:rPr>
          <w:rFonts w:cs="Times New Roman"/>
        </w:rPr>
        <w:t>1-11</w:t>
      </w:r>
      <w:r w:rsidRPr="00706F03">
        <w:rPr>
          <w:rFonts w:cs="Times New Roman"/>
        </w:rPr>
        <w:t>。</w:t>
      </w:r>
      <w:hyperlink r:id="rId25" w:history="1">
        <w:r w:rsidR="00B57FD2" w:rsidRPr="00706F03">
          <w:rPr>
            <w:rStyle w:val="af0"/>
            <w:rFonts w:cs="Times New Roman"/>
            <w:color w:val="auto"/>
          </w:rPr>
          <w:t>https://lawdata.com.tw/tw/doi/?doi=10.3966/221845622021100047001</w:t>
        </w:r>
      </w:hyperlink>
    </w:p>
    <w:p w14:paraId="049FC69A"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）。從數據一探智慧財產法院運作實況：專題三，民事訴訟。</w:t>
      </w:r>
      <w:r w:rsidRPr="00706F03">
        <w:rPr>
          <w:rFonts w:cs="Times New Roman"/>
          <w:i/>
        </w:rPr>
        <w:t>Winkler Partners</w:t>
      </w:r>
      <w:r w:rsidRPr="00706F03">
        <w:rPr>
          <w:rFonts w:cs="Times New Roman"/>
        </w:rPr>
        <w:t>。</w:t>
      </w:r>
      <w:hyperlink r:id="rId26" w:history="1">
        <w:r w:rsidRPr="00706F03">
          <w:rPr>
            <w:rStyle w:val="af0"/>
            <w:rFonts w:cs="Times New Roman"/>
            <w:color w:val="auto"/>
          </w:rPr>
          <w:t>https://winklerpartners.com/zh/%E5%BE%9E%E6%95%B8%E6%93%9A%E4%B8%80%E6%8E%A2%E6%99%BA%E6%85%A7%E8%B2%A1%E7%94%A2%E6%B3%95%E9%99%A2%E9%81%8B%E4%BD%9C%E5%AF%A6%E6%B3%81-%E5%B0%88%E9%A1%8C%E4%B8%89-%E6%B0%91%E4%BA%8B/</w:t>
        </w:r>
      </w:hyperlink>
    </w:p>
    <w:p w14:paraId="0092B50D" w14:textId="77777777" w:rsidR="00A352CB" w:rsidRPr="00706F03" w:rsidRDefault="00A352CB" w:rsidP="0004071A">
      <w:pPr>
        <w:widowControl/>
        <w:spacing w:line="276" w:lineRule="auto"/>
        <w:ind w:left="720" w:hanging="720"/>
        <w:jc w:val="left"/>
        <w:rPr>
          <w:rFonts w:cs="Times New Roman"/>
        </w:rPr>
      </w:pPr>
      <w:r w:rsidRPr="00706F03">
        <w:rPr>
          <w:rFonts w:cs="Times New Roman"/>
        </w:rPr>
        <w:t>楊智傑（</w:t>
      </w:r>
      <w:r w:rsidRPr="00706F03">
        <w:rPr>
          <w:rFonts w:cs="Times New Roman"/>
        </w:rPr>
        <w:t>2012</w:t>
      </w:r>
      <w:r w:rsidRPr="00706F03">
        <w:rPr>
          <w:rFonts w:cs="Times New Roman"/>
        </w:rPr>
        <w:t>）。著作權濫用與不當使用之研究。《公平交易季刊》，</w:t>
      </w:r>
      <w:r w:rsidRPr="00706F03">
        <w:rPr>
          <w:rFonts w:cs="Times New Roman"/>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hyperlink r:id="rId27" w:tgtFrame="_new" w:history="1">
        <w:r w:rsidRPr="00706F03">
          <w:rPr>
            <w:rStyle w:val="af0"/>
            <w:rFonts w:cs="Times New Roman"/>
            <w:color w:val="auto"/>
          </w:rPr>
          <w:t>https://www.lawbank.com.tw/treatise/pl_article.aspx?AID=P000214582</w:t>
        </w:r>
      </w:hyperlink>
    </w:p>
    <w:p w14:paraId="1738628E"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 xml:space="preserve">Aletras, N., Tsarapatsanis, D., Preoţiuc-Pietro, D., &amp; Lampos, V. (2016). Predicting judicial decisions of the European Court of Human Rights: A natural language processing perspective. </w:t>
      </w:r>
      <w:r w:rsidRPr="00706F03">
        <w:rPr>
          <w:rFonts w:cs="Times New Roman"/>
          <w:i/>
        </w:rPr>
        <w:t>PeerJ Computer Science, 2</w:t>
      </w:r>
      <w:r w:rsidRPr="00706F03">
        <w:rPr>
          <w:rFonts w:cs="Times New Roman"/>
        </w:rPr>
        <w:t xml:space="preserve">, Article e93. </w:t>
      </w:r>
      <w:hyperlink r:id="rId28" w:history="1">
        <w:r w:rsidRPr="00706F03">
          <w:rPr>
            <w:rStyle w:val="af0"/>
            <w:rFonts w:cs="Times New Roman"/>
            <w:color w:val="auto"/>
          </w:rPr>
          <w:t>https://doi.org/10.7717/peerj-cs.93</w:t>
        </w:r>
      </w:hyperlink>
    </w:p>
    <w:p w14:paraId="6929A937"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Alghazzawi, D., Bamasag, O., Albeshri, A., Sana, I., Ullah, H., &amp; Asghar, M. Z. (2022). Efficient prediction of court judgments using an LSTM+CNN neural network model with an optimal feature set. </w:t>
      </w:r>
      <w:r w:rsidRPr="00706F03">
        <w:rPr>
          <w:rFonts w:cs="Times New Roman"/>
          <w:i/>
        </w:rPr>
        <w:t>Mathematics, 10</w:t>
      </w:r>
      <w:r w:rsidRPr="00706F03">
        <w:rPr>
          <w:rFonts w:cs="Times New Roman"/>
        </w:rPr>
        <w:t xml:space="preserve">(5), Article 683. </w:t>
      </w:r>
      <w:hyperlink r:id="rId29" w:history="1">
        <w:r w:rsidRPr="00706F03">
          <w:rPr>
            <w:rStyle w:val="af0"/>
            <w:rFonts w:cs="Times New Roman"/>
            <w:color w:val="auto"/>
          </w:rPr>
          <w:t>https://doi.org/10.3390/math10050683</w:t>
        </w:r>
      </w:hyperlink>
    </w:p>
    <w:p w14:paraId="7E4DA132" w14:textId="77777777" w:rsidR="003F43CC" w:rsidRPr="00706F03" w:rsidRDefault="003F43CC" w:rsidP="003F43CC">
      <w:pPr>
        <w:widowControl/>
        <w:spacing w:line="276" w:lineRule="auto"/>
        <w:ind w:left="720" w:hanging="720"/>
        <w:jc w:val="left"/>
        <w:rPr>
          <w:rFonts w:cs="Times New Roman"/>
        </w:rPr>
      </w:pPr>
      <w:r w:rsidRPr="00706F03">
        <w:rPr>
          <w:rFonts w:cs="Times New Roman"/>
        </w:rPr>
        <w:t>Ariai, F., Mackenzie, J., &amp; Demartini, G. (202</w:t>
      </w:r>
      <w:r w:rsidR="005F3C21" w:rsidRPr="00706F03">
        <w:rPr>
          <w:rFonts w:cs="Times New Roman" w:hint="eastAsia"/>
        </w:rPr>
        <w:t>5</w:t>
      </w:r>
      <w:r w:rsidRPr="00706F03">
        <w:rPr>
          <w:rFonts w:cs="Times New Roman"/>
        </w:rPr>
        <w:t xml:space="preserve">). Natural language processing for the legal domain: A survey of tasks, datasets, models, and challenges. </w:t>
      </w:r>
      <w:r w:rsidRPr="00706F03">
        <w:rPr>
          <w:rFonts w:cs="Times New Roman"/>
          <w:i/>
          <w:iCs/>
        </w:rPr>
        <w:t>ACM Computing Surveys, 58</w:t>
      </w:r>
      <w:r w:rsidRPr="00706F03">
        <w:rPr>
          <w:rFonts w:cs="Times New Roman"/>
        </w:rPr>
        <w:t xml:space="preserve">(6), Article 163, 1–37. </w:t>
      </w:r>
      <w:hyperlink r:id="rId30" w:history="1">
        <w:r w:rsidRPr="00706F03">
          <w:rPr>
            <w:rStyle w:val="af0"/>
            <w:rFonts w:cs="Times New Roman"/>
            <w:color w:val="auto"/>
          </w:rPr>
          <w:t>https://doi.org/10.1145/3777009</w:t>
        </w:r>
      </w:hyperlink>
    </w:p>
    <w:p w14:paraId="032DE737"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Chang, Y.-C., Chen, K.-P., &amp; Lin, C.-C. (2018). </w:t>
      </w:r>
      <w:r w:rsidRPr="00706F03">
        <w:rPr>
          <w:rFonts w:cs="Times New Roman"/>
          <w:i/>
          <w:iCs/>
        </w:rPr>
        <w:t>Anchoring effect in real litigation: An empirical study</w:t>
      </w:r>
      <w:r w:rsidRPr="00706F03">
        <w:rPr>
          <w:rFonts w:cs="Times New Roman"/>
        </w:rPr>
        <w:t xml:space="preserve">. SSRN. </w:t>
      </w:r>
      <w:hyperlink r:id="rId31" w:tgtFrame="_new" w:history="1">
        <w:r w:rsidRPr="00706F03">
          <w:rPr>
            <w:rStyle w:val="af0"/>
            <w:rFonts w:cs="Times New Roman"/>
            <w:color w:val="auto"/>
          </w:rPr>
          <w:t>https://papers.ssrn.com/sol3/papers.cfm?abstract_id=2726903</w:t>
        </w:r>
      </w:hyperlink>
      <w:r w:rsidRPr="00706F03">
        <w:rPr>
          <w:rFonts w:cs="Times New Roman"/>
        </w:rPr>
        <w:t xml:space="preserve"> </w:t>
      </w:r>
    </w:p>
    <w:p w14:paraId="130BD9C3"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Androutsopoulos, I., &amp; Aletras, N. (2019). Neural legal judgment prediction in English. In </w:t>
      </w:r>
      <w:r w:rsidRPr="00706F03">
        <w:rPr>
          <w:rFonts w:cs="Times New Roman"/>
          <w:i/>
        </w:rPr>
        <w:t>Proceedings of the 57th Annual Meeting of the Association for Computational Linguistics</w:t>
      </w:r>
      <w:r w:rsidRPr="00706F03">
        <w:rPr>
          <w:rFonts w:cs="Times New Roman"/>
        </w:rPr>
        <w:t xml:space="preserve"> (pp. 4317–4323). Association for Computational Linguistics. </w:t>
      </w:r>
      <w:hyperlink r:id="rId32" w:history="1">
        <w:r w:rsidRPr="00706F03">
          <w:rPr>
            <w:rStyle w:val="af0"/>
            <w:rFonts w:cs="Times New Roman"/>
            <w:color w:val="auto"/>
          </w:rPr>
          <w:t>https://aclanthology.org/P19-1424/</w:t>
        </w:r>
      </w:hyperlink>
    </w:p>
    <w:p w14:paraId="48ADCAD5"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 31</w:t>
      </w:r>
      <w:r w:rsidRPr="00706F03">
        <w:rPr>
          <w:rFonts w:cs="Times New Roman"/>
        </w:rPr>
        <w:t xml:space="preserve">(1), 93–126. </w:t>
      </w:r>
      <w:hyperlink r:id="rId33" w:history="1">
        <w:r w:rsidRPr="00706F03">
          <w:rPr>
            <w:rStyle w:val="af0"/>
            <w:rFonts w:cs="Times New Roman"/>
            <w:color w:val="auto"/>
          </w:rPr>
          <w:t>https://doi.org/10.1093/jleo/ewt022</w:t>
        </w:r>
      </w:hyperlink>
    </w:p>
    <w:p w14:paraId="4E4B38AD"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34" w:tgtFrame="_new" w:history="1">
        <w:r w:rsidRPr="00706F03">
          <w:rPr>
            <w:rStyle w:val="af0"/>
            <w:rFonts w:cs="Times New Roman"/>
            <w:color w:val="auto"/>
          </w:rPr>
          <w:t>https://github.com/ckiplab/ckip-transformers</w:t>
        </w:r>
      </w:hyperlink>
    </w:p>
    <w:p w14:paraId="36CA22E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rPr>
        <w:t>American Economic Journal: Applied Economics, 10</w:t>
      </w:r>
      <w:r w:rsidRPr="00706F03">
        <w:rPr>
          <w:rFonts w:cs="Times New Roman"/>
        </w:rPr>
        <w:t xml:space="preserve">(3), 171–205. </w:t>
      </w:r>
      <w:hyperlink r:id="rId35" w:history="1">
        <w:r w:rsidRPr="00706F03">
          <w:rPr>
            <w:rStyle w:val="af0"/>
            <w:rFonts w:cs="Times New Roman"/>
            <w:color w:val="auto"/>
          </w:rPr>
          <w:t>https://doi.org/10.1257/app.20160390</w:t>
        </w:r>
      </w:hyperlink>
    </w:p>
    <w:p w14:paraId="03A9105F"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36" w:history="1">
        <w:r w:rsidRPr="00706F03">
          <w:rPr>
            <w:rStyle w:val="af0"/>
            <w:rFonts w:cs="Times New Roman"/>
            <w:color w:val="auto"/>
          </w:rPr>
          <w:t xml:space="preserve"> https://doi.org/10.24963/ijcai.2022/765</w:t>
        </w:r>
      </w:hyperlink>
    </w:p>
    <w:p w14:paraId="07E5BEF1"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Heyes, A., &amp; Saberian, S. (2019). Temperature and decisions: Evidence from 207,000 court cases. </w:t>
      </w:r>
      <w:r w:rsidRPr="00706F03">
        <w:rPr>
          <w:rFonts w:cs="Times New Roman"/>
          <w:i/>
        </w:rPr>
        <w:t>American Economic Journal: Applied Economics, 11</w:t>
      </w:r>
      <w:r w:rsidRPr="00706F03">
        <w:rPr>
          <w:rFonts w:cs="Times New Roman"/>
        </w:rPr>
        <w:t xml:space="preserve">(2), 238–265. </w:t>
      </w:r>
      <w:hyperlink r:id="rId37" w:history="1">
        <w:r w:rsidRPr="00706F03">
          <w:rPr>
            <w:rStyle w:val="af0"/>
            <w:rFonts w:cs="Times New Roman"/>
            <w:color w:val="auto"/>
          </w:rPr>
          <w:t>https://doi.org/10.1257/app.20170223</w:t>
        </w:r>
      </w:hyperlink>
    </w:p>
    <w:p w14:paraId="13DAE065" w14:textId="77777777" w:rsidR="00E24638" w:rsidRPr="00706F03" w:rsidRDefault="00E24638" w:rsidP="00E24638">
      <w:pPr>
        <w:widowControl/>
        <w:spacing w:line="276" w:lineRule="auto"/>
        <w:ind w:left="720" w:hanging="720"/>
        <w:jc w:val="left"/>
        <w:rPr>
          <w:rFonts w:cs="Times New Roman"/>
        </w:rPr>
      </w:pPr>
      <w:r w:rsidRPr="00706F03">
        <w:rPr>
          <w:rFonts w:cs="Times New Roman"/>
        </w:rPr>
        <w:lastRenderedPageBreak/>
        <w:t xml:space="preserve">Hsieh, D., Chen, L., &amp; Sun, T. (2021). Legal judgment prediction based on machine learning: Predicting the discretionary damages of mental suffering in fatal car accident cases. </w:t>
      </w:r>
      <w:r w:rsidRPr="00706F03">
        <w:rPr>
          <w:rFonts w:cs="Times New Roman"/>
          <w:i/>
          <w:iCs/>
        </w:rPr>
        <w:t>Applied Sciences, 11</w:t>
      </w:r>
      <w:r w:rsidRPr="00706F03">
        <w:rPr>
          <w:rFonts w:cs="Times New Roman"/>
        </w:rPr>
        <w:t xml:space="preserve">(21), Article 10361. </w:t>
      </w:r>
      <w:hyperlink r:id="rId38" w:history="1">
        <w:r w:rsidRPr="00706F03">
          <w:rPr>
            <w:rStyle w:val="af0"/>
            <w:rFonts w:cs="Times New Roman"/>
            <w:color w:val="auto"/>
          </w:rPr>
          <w:t>https://doi.org/10.3390/app112110361</w:t>
        </w:r>
      </w:hyperlink>
    </w:p>
    <w:p w14:paraId="4EDF490C"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Mamakas, D., Tsotsi, P., Androutsopoulos, I., &amp; Chalkidis, I. (2022). Processing long legal documents with pre-trained transformers: Modding LegalBERT and Longformer.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39" w:history="1">
        <w:r w:rsidRPr="00706F03">
          <w:rPr>
            <w:rStyle w:val="af0"/>
            <w:rFonts w:cs="Times New Roman"/>
            <w:color w:val="auto"/>
          </w:rPr>
          <w:t>https://doi.org/10.18653/v1/2022.nllp-1.11</w:t>
        </w:r>
      </w:hyperlink>
    </w:p>
    <w:p w14:paraId="670240B3"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Manning, C. D., Raghavan, P., &amp; Schütze, H. (2009). </w:t>
      </w:r>
      <w:r w:rsidRPr="00706F03">
        <w:rPr>
          <w:rFonts w:cs="Times New Roman"/>
          <w:i/>
        </w:rPr>
        <w:t>Introduction to information retrieval</w:t>
      </w:r>
      <w:r w:rsidRPr="00706F03">
        <w:rPr>
          <w:rFonts w:cs="Times New Roman"/>
        </w:rPr>
        <w:t>. Cambridge University Press.</w:t>
      </w:r>
    </w:p>
    <w:p w14:paraId="5C79101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sklearn.feature_selection.chi2. scikit-learn. Retrieved May 10, 2026, from </w:t>
      </w:r>
      <w:hyperlink r:id="rId40" w:history="1">
        <w:r w:rsidRPr="00706F03">
          <w:rPr>
            <w:rStyle w:val="af0"/>
            <w:rFonts w:cs="Times New Roman"/>
            <w:color w:val="auto"/>
          </w:rPr>
          <w:t>https://scikit-learn.org/stable/modules/generated/sklearn.feature_selection.chi2.html</w:t>
        </w:r>
      </w:hyperlink>
    </w:p>
    <w:p w14:paraId="2B6AD58A" w14:textId="77777777" w:rsidR="003F43CC" w:rsidRPr="00706F03" w:rsidRDefault="003F43CC" w:rsidP="003F43CC">
      <w:pPr>
        <w:widowControl/>
        <w:spacing w:line="276" w:lineRule="auto"/>
        <w:ind w:left="720" w:hanging="720"/>
        <w:jc w:val="left"/>
        <w:rPr>
          <w:rFonts w:cs="Times New Roman"/>
        </w:rPr>
      </w:pPr>
      <w:r w:rsidRPr="00706F03">
        <w:rPr>
          <w:rFonts w:cs="Times New Roman"/>
        </w:rPr>
        <w:t xml:space="preserve">scikit-learn developers. (n.d.-b). sklearn.feature_extraction.text.TfidfVectorizer. scikit-learn. Retrieved May 10, 2026, from </w:t>
      </w:r>
      <w:hyperlink r:id="rId41" w:history="1">
        <w:r w:rsidRPr="00706F03">
          <w:rPr>
            <w:rStyle w:val="af0"/>
            <w:rFonts w:cs="Times New Roman"/>
            <w:color w:val="auto"/>
          </w:rPr>
          <w:t>https://scikit-learn.org/stable/modules/generated/sklearn.feature_extraction.text.TfidfVectorizer.html</w:t>
        </w:r>
      </w:hyperlink>
    </w:p>
    <w:p w14:paraId="3C8ED5CA"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Surdeanu, M., Nallapati, R., Gregory, G., Walker, J., &amp; Manning, C. D. (2011). Risk analysis for intellectual property litigation. In </w:t>
      </w:r>
      <w:r w:rsidRPr="00706F03">
        <w:rPr>
          <w:rFonts w:cs="Times New Roman"/>
          <w:i/>
        </w:rPr>
        <w:t>Proceedings of the 13th International Conference on Artificial Intelligence and Law</w:t>
      </w:r>
      <w:r w:rsidRPr="00706F03">
        <w:rPr>
          <w:rFonts w:cs="Times New Roman"/>
        </w:rPr>
        <w:t xml:space="preserve"> (pp. 116–120). Association for Computing Machinery. </w:t>
      </w:r>
      <w:hyperlink r:id="rId42" w:history="1">
        <w:r w:rsidRPr="00706F03">
          <w:rPr>
            <w:rStyle w:val="af0"/>
            <w:rFonts w:cs="Times New Roman"/>
            <w:color w:val="auto"/>
          </w:rPr>
          <w:t>https://doi.org/10.1145/2018358.2018375</w:t>
        </w:r>
      </w:hyperlink>
    </w:p>
    <w:p w14:paraId="4EAC8B3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rPr>
        <w:t>Journal of the American Statistical Association, 108</w:t>
      </w:r>
      <w:r w:rsidRPr="00706F03">
        <w:rPr>
          <w:rFonts w:cs="Times New Roman"/>
        </w:rPr>
        <w:t xml:space="preserve">(503), 755–770. </w:t>
      </w:r>
      <w:hyperlink r:id="rId43" w:history="1">
        <w:r w:rsidRPr="00706F03">
          <w:rPr>
            <w:rStyle w:val="af0"/>
            <w:rFonts w:cs="Times New Roman"/>
            <w:color w:val="auto"/>
          </w:rPr>
          <w:t>https://doi.org/10.1080/01621459.2012.734168</w:t>
        </w:r>
      </w:hyperlink>
    </w:p>
    <w:p w14:paraId="4C66695E"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FinMTEB: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44" w:history="1">
        <w:r w:rsidRPr="00706F03">
          <w:rPr>
            <w:rStyle w:val="af0"/>
            <w:rFonts w:cs="Times New Roman"/>
            <w:color w:val="auto"/>
          </w:rPr>
          <w:t>https://doi.org/10.18653/v1/2025.emnlp-main.179</w:t>
        </w:r>
      </w:hyperlink>
    </w:p>
    <w:p w14:paraId="0FE51C8F"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t>Knowledge-Based Systems, 239</w:t>
      </w:r>
      <w:r w:rsidRPr="00706F03">
        <w:rPr>
          <w:rFonts w:cs="Times New Roman"/>
        </w:rPr>
        <w:t>, Article 107960.</w:t>
      </w:r>
      <w:r w:rsidRPr="00706F03">
        <w:rPr>
          <w:rFonts w:cs="Times New Roman"/>
          <w:kern w:val="0"/>
          <w14:ligatures w14:val="none"/>
        </w:rPr>
        <w:t xml:space="preserve"> </w:t>
      </w:r>
      <w:hyperlink r:id="rId45" w:history="1">
        <w:r w:rsidRPr="00706F03">
          <w:rPr>
            <w:rStyle w:val="af0"/>
            <w:rFonts w:cs="Times New Roman"/>
            <w:color w:val="auto"/>
          </w:rPr>
          <w:t>https://doi.org/10.1016/j.knosys.2021.107960</w:t>
        </w:r>
      </w:hyperlink>
    </w:p>
    <w:sectPr w:rsidR="004C1AE9" w:rsidRPr="00706F03" w:rsidSect="0004071A">
      <w:headerReference w:type="even" r:id="rId46"/>
      <w:headerReference w:type="default" r:id="rId47"/>
      <w:headerReference w:type="first" r:id="rId48"/>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09FC8" w14:textId="77777777" w:rsidR="001E10F1" w:rsidRDefault="001E10F1" w:rsidP="00204DC5">
      <w:pPr>
        <w:spacing w:after="0" w:line="240" w:lineRule="auto"/>
      </w:pPr>
      <w:r>
        <w:separator/>
      </w:r>
    </w:p>
  </w:endnote>
  <w:endnote w:type="continuationSeparator" w:id="0">
    <w:p w14:paraId="616E5A37" w14:textId="77777777" w:rsidR="001E10F1" w:rsidRDefault="001E10F1"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74FE"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E7B80" w14:textId="77777777" w:rsidR="001E10F1" w:rsidRDefault="001E10F1" w:rsidP="00204DC5">
      <w:pPr>
        <w:spacing w:after="0" w:line="240" w:lineRule="auto"/>
      </w:pPr>
      <w:r>
        <w:separator/>
      </w:r>
    </w:p>
  </w:footnote>
  <w:footnote w:type="continuationSeparator" w:id="0">
    <w:p w14:paraId="46319BB5" w14:textId="77777777" w:rsidR="001E10F1" w:rsidRDefault="001E10F1"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90C40" w14:textId="77777777" w:rsidR="00E53FEC" w:rsidRDefault="00000000">
    <w:pPr>
      <w:pStyle w:val="af4"/>
    </w:pPr>
    <w:r>
      <w:rPr>
        <w:noProof/>
      </w:rPr>
      <w:pict w14:anchorId="59C90F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6" type="#_x0000_t75" style="position:absolute;left:0;text-align:left;margin-left:0;margin-top:0;width:141.75pt;height:141.75pt;z-index:-251657216;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9B2AE" w14:textId="77777777" w:rsidR="00E53FEC" w:rsidRDefault="00000000">
    <w:pPr>
      <w:pStyle w:val="af4"/>
    </w:pPr>
    <w:r>
      <w:rPr>
        <w:noProof/>
      </w:rPr>
      <w:pict w14:anchorId="6CAE13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7" type="#_x0000_t75" style="position:absolute;left:0;text-align:left;margin-left:0;margin-top:0;width:141.75pt;height:141.75pt;z-index:-251656192;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C4545" w14:textId="77777777" w:rsidR="00E53FEC" w:rsidRDefault="00000000">
    <w:pPr>
      <w:pStyle w:val="af4"/>
    </w:pPr>
    <w:r>
      <w:rPr>
        <w:noProof/>
      </w:rPr>
      <w:pict w14:anchorId="15CB3D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style="position:absolute;left:0;text-align:left;margin-left:0;margin-top:0;width:141.75pt;height:141.75pt;z-index:-251658240;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E2014"/>
    <w:rsid w:val="000E2DE2"/>
    <w:rsid w:val="000E3995"/>
    <w:rsid w:val="000E77F6"/>
    <w:rsid w:val="000F2CA5"/>
    <w:rsid w:val="000F5B10"/>
    <w:rsid w:val="00101530"/>
    <w:rsid w:val="00104100"/>
    <w:rsid w:val="00105BED"/>
    <w:rsid w:val="001071CC"/>
    <w:rsid w:val="0011153B"/>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4CBA"/>
    <w:rsid w:val="003857B4"/>
    <w:rsid w:val="00387DAD"/>
    <w:rsid w:val="003A3247"/>
    <w:rsid w:val="003A3419"/>
    <w:rsid w:val="003A6841"/>
    <w:rsid w:val="003B6BB8"/>
    <w:rsid w:val="003C4839"/>
    <w:rsid w:val="003D1EB0"/>
    <w:rsid w:val="003D2154"/>
    <w:rsid w:val="003D2BD9"/>
    <w:rsid w:val="003E6BC0"/>
    <w:rsid w:val="003F15A7"/>
    <w:rsid w:val="003F2015"/>
    <w:rsid w:val="003F43CC"/>
    <w:rsid w:val="003F4524"/>
    <w:rsid w:val="003F5CB6"/>
    <w:rsid w:val="003F5EF7"/>
    <w:rsid w:val="00401618"/>
    <w:rsid w:val="004030AC"/>
    <w:rsid w:val="00404833"/>
    <w:rsid w:val="00411048"/>
    <w:rsid w:val="00413693"/>
    <w:rsid w:val="0042239C"/>
    <w:rsid w:val="0042508A"/>
    <w:rsid w:val="00427CCE"/>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795"/>
    <w:rsid w:val="00565DC7"/>
    <w:rsid w:val="0056672B"/>
    <w:rsid w:val="005921D2"/>
    <w:rsid w:val="005946D3"/>
    <w:rsid w:val="005963C8"/>
    <w:rsid w:val="005A2963"/>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B3C65"/>
    <w:rsid w:val="006B546A"/>
    <w:rsid w:val="006C25BD"/>
    <w:rsid w:val="006C2AC0"/>
    <w:rsid w:val="006C40C4"/>
    <w:rsid w:val="006C62CC"/>
    <w:rsid w:val="006C64B5"/>
    <w:rsid w:val="006C771D"/>
    <w:rsid w:val="006D0B58"/>
    <w:rsid w:val="006D5D99"/>
    <w:rsid w:val="006E4931"/>
    <w:rsid w:val="006E5AFF"/>
    <w:rsid w:val="006E7085"/>
    <w:rsid w:val="006F51FC"/>
    <w:rsid w:val="006F60ED"/>
    <w:rsid w:val="006F6F97"/>
    <w:rsid w:val="007019C8"/>
    <w:rsid w:val="00701E11"/>
    <w:rsid w:val="00702DCB"/>
    <w:rsid w:val="0070310B"/>
    <w:rsid w:val="00704208"/>
    <w:rsid w:val="0070491A"/>
    <w:rsid w:val="00704996"/>
    <w:rsid w:val="00706F03"/>
    <w:rsid w:val="00707A84"/>
    <w:rsid w:val="00707EA2"/>
    <w:rsid w:val="00714DEA"/>
    <w:rsid w:val="00734F6F"/>
    <w:rsid w:val="00737C2E"/>
    <w:rsid w:val="00742163"/>
    <w:rsid w:val="00742796"/>
    <w:rsid w:val="00744CBB"/>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664A"/>
    <w:rsid w:val="007B138D"/>
    <w:rsid w:val="007B2911"/>
    <w:rsid w:val="007B349E"/>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565CB"/>
    <w:rsid w:val="008613E4"/>
    <w:rsid w:val="008648ED"/>
    <w:rsid w:val="00866546"/>
    <w:rsid w:val="008679A5"/>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2ABB"/>
    <w:rsid w:val="00B27478"/>
    <w:rsid w:val="00B35353"/>
    <w:rsid w:val="00B4034C"/>
    <w:rsid w:val="00B404CF"/>
    <w:rsid w:val="00B40694"/>
    <w:rsid w:val="00B435C1"/>
    <w:rsid w:val="00B5577A"/>
    <w:rsid w:val="00B56980"/>
    <w:rsid w:val="00B57FD2"/>
    <w:rsid w:val="00B65E16"/>
    <w:rsid w:val="00B66EDF"/>
    <w:rsid w:val="00B70A93"/>
    <w:rsid w:val="00B80925"/>
    <w:rsid w:val="00B81846"/>
    <w:rsid w:val="00B824DD"/>
    <w:rsid w:val="00B858DB"/>
    <w:rsid w:val="00B91064"/>
    <w:rsid w:val="00B94684"/>
    <w:rsid w:val="00B9506F"/>
    <w:rsid w:val="00BA11B0"/>
    <w:rsid w:val="00BA1CA4"/>
    <w:rsid w:val="00BB120A"/>
    <w:rsid w:val="00BB6314"/>
    <w:rsid w:val="00BC4CAE"/>
    <w:rsid w:val="00BD0571"/>
    <w:rsid w:val="00BE0F2F"/>
    <w:rsid w:val="00BF2D59"/>
    <w:rsid w:val="00BF661A"/>
    <w:rsid w:val="00BF71D8"/>
    <w:rsid w:val="00C0276A"/>
    <w:rsid w:val="00C207D2"/>
    <w:rsid w:val="00C2249D"/>
    <w:rsid w:val="00C31D4B"/>
    <w:rsid w:val="00C342E3"/>
    <w:rsid w:val="00C366F6"/>
    <w:rsid w:val="00C36972"/>
    <w:rsid w:val="00C40630"/>
    <w:rsid w:val="00C5051C"/>
    <w:rsid w:val="00C60634"/>
    <w:rsid w:val="00C614A5"/>
    <w:rsid w:val="00C7356B"/>
    <w:rsid w:val="00C74122"/>
    <w:rsid w:val="00C7507B"/>
    <w:rsid w:val="00C755AE"/>
    <w:rsid w:val="00C81360"/>
    <w:rsid w:val="00C83BED"/>
    <w:rsid w:val="00C840E9"/>
    <w:rsid w:val="00C841BD"/>
    <w:rsid w:val="00C854EE"/>
    <w:rsid w:val="00C9675E"/>
    <w:rsid w:val="00C97F48"/>
    <w:rsid w:val="00CA0378"/>
    <w:rsid w:val="00CB0DBC"/>
    <w:rsid w:val="00CC32C1"/>
    <w:rsid w:val="00CC40F4"/>
    <w:rsid w:val="00CC5EA4"/>
    <w:rsid w:val="00CC5F60"/>
    <w:rsid w:val="00CD012C"/>
    <w:rsid w:val="00CD5A72"/>
    <w:rsid w:val="00CE3C2E"/>
    <w:rsid w:val="00CE420E"/>
    <w:rsid w:val="00CF117F"/>
    <w:rsid w:val="00CF3C4B"/>
    <w:rsid w:val="00D11CBF"/>
    <w:rsid w:val="00D1372F"/>
    <w:rsid w:val="00D14918"/>
    <w:rsid w:val="00D20DA2"/>
    <w:rsid w:val="00D25D78"/>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B141C"/>
    <w:rsid w:val="00DB3A62"/>
    <w:rsid w:val="00DE36ED"/>
    <w:rsid w:val="00DE4C52"/>
    <w:rsid w:val="00DE6133"/>
    <w:rsid w:val="00DE7A89"/>
    <w:rsid w:val="00DF4347"/>
    <w:rsid w:val="00DF44BC"/>
    <w:rsid w:val="00DF543D"/>
    <w:rsid w:val="00E0162E"/>
    <w:rsid w:val="00E04261"/>
    <w:rsid w:val="00E04535"/>
    <w:rsid w:val="00E14183"/>
    <w:rsid w:val="00E20216"/>
    <w:rsid w:val="00E219AF"/>
    <w:rsid w:val="00E24638"/>
    <w:rsid w:val="00E335FB"/>
    <w:rsid w:val="00E34F49"/>
    <w:rsid w:val="00E35E05"/>
    <w:rsid w:val="00E42D4B"/>
    <w:rsid w:val="00E446DA"/>
    <w:rsid w:val="00E53174"/>
    <w:rsid w:val="00E53D0F"/>
    <w:rsid w:val="00E53FEC"/>
    <w:rsid w:val="00E56BC5"/>
    <w:rsid w:val="00E60A15"/>
    <w:rsid w:val="00E81A55"/>
    <w:rsid w:val="00E83ADB"/>
    <w:rsid w:val="00E85597"/>
    <w:rsid w:val="00E86619"/>
    <w:rsid w:val="00E8690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54BE"/>
    <w:rsid w:val="00EF5FCF"/>
    <w:rsid w:val="00F00267"/>
    <w:rsid w:val="00F002F7"/>
    <w:rsid w:val="00F04ED6"/>
    <w:rsid w:val="00F1147A"/>
    <w:rsid w:val="00F1382A"/>
    <w:rsid w:val="00F16D7F"/>
    <w:rsid w:val="00F25D14"/>
    <w:rsid w:val="00F2668D"/>
    <w:rsid w:val="00F3731E"/>
    <w:rsid w:val="00F402BF"/>
    <w:rsid w:val="00F44CEF"/>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0E260F"/>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law.moj.gov.tw/LawClass/LawAll.aspx?pcode=A0010090" TargetMode="External"/><Relationship Id="rId26" Type="http://schemas.openxmlformats.org/officeDocument/2006/relationships/hyperlink" Target="https://winklerpartners.com/zh/%E5%BE%9E%E6%95%B8%E6%93%9A%E4%B8%80%E6%8E%A2%E6%99%BA%E6%85%A7%E8%B2%A1%E7%94%A2%E6%B3%95%E9%99%A2%E9%81%8B%E4%BD%9C%E5%AF%A6%E6%B3%81-%E5%B0%88%E9%A1%8C%E4%B8%89-%E6%B0%91%E4%BA%8B/" TargetMode="External"/><Relationship Id="rId39" Type="http://schemas.openxmlformats.org/officeDocument/2006/relationships/hyperlink" Target="https://doi.org/10.18653/v1/2022.nllp-1.11" TargetMode="External"/><Relationship Id="rId21" Type="http://schemas.openxmlformats.org/officeDocument/2006/relationships/hyperlink" Target="https://www.judicial.gov.tw/tw/cp-165-28-683b6-1.html" TargetMode="External"/><Relationship Id="rId34" Type="http://schemas.openxmlformats.org/officeDocument/2006/relationships/hyperlink" Target="https://github.com/ckiplab/ckip-transformers" TargetMode="External"/><Relationship Id="rId42" Type="http://schemas.openxmlformats.org/officeDocument/2006/relationships/hyperlink" Target="https://doi.org/10.1145/2018358.2018375" TargetMode="External"/><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doi.org/10.3390/math10050683" TargetMode="External"/><Relationship Id="rId11" Type="http://schemas.openxmlformats.org/officeDocument/2006/relationships/chart" Target="charts/chart1.xml"/><Relationship Id="rId24" Type="http://schemas.openxmlformats.org/officeDocument/2006/relationships/hyperlink" Target="https://lawdata.com.tw/tw/doi/?doi=10.3966/181130952013121002001" TargetMode="External"/><Relationship Id="rId32" Type="http://schemas.openxmlformats.org/officeDocument/2006/relationships/hyperlink" Target="https://aclanthology.org/P19-1424/" TargetMode="External"/><Relationship Id="rId37" Type="http://schemas.openxmlformats.org/officeDocument/2006/relationships/hyperlink" Target="https://doi.org/10.1257/app.20170223" TargetMode="External"/><Relationship Id="rId40" Type="http://schemas.openxmlformats.org/officeDocument/2006/relationships/hyperlink" Target="https://scikit-learn.org/stable/modules/generated/sklearn.feature_selection.chi2.html" TargetMode="External"/><Relationship Id="rId45" Type="http://schemas.openxmlformats.org/officeDocument/2006/relationships/hyperlink" Target="https://doi.org/10.1016/j.knosys.2021.107960"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airitilibrary.com/Article/Detail/1018161x-201912-201912300022-201912300022-533-546" TargetMode="External"/><Relationship Id="rId28" Type="http://schemas.openxmlformats.org/officeDocument/2006/relationships/hyperlink" Target="https://doi.org/10.7717/peerj-cs.93" TargetMode="External"/><Relationship Id="rId36" Type="http://schemas.openxmlformats.org/officeDocument/2006/relationships/hyperlink" Target="%20https:/doi.org/10.24963/ijcai.2022/765"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judicial.gov.tw/tw/np-85-1.html" TargetMode="External"/><Relationship Id="rId31" Type="http://schemas.openxmlformats.org/officeDocument/2006/relationships/hyperlink" Target="https://papers.ssrn.com/sol3/papers.cfm?abstract_id=2726903" TargetMode="External"/><Relationship Id="rId44" Type="http://schemas.openxmlformats.org/officeDocument/2006/relationships/hyperlink" Target="https://doi.org/10.18653/v1/2025.emnlp-main.17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judicial.gov.tw/tw/cp-1370-4310-e5078-1.html" TargetMode="External"/><Relationship Id="rId27" Type="http://schemas.openxmlformats.org/officeDocument/2006/relationships/hyperlink" Target="https://www.lawbank.com.tw/treatise/pl_article.aspx?AID=P000214582&amp;utm_source=chatgpt.com" TargetMode="External"/><Relationship Id="rId30" Type="http://schemas.openxmlformats.org/officeDocument/2006/relationships/hyperlink" Target="https://doi.org/10.1145/3777009" TargetMode="External"/><Relationship Id="rId35" Type="http://schemas.openxmlformats.org/officeDocument/2006/relationships/hyperlink" Target="https://doi.org/10.1257/app.20160390" TargetMode="External"/><Relationship Id="rId43" Type="http://schemas.openxmlformats.org/officeDocument/2006/relationships/hyperlink" Target="https://doi.org/10.1080/01621459.2012.734168"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lawdata.com.tw/tw/doi/?doi=10.3966/221845622021100047001" TargetMode="External"/><Relationship Id="rId33" Type="http://schemas.openxmlformats.org/officeDocument/2006/relationships/hyperlink" Target="https://doi.org/10.1093/jleo/ewt022" TargetMode="External"/><Relationship Id="rId38" Type="http://schemas.openxmlformats.org/officeDocument/2006/relationships/hyperlink" Target="https://doi.org/10.3390/app112110361" TargetMode="External"/><Relationship Id="rId46" Type="http://schemas.openxmlformats.org/officeDocument/2006/relationships/header" Target="header1.xml"/><Relationship Id="rId20" Type="http://schemas.openxmlformats.org/officeDocument/2006/relationships/hyperlink" Target="https://www.judicial.gov.tw/tw/cp-165-27-430b8-1.html" TargetMode="External"/><Relationship Id="rId41" Type="http://schemas.openxmlformats.org/officeDocument/2006/relationships/hyperlink" Target="https://scikit-learn.org/stable/modules/generated/sklearn.feature_extraction.text.TfidfVectorizer.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10716</Words>
  <Characters>61085</Characters>
  <Application>Microsoft Office Word</Application>
  <DocSecurity>0</DocSecurity>
  <Lines>509</Lines>
  <Paragraphs>143</Paragraphs>
  <ScaleCrop>false</ScaleCrop>
  <Company/>
  <LinksUpToDate>false</LinksUpToDate>
  <CharactersWithSpaces>71658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32</cp:revision>
  <cp:lastPrinted>2026-06-16T12:21:00Z</cp:lastPrinted>
  <dcterms:created xsi:type="dcterms:W3CDTF">2026-07-04T13:22:00Z</dcterms:created>
  <dcterms:modified xsi:type="dcterms:W3CDTF">2026-07-06T09:02:00Z</dcterms:modified>
</cp:coreProperties>
</file>