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1F4E79"/>
          <w:sz w:val="44"/>
          <w:rFonts w:eastAsia="Microsoft JhengHei"/>
        </w:rPr>
        <w:t>智慧財產權判決書勝敗訴預測之文字特徵比較研究</w:t>
      </w:r>
    </w:p>
    <w:p>
      <w:pPr>
        <w:jc w:val="center"/>
      </w:pPr>
      <w:r>
        <w:rPr>
          <w:sz w:val="30"/>
          <w:rFonts w:eastAsia="Microsoft JhengHei"/>
        </w:rPr>
        <w:t>以 BoW、TF、TF-IDF 與 SVM 分類流程為核心</w:t>
      </w:r>
    </w:p>
    <w:p>
      <w:pPr>
        <w:spacing w:before="1800"/>
        <w:jc w:val="center"/>
      </w:pPr>
      <w:r>
        <w:rPr>
          <w:b/>
        </w:rPr>
        <w:t>論文初稿 v2</w:t>
        <w:br/>
      </w:r>
      <w:r>
        <w:t>作者：［請填入姓名］</w:t>
        <w:br/>
        <w:t>系所：［請填入系所］</w:t>
        <w:br/>
        <w:t>指導教授：［請填入姓名］</w:t>
        <w:br/>
        <w:t>日期：2026 年 5 月</w:t>
      </w:r>
    </w:p>
    <w:tbl>
      <w:tblPr>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292"/>
      </w:tblGrid>
      <w:tr>
        <w:tc>
          <w:tcPr>
            <w:tcW w:type="dxa" w:w="9292"/>
            <w:shd w:fill="EAF2F8"/>
            <w:vAlign w:val="center"/>
          </w:tcPr>
          <w:p>
            <w:pPr>
              <w:spacing w:after="0"/>
            </w:pPr>
            <w:r>
              <w:rPr>
                <w:color w:val="2D3748"/>
                <w:sz w:val="20"/>
              </w:rPr>
              <w:t>初稿說明：本版依 Step 4 修正後結果重設論文主軸。Direct SVM 已獨立進行卡方 K 與 SVM C 調參；MNIR+SVM 作為比較基準，而非主模型。</w:t>
            </w:r>
          </w:p>
        </w:tc>
      </w:tr>
    </w:tbl>
    <w:p/>
    <w:p>
      <w:pPr>
        <w:sectPr>
          <w:pgSz w:w="12240" w:h="15840"/>
          <w:pgMar w:top="1361" w:right="1474" w:bottom="1247" w:left="1474" w:header="720" w:footer="720" w:gutter="0"/>
          <w:cols w:space="720"/>
          <w:docGrid w:linePitch="360"/>
        </w:sectPr>
      </w:pPr>
    </w:p>
    <w:p>
      <w:pPr>
        <w:pStyle w:val="Heading1"/>
      </w:pPr>
      <w:r>
        <w:rPr>
          <w:rFonts w:ascii="Calibri" w:hAnsi="Calibri" w:eastAsia="Microsoft JhengHei"/>
          <w:color w:val="1F4E79"/>
        </w:rPr>
        <w:t>摘要</w:t>
      </w:r>
    </w:p>
    <w:p>
      <w:pPr>
        <w:spacing w:line="324" w:lineRule="auto" w:after="120"/>
        <w:ind w:firstLine="420"/>
      </w:pPr>
      <w:r>
        <w:rPr>
          <w:sz w:val="22"/>
          <w:rFonts w:eastAsia="Microsoft JhengHei"/>
        </w:rPr>
        <w:t>本研究以智慧財產權相關判決書為研究對象，建立從文本前處理、中文斷詞、文件詞彙矩陣建構、特徵選擇到分類評估之完整文字探勘流程。研究目的在於比較 BoW、TF 與 TF-IDF 三種文字特徵表示，在智慧財產判決結果分類任務中的表現，並檢驗傳統稀疏文字特徵結合 SVM 是否能在不平衡法律文本資料中取得穩定分類效果。</w:t>
      </w:r>
    </w:p>
    <w:p>
      <w:pPr>
        <w:spacing w:line="324" w:lineRule="auto" w:after="120"/>
        <w:ind w:firstLine="420"/>
      </w:pPr>
      <w:r>
        <w:rPr>
          <w:sz w:val="22"/>
          <w:rFonts w:eastAsia="Microsoft JhengHei"/>
        </w:rPr>
        <w:t>實驗將案件區分為行政、民事、刑事與刑事附帶民事四類，並針對 with-leakage 與 no-leakage 兩種文本版本進行比較。模型流程包含 Majority Class 最低基準、BoW/TF/TF-IDF 經卡方特徵選擇後直接訓練 SVM，以及 MNIR+SVM 基準流程。所有模型均採分層訓練、驗證與測試集切分；卡方特徵數 K 與 SVM 參數 C 均依驗證集 Macro F1 獨立選定，測試集僅用於最終評估。</w:t>
      </w:r>
    </w:p>
    <w:p>
      <w:pPr>
        <w:spacing w:line="324" w:lineRule="auto" w:after="120"/>
        <w:ind w:firstLine="420"/>
      </w:pPr>
      <w:r>
        <w:rPr>
          <w:sz w:val="22"/>
          <w:rFonts w:eastAsia="Microsoft JhengHei"/>
        </w:rPr>
        <w:t>實驗結果顯示，Direct SVM 流程在四類資料集中均優於 MNIR+SVM 基準。整體最佳表現出現在刑事附帶民事資料集之 no-leakage BoW + SVM，Macro F1 為 0.654。結果說明，在本研究任務中，經卡方篩選後的傳統稀疏文字表示仍具高度競爭力，且較複雜的 MNIR 特徵轉換未必能提升法律文本分類效果。</w:t>
      </w:r>
    </w:p>
    <w:p>
      <w:pPr>
        <w:spacing w:line="324" w:lineRule="auto" w:after="120"/>
        <w:ind w:firstLine="420"/>
      </w:pPr>
      <w:r>
        <w:rPr>
          <w:sz w:val="22"/>
          <w:rFonts w:eastAsia="Microsoft JhengHei"/>
        </w:rPr>
        <w:t>關鍵字：智慧財產權、判決分類、文字特徵表示、BoW、TF-IDF、卡方特徵選擇、SVM</w:t>
      </w:r>
    </w:p>
    <w:p>
      <w:pPr>
        <w:pStyle w:val="Heading1"/>
      </w:pPr>
      <w:r>
        <w:rPr>
          <w:rFonts w:ascii="Calibri" w:hAnsi="Calibri" w:eastAsia="Microsoft JhengHei"/>
          <w:color w:val="1F4E79"/>
        </w:rPr>
        <w:t>第一章 緒論</w:t>
      </w:r>
    </w:p>
    <w:p>
      <w:pPr>
        <w:pStyle w:val="Heading2"/>
      </w:pPr>
      <w:r>
        <w:rPr>
          <w:rFonts w:ascii="Calibri" w:hAnsi="Calibri" w:eastAsia="Microsoft JhengHei"/>
          <w:color w:val="1F4E79"/>
        </w:rPr>
        <w:t>1.1 研究背景與動機</w:t>
      </w:r>
    </w:p>
    <w:p>
      <w:pPr>
        <w:spacing w:line="324" w:lineRule="auto" w:after="120"/>
        <w:ind w:firstLine="420"/>
      </w:pPr>
      <w:r>
        <w:rPr>
          <w:sz w:val="22"/>
          <w:rFonts w:eastAsia="Microsoft JhengHei"/>
        </w:rPr>
        <w:t>司法判決書包含大量事實認定、法律爭點與裁判結果資訊。隨著自然語言處理與機器學習方法逐漸應用於法律資料分析，如何將非結構化判決文字轉換為可比較、可重現且具解釋性的文字特徵，成為法律科技與實證法學研究的重要議題。智慧財產權案件兼具專業術語密集與案件類型多元特性，因此適合作為法律文本分類方法的實驗場域。</w:t>
      </w:r>
    </w:p>
    <w:p>
      <w:pPr>
        <w:pStyle w:val="Heading2"/>
      </w:pPr>
      <w:r>
        <w:rPr>
          <w:rFonts w:ascii="Calibri" w:hAnsi="Calibri" w:eastAsia="Microsoft JhengHei"/>
          <w:color w:val="1F4E79"/>
        </w:rPr>
        <w:t>1.2 研究目的與問題</w:t>
      </w:r>
    </w:p>
    <w:p>
      <w:pPr>
        <w:spacing w:line="324" w:lineRule="auto" w:after="120"/>
        <w:ind w:firstLine="420"/>
      </w:pPr>
      <w:r>
        <w:rPr>
          <w:sz w:val="22"/>
          <w:rFonts w:eastAsia="Microsoft JhengHei"/>
        </w:rPr>
        <w:t>本研究不以單一複雜模型為核心，而是以特徵表示與分類流程比較為主軸。研究問題包括：BoW、TF 與 TF-IDF 何者較適合智慧財產判決分類；Direct SVM 是否優於 MNIR+SVM 基準流程；移除 outcome leakage 後模型表現是否改變；以及不同案件類型是否呈現不同分類難度。</w:t>
      </w:r>
    </w:p>
    <w:p>
      <w:pPr>
        <w:pStyle w:val="Heading1"/>
      </w:pPr>
      <w:r>
        <w:rPr>
          <w:rFonts w:ascii="Calibri" w:hAnsi="Calibri" w:eastAsia="Microsoft JhengHei"/>
          <w:color w:val="1F4E79"/>
        </w:rPr>
        <w:t>第二章 文獻回顧</w:t>
      </w:r>
    </w:p>
    <w:p>
      <w:pPr>
        <w:spacing w:line="324" w:lineRule="auto" w:after="120"/>
        <w:ind w:firstLine="420"/>
      </w:pPr>
      <w:r>
        <w:rPr>
          <w:sz w:val="22"/>
          <w:rFonts w:eastAsia="Microsoft JhengHei"/>
        </w:rPr>
        <w:t>本章正式版本應補入法律文本分類、裁判預測、中文法律文本處理、文字特徵表示、卡方特徵選擇、SVM 與 MNIR 相關文獻。初稿建議將文獻回顧分為三個方向：第一，法律判決預測與實證法學中的文字探勘研究；第二，BoW、TF 與 TF-IDF 等傳統文字表示在分類任務中的角色；第三，特徵選擇與監督式特徵轉換方法對高維稀疏文本資料的影響。</w:t>
      </w:r>
    </w:p>
    <w:tbl>
      <w:tblPr>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9292"/>
      </w:tblGrid>
      <w:tr>
        <w:tc>
          <w:tcPr>
            <w:tcW w:type="dxa" w:w="9292"/>
            <w:shd w:fill="EAF2F8"/>
            <w:vAlign w:val="center"/>
          </w:tcPr>
          <w:p>
            <w:pPr>
              <w:spacing w:after="0"/>
            </w:pPr>
            <w:r>
              <w:rPr>
                <w:color w:val="2D3748"/>
                <w:sz w:val="20"/>
              </w:rPr>
              <w:t>待補：正式文獻清單與引用格式。</w:t>
            </w:r>
          </w:p>
        </w:tc>
      </w:tr>
    </w:tbl>
    <w:p/>
    <w:p>
      <w:pPr>
        <w:pStyle w:val="Heading1"/>
      </w:pPr>
      <w:r>
        <w:rPr>
          <w:rFonts w:ascii="Calibri" w:hAnsi="Calibri" w:eastAsia="Microsoft JhengHei"/>
          <w:color w:val="1F4E79"/>
        </w:rPr>
        <w:t>第三章 研究方法</w:t>
      </w:r>
    </w:p>
    <w:p>
      <w:pPr>
        <w:pStyle w:val="Heading2"/>
      </w:pPr>
      <w:r>
        <w:rPr>
          <w:rFonts w:ascii="Calibri" w:hAnsi="Calibri" w:eastAsia="Microsoft JhengHei"/>
          <w:color w:val="1F4E79"/>
        </w:rPr>
        <w:t>3.1 研究流程</w:t>
      </w:r>
    </w:p>
    <w:p>
      <w:pPr>
        <w:spacing w:line="324" w:lineRule="auto" w:after="120"/>
        <w:ind w:firstLine="420"/>
      </w:pPr>
      <w:r>
        <w:rPr>
          <w:sz w:val="22"/>
          <w:rFonts w:eastAsia="Microsoft JhengHei"/>
        </w:rPr>
        <w:t>本研究流程包含資料蒐集、案件與結果標籤標註、文本前處理、特徵表示、特徵選擇、模型訓練與模型評估。文本經 CKIP 斷詞後建立三種 DTM 表示：BoW、TF 與 TF-IDF。各表示分別進入 Direct SVM 與 MNIR+SVM 流程，以驗證特徵表示與特徵轉換方式對分類效果的影響。</w:t>
      </w:r>
    </w:p>
    <w:p>
      <w:pPr>
        <w:pStyle w:val="Heading2"/>
      </w:pPr>
      <w:r>
        <w:rPr>
          <w:rFonts w:ascii="Calibri" w:hAnsi="Calibri" w:eastAsia="Microsoft JhengHei"/>
          <w:color w:val="1F4E79"/>
        </w:rPr>
        <w:t>3.2 資料集與標籤</w:t>
      </w:r>
    </w:p>
    <w:p>
      <w:pPr>
        <w:spacing w:line="324" w:lineRule="auto" w:after="120"/>
        <w:ind w:firstLine="420"/>
      </w:pPr>
      <w:r>
        <w:rPr>
          <w:sz w:val="22"/>
          <w:rFonts w:eastAsia="Microsoft JhengHei"/>
        </w:rPr>
        <w:t>有效案件依 JTYPE 區分為行政、民事、刑事與刑事附帶民事四類，裁判結果整理為 Win、Lose 與 Mixed。表 1 顯示各類案件之標籤分布，可見 Lose 類別在多數資料集中占比偏高，顯示本研究任務具明顯類別不平衡。</w:t>
      </w:r>
    </w:p>
    <w:p>
      <w:pPr>
        <w:jc w:val="center"/>
      </w:pPr>
      <w:r>
        <w:rPr>
          <w:b/>
          <w:color w:val="2D3748"/>
          <w:sz w:val="20"/>
        </w:rPr>
        <w:t>表 1 目標資料集之案件類型與裁判結果分布</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858"/>
        <w:gridCol w:w="1858"/>
        <w:gridCol w:w="1858"/>
        <w:gridCol w:w="1858"/>
        <w:gridCol w:w="1858"/>
      </w:tblGrid>
      <w:tr>
        <w:tc>
          <w:tcPr>
            <w:tcW w:type="dxa" w:w="1858"/>
            <w:shd w:fill="2F5597"/>
            <w:vAlign w:val="center"/>
          </w:tcPr>
          <w:p>
            <w:pPr>
              <w:jc w:val="center"/>
            </w:pPr>
            <w:r/>
            <w:r>
              <w:rPr>
                <w:b/>
                <w:color w:val="FFFFFF"/>
                <w:sz w:val="18"/>
              </w:rPr>
              <w:t>案件類型</w:t>
            </w:r>
          </w:p>
        </w:tc>
        <w:tc>
          <w:tcPr>
            <w:tcW w:type="dxa" w:w="1858"/>
            <w:shd w:fill="2F5597"/>
            <w:vAlign w:val="center"/>
          </w:tcPr>
          <w:p>
            <w:pPr>
              <w:jc w:val="center"/>
            </w:pPr>
            <w:r/>
            <w:r>
              <w:rPr>
                <w:b/>
                <w:color w:val="FFFFFF"/>
                <w:sz w:val="18"/>
              </w:rPr>
              <w:t>Lose</w:t>
            </w:r>
          </w:p>
        </w:tc>
        <w:tc>
          <w:tcPr>
            <w:tcW w:type="dxa" w:w="1858"/>
            <w:shd w:fill="2F5597"/>
            <w:vAlign w:val="center"/>
          </w:tcPr>
          <w:p>
            <w:pPr>
              <w:jc w:val="center"/>
            </w:pPr>
            <w:r/>
            <w:r>
              <w:rPr>
                <w:b/>
                <w:color w:val="FFFFFF"/>
                <w:sz w:val="18"/>
              </w:rPr>
              <w:t>Mixed</w:t>
            </w:r>
          </w:p>
        </w:tc>
        <w:tc>
          <w:tcPr>
            <w:tcW w:type="dxa" w:w="1858"/>
            <w:shd w:fill="2F5597"/>
            <w:vAlign w:val="center"/>
          </w:tcPr>
          <w:p>
            <w:pPr>
              <w:jc w:val="center"/>
            </w:pPr>
            <w:r/>
            <w:r>
              <w:rPr>
                <w:b/>
                <w:color w:val="FFFFFF"/>
                <w:sz w:val="18"/>
              </w:rPr>
              <w:t>Win</w:t>
            </w:r>
          </w:p>
        </w:tc>
        <w:tc>
          <w:tcPr>
            <w:tcW w:type="dxa" w:w="1858"/>
            <w:shd w:fill="2F5597"/>
            <w:vAlign w:val="center"/>
          </w:tcPr>
          <w:p>
            <w:pPr>
              <w:jc w:val="center"/>
            </w:pPr>
            <w:r/>
            <w:r>
              <w:rPr>
                <w:b/>
                <w:color w:val="FFFFFF"/>
                <w:sz w:val="18"/>
              </w:rPr>
              <w:t>合計</w:t>
            </w:r>
          </w:p>
        </w:tc>
      </w:tr>
      <w:tr>
        <w:tc>
          <w:tcPr>
            <w:tcW w:type="dxa" w:w="1858"/>
            <w:vAlign w:val="center"/>
          </w:tcPr>
          <w:p>
            <w:pPr>
              <w:jc w:val="center"/>
            </w:pPr>
            <w:r/>
            <w:r>
              <w:rPr>
                <w:b w:val="0"/>
                <w:sz w:val="18"/>
              </w:rPr>
              <w:t>行政</w:t>
            </w:r>
          </w:p>
        </w:tc>
        <w:tc>
          <w:tcPr>
            <w:tcW w:type="dxa" w:w="1858"/>
            <w:vAlign w:val="center"/>
          </w:tcPr>
          <w:p>
            <w:pPr>
              <w:jc w:val="center"/>
            </w:pPr>
            <w:r/>
            <w:r>
              <w:rPr>
                <w:b w:val="0"/>
                <w:sz w:val="18"/>
              </w:rPr>
              <w:t>10106</w:t>
            </w:r>
          </w:p>
        </w:tc>
        <w:tc>
          <w:tcPr>
            <w:tcW w:type="dxa" w:w="1858"/>
            <w:vAlign w:val="center"/>
          </w:tcPr>
          <w:p>
            <w:pPr>
              <w:jc w:val="center"/>
            </w:pPr>
            <w:r/>
            <w:r>
              <w:rPr>
                <w:b w:val="0"/>
                <w:sz w:val="18"/>
              </w:rPr>
              <w:t>502</w:t>
            </w:r>
          </w:p>
        </w:tc>
        <w:tc>
          <w:tcPr>
            <w:tcW w:type="dxa" w:w="1858"/>
            <w:vAlign w:val="center"/>
          </w:tcPr>
          <w:p>
            <w:pPr>
              <w:jc w:val="center"/>
            </w:pPr>
            <w:r/>
            <w:r>
              <w:rPr>
                <w:b w:val="0"/>
                <w:sz w:val="18"/>
              </w:rPr>
              <w:t>911</w:t>
            </w:r>
          </w:p>
        </w:tc>
        <w:tc>
          <w:tcPr>
            <w:tcW w:type="dxa" w:w="1858"/>
            <w:vAlign w:val="center"/>
          </w:tcPr>
          <w:p>
            <w:pPr>
              <w:jc w:val="center"/>
            </w:pPr>
            <w:r/>
            <w:r>
              <w:rPr>
                <w:b w:val="0"/>
                <w:sz w:val="18"/>
              </w:rPr>
              <w:t>11519</w:t>
            </w:r>
          </w:p>
        </w:tc>
      </w:tr>
      <w:tr>
        <w:tc>
          <w:tcPr>
            <w:tcW w:type="dxa" w:w="1858"/>
            <w:vAlign w:val="center"/>
          </w:tcPr>
          <w:p>
            <w:pPr>
              <w:jc w:val="center"/>
            </w:pPr>
            <w:r/>
            <w:r>
              <w:rPr>
                <w:b w:val="0"/>
                <w:sz w:val="18"/>
              </w:rPr>
              <w:t>民事</w:t>
            </w:r>
          </w:p>
        </w:tc>
        <w:tc>
          <w:tcPr>
            <w:tcW w:type="dxa" w:w="1858"/>
            <w:vAlign w:val="center"/>
          </w:tcPr>
          <w:p>
            <w:pPr>
              <w:jc w:val="center"/>
            </w:pPr>
            <w:r/>
            <w:r>
              <w:rPr>
                <w:b w:val="0"/>
                <w:sz w:val="18"/>
              </w:rPr>
              <w:t>3887</w:t>
            </w:r>
          </w:p>
        </w:tc>
        <w:tc>
          <w:tcPr>
            <w:tcW w:type="dxa" w:w="1858"/>
            <w:vAlign w:val="center"/>
          </w:tcPr>
          <w:p>
            <w:pPr>
              <w:jc w:val="center"/>
            </w:pPr>
            <w:r/>
            <w:r>
              <w:rPr>
                <w:b w:val="0"/>
                <w:sz w:val="18"/>
              </w:rPr>
              <w:t>1408</w:t>
            </w:r>
          </w:p>
        </w:tc>
        <w:tc>
          <w:tcPr>
            <w:tcW w:type="dxa" w:w="1858"/>
            <w:vAlign w:val="center"/>
          </w:tcPr>
          <w:p>
            <w:pPr>
              <w:jc w:val="center"/>
            </w:pPr>
            <w:r/>
            <w:r>
              <w:rPr>
                <w:b w:val="0"/>
                <w:sz w:val="18"/>
              </w:rPr>
              <w:t>435</w:t>
            </w:r>
          </w:p>
        </w:tc>
        <w:tc>
          <w:tcPr>
            <w:tcW w:type="dxa" w:w="1858"/>
            <w:vAlign w:val="center"/>
          </w:tcPr>
          <w:p>
            <w:pPr>
              <w:jc w:val="center"/>
            </w:pPr>
            <w:r/>
            <w:r>
              <w:rPr>
                <w:b w:val="0"/>
                <w:sz w:val="18"/>
              </w:rPr>
              <w:t>5730</w:t>
            </w:r>
          </w:p>
        </w:tc>
      </w:tr>
      <w:tr>
        <w:tc>
          <w:tcPr>
            <w:tcW w:type="dxa" w:w="1858"/>
            <w:vAlign w:val="center"/>
          </w:tcPr>
          <w:p>
            <w:pPr>
              <w:jc w:val="center"/>
            </w:pPr>
            <w:r/>
            <w:r>
              <w:rPr>
                <w:b w:val="0"/>
                <w:sz w:val="18"/>
              </w:rPr>
              <w:t>刑事</w:t>
            </w:r>
          </w:p>
        </w:tc>
        <w:tc>
          <w:tcPr>
            <w:tcW w:type="dxa" w:w="1858"/>
            <w:vAlign w:val="center"/>
          </w:tcPr>
          <w:p>
            <w:pPr>
              <w:jc w:val="center"/>
            </w:pPr>
            <w:r/>
            <w:r>
              <w:rPr>
                <w:b w:val="0"/>
                <w:sz w:val="18"/>
              </w:rPr>
              <w:t>24552</w:t>
            </w:r>
          </w:p>
        </w:tc>
        <w:tc>
          <w:tcPr>
            <w:tcW w:type="dxa" w:w="1858"/>
            <w:vAlign w:val="center"/>
          </w:tcPr>
          <w:p>
            <w:pPr>
              <w:jc w:val="center"/>
            </w:pPr>
            <w:r/>
            <w:r>
              <w:rPr>
                <w:b w:val="0"/>
                <w:sz w:val="18"/>
              </w:rPr>
              <w:t>80</w:t>
            </w:r>
          </w:p>
        </w:tc>
        <w:tc>
          <w:tcPr>
            <w:tcW w:type="dxa" w:w="1858"/>
            <w:vAlign w:val="center"/>
          </w:tcPr>
          <w:p>
            <w:pPr>
              <w:jc w:val="center"/>
            </w:pPr>
            <w:r/>
            <w:r>
              <w:rPr>
                <w:b w:val="0"/>
                <w:sz w:val="18"/>
              </w:rPr>
              <w:t>1636</w:t>
            </w:r>
          </w:p>
        </w:tc>
        <w:tc>
          <w:tcPr>
            <w:tcW w:type="dxa" w:w="1858"/>
            <w:vAlign w:val="center"/>
          </w:tcPr>
          <w:p>
            <w:pPr>
              <w:jc w:val="center"/>
            </w:pPr>
            <w:r/>
            <w:r>
              <w:rPr>
                <w:b w:val="0"/>
                <w:sz w:val="18"/>
              </w:rPr>
              <w:t>26268</w:t>
            </w:r>
          </w:p>
        </w:tc>
      </w:tr>
      <w:tr>
        <w:tc>
          <w:tcPr>
            <w:tcW w:type="dxa" w:w="1858"/>
            <w:vAlign w:val="center"/>
          </w:tcPr>
          <w:p>
            <w:pPr>
              <w:jc w:val="center"/>
            </w:pPr>
            <w:r/>
            <w:r>
              <w:rPr>
                <w:b w:val="0"/>
                <w:sz w:val="18"/>
              </w:rPr>
              <w:t>刑事附帶民事</w:t>
            </w:r>
          </w:p>
        </w:tc>
        <w:tc>
          <w:tcPr>
            <w:tcW w:type="dxa" w:w="1858"/>
            <w:vAlign w:val="center"/>
          </w:tcPr>
          <w:p>
            <w:pPr>
              <w:jc w:val="center"/>
            </w:pPr>
            <w:r/>
            <w:r>
              <w:rPr>
                <w:b w:val="0"/>
                <w:sz w:val="18"/>
              </w:rPr>
              <w:t>748</w:t>
            </w:r>
          </w:p>
        </w:tc>
        <w:tc>
          <w:tcPr>
            <w:tcW w:type="dxa" w:w="1858"/>
            <w:vAlign w:val="center"/>
          </w:tcPr>
          <w:p>
            <w:pPr>
              <w:jc w:val="center"/>
            </w:pPr>
            <w:r/>
            <w:r>
              <w:rPr>
                <w:b w:val="0"/>
                <w:sz w:val="18"/>
              </w:rPr>
              <w:t>1047</w:t>
            </w:r>
          </w:p>
        </w:tc>
        <w:tc>
          <w:tcPr>
            <w:tcW w:type="dxa" w:w="1858"/>
            <w:vAlign w:val="center"/>
          </w:tcPr>
          <w:p>
            <w:pPr>
              <w:jc w:val="center"/>
            </w:pPr>
            <w:r/>
            <w:r>
              <w:rPr>
                <w:b w:val="0"/>
                <w:sz w:val="18"/>
              </w:rPr>
              <w:t>32</w:t>
            </w:r>
          </w:p>
        </w:tc>
        <w:tc>
          <w:tcPr>
            <w:tcW w:type="dxa" w:w="1858"/>
            <w:vAlign w:val="center"/>
          </w:tcPr>
          <w:p>
            <w:pPr>
              <w:jc w:val="center"/>
            </w:pPr>
            <w:r/>
            <w:r>
              <w:rPr>
                <w:b w:val="0"/>
                <w:sz w:val="18"/>
              </w:rPr>
              <w:t>1827</w:t>
            </w:r>
          </w:p>
        </w:tc>
      </w:tr>
      <w:tr>
        <w:tc>
          <w:tcPr>
            <w:tcW w:type="dxa" w:w="1858"/>
            <w:vAlign w:val="center"/>
          </w:tcPr>
          <w:p>
            <w:pPr>
              <w:jc w:val="center"/>
            </w:pPr>
            <w:r/>
            <w:r>
              <w:rPr>
                <w:b w:val="0"/>
                <w:sz w:val="18"/>
              </w:rPr>
              <w:t>合計</w:t>
            </w:r>
          </w:p>
        </w:tc>
        <w:tc>
          <w:tcPr>
            <w:tcW w:type="dxa" w:w="1858"/>
            <w:vAlign w:val="center"/>
          </w:tcPr>
          <w:p>
            <w:pPr>
              <w:jc w:val="center"/>
            </w:pPr>
            <w:r/>
            <w:r>
              <w:rPr>
                <w:b w:val="0"/>
                <w:sz w:val="18"/>
              </w:rPr>
              <w:t>39293</w:t>
            </w:r>
          </w:p>
        </w:tc>
        <w:tc>
          <w:tcPr>
            <w:tcW w:type="dxa" w:w="1858"/>
            <w:vAlign w:val="center"/>
          </w:tcPr>
          <w:p>
            <w:pPr>
              <w:jc w:val="center"/>
            </w:pPr>
            <w:r/>
            <w:r>
              <w:rPr>
                <w:b w:val="0"/>
                <w:sz w:val="18"/>
              </w:rPr>
              <w:t>3037</w:t>
            </w:r>
          </w:p>
        </w:tc>
        <w:tc>
          <w:tcPr>
            <w:tcW w:type="dxa" w:w="1858"/>
            <w:vAlign w:val="center"/>
          </w:tcPr>
          <w:p>
            <w:pPr>
              <w:jc w:val="center"/>
            </w:pPr>
            <w:r/>
            <w:r>
              <w:rPr>
                <w:b w:val="0"/>
                <w:sz w:val="18"/>
              </w:rPr>
              <w:t>3014</w:t>
            </w:r>
          </w:p>
        </w:tc>
        <w:tc>
          <w:tcPr>
            <w:tcW w:type="dxa" w:w="1858"/>
            <w:vAlign w:val="center"/>
          </w:tcPr>
          <w:p>
            <w:pPr>
              <w:jc w:val="center"/>
            </w:pPr>
            <w:r/>
            <w:r>
              <w:rPr>
                <w:b w:val="0"/>
                <w:sz w:val="18"/>
              </w:rPr>
              <w:t>45344</w:t>
            </w:r>
          </w:p>
        </w:tc>
      </w:tr>
    </w:tbl>
    <w:p/>
    <w:p>
      <w:pPr>
        <w:pStyle w:val="Heading2"/>
      </w:pPr>
      <w:r>
        <w:rPr>
          <w:rFonts w:ascii="Calibri" w:hAnsi="Calibri" w:eastAsia="Microsoft JhengHei"/>
          <w:color w:val="1F4E79"/>
        </w:rPr>
        <w:t>3.3 特徵表示與 Leakage 控制</w:t>
      </w:r>
    </w:p>
    <w:p>
      <w:pPr>
        <w:spacing w:line="324" w:lineRule="auto" w:after="120"/>
        <w:ind w:firstLine="420"/>
      </w:pPr>
      <w:r>
        <w:rPr>
          <w:sz w:val="22"/>
          <w:rFonts w:eastAsia="Microsoft JhengHei"/>
        </w:rPr>
        <w:t>本研究比較 BoW、TF 與 TF-IDF 三種特徵。BoW 保留詞彙出現次數，TF 對詞頻進行正規化，TF-IDF 則降低高頻常見詞影響。另為避免判決結果詞彙直接洩漏答案，本研究比較 with-leakage 與 no-leakage 兩種文本版本。</w:t>
      </w:r>
    </w:p>
    <w:p>
      <w:pPr>
        <w:pStyle w:val="Heading2"/>
      </w:pPr>
      <w:r>
        <w:rPr>
          <w:rFonts w:ascii="Calibri" w:hAnsi="Calibri" w:eastAsia="Microsoft JhengHei"/>
          <w:color w:val="1F4E79"/>
        </w:rPr>
        <w:t>3.4 模型流程</w:t>
      </w:r>
    </w:p>
    <w:p>
      <w:pPr>
        <w:spacing w:line="324" w:lineRule="auto" w:after="120"/>
        <w:ind w:firstLine="420"/>
      </w:pPr>
      <w:r>
        <w:rPr>
          <w:sz w:val="22"/>
          <w:rFonts w:eastAsia="Microsoft JhengHei"/>
        </w:rPr>
        <w:t>Direct SVM 流程為：DTM → train-only 卡方特徵選擇 → SVM。MNIR+SVM 基準流程為：DTM → train-only 卡方特徵選擇 → MNIR 特徵轉換 → SVM。兩條流程均獨立以驗證集 Macro F1 選擇卡方特徵數 K 與 SVM 參數 C，因此 Direct SVM 不再沿用 MNIR 所選參數。</w:t>
      </w:r>
    </w:p>
    <w:p>
      <w:pPr>
        <w:pStyle w:val="Heading2"/>
      </w:pPr>
      <w:r>
        <w:rPr>
          <w:rFonts w:ascii="Calibri" w:hAnsi="Calibri" w:eastAsia="Microsoft JhengHei"/>
          <w:color w:val="1F4E79"/>
        </w:rPr>
        <w:t>3.5 評估設計</w:t>
      </w:r>
    </w:p>
    <w:p>
      <w:pPr>
        <w:spacing w:line="324" w:lineRule="auto" w:after="120"/>
        <w:ind w:firstLine="420"/>
      </w:pPr>
      <w:r>
        <w:rPr>
          <w:sz w:val="22"/>
          <w:rFonts w:eastAsia="Microsoft JhengHei"/>
        </w:rPr>
        <w:t>資料採 70%、10%、20% 分層切分為訓練、驗證與測試集。模型調參只使用驗證集，測試集保留至最後評估。考量類別不平衡，本研究以 Macro F1 作為主要指標，並輔以 Accuracy、各類別 F1 與混淆矩陣。</w:t>
      </w:r>
    </w:p>
    <w:p>
      <w:pPr>
        <w:pStyle w:val="Heading1"/>
      </w:pPr>
      <w:r>
        <w:rPr>
          <w:rFonts w:ascii="Calibri" w:hAnsi="Calibri" w:eastAsia="Microsoft JhengHei"/>
          <w:color w:val="1F4E79"/>
        </w:rPr>
        <w:t>第四章 實驗結果</w:t>
      </w:r>
    </w:p>
    <w:p>
      <w:pPr>
        <w:pStyle w:val="Heading2"/>
      </w:pPr>
      <w:r>
        <w:rPr>
          <w:rFonts w:ascii="Calibri" w:hAnsi="Calibri" w:eastAsia="Microsoft JhengHei"/>
          <w:color w:val="1F4E79"/>
        </w:rPr>
        <w:t>4.1 BoW、TF 與 TF-IDF 特徵比較</w:t>
      </w:r>
    </w:p>
    <w:p>
      <w:pPr>
        <w:jc w:val="center"/>
      </w:pPr>
      <w:r>
        <w:rPr>
          <w:b/>
          <w:color w:val="2D3748"/>
          <w:sz w:val="20"/>
        </w:rPr>
        <w:t>表 2 Direct SVM 下三種特徵表示之最佳 Macro F1</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323"/>
        <w:gridCol w:w="2323"/>
        <w:gridCol w:w="2323"/>
        <w:gridCol w:w="2323"/>
      </w:tblGrid>
      <w:tr>
        <w:tc>
          <w:tcPr>
            <w:tcW w:type="dxa" w:w="2323"/>
            <w:shd w:fill="2F5597"/>
            <w:vAlign w:val="center"/>
          </w:tcPr>
          <w:p>
            <w:pPr>
              <w:jc w:val="center"/>
            </w:pPr>
            <w:r/>
            <w:r>
              <w:rPr>
                <w:b/>
                <w:color w:val="FFFFFF"/>
                <w:sz w:val="18"/>
              </w:rPr>
              <w:t>資料集</w:t>
            </w:r>
          </w:p>
        </w:tc>
        <w:tc>
          <w:tcPr>
            <w:tcW w:type="dxa" w:w="2323"/>
            <w:shd w:fill="2F5597"/>
            <w:vAlign w:val="center"/>
          </w:tcPr>
          <w:p>
            <w:pPr>
              <w:jc w:val="center"/>
            </w:pPr>
            <w:r/>
            <w:r>
              <w:rPr>
                <w:b/>
                <w:color w:val="FFFFFF"/>
                <w:sz w:val="18"/>
              </w:rPr>
              <w:t>BoW</w:t>
            </w:r>
          </w:p>
        </w:tc>
        <w:tc>
          <w:tcPr>
            <w:tcW w:type="dxa" w:w="2323"/>
            <w:shd w:fill="2F5597"/>
            <w:vAlign w:val="center"/>
          </w:tcPr>
          <w:p>
            <w:pPr>
              <w:jc w:val="center"/>
            </w:pPr>
            <w:r/>
            <w:r>
              <w:rPr>
                <w:b/>
                <w:color w:val="FFFFFF"/>
                <w:sz w:val="18"/>
              </w:rPr>
              <w:t>TF</w:t>
            </w:r>
          </w:p>
        </w:tc>
        <w:tc>
          <w:tcPr>
            <w:tcW w:type="dxa" w:w="2323"/>
            <w:shd w:fill="2F5597"/>
            <w:vAlign w:val="center"/>
          </w:tcPr>
          <w:p>
            <w:pPr>
              <w:jc w:val="center"/>
            </w:pPr>
            <w:r/>
            <w:r>
              <w:rPr>
                <w:b/>
                <w:color w:val="FFFFFF"/>
                <w:sz w:val="18"/>
              </w:rPr>
              <w:t>TF-IDF</w:t>
            </w:r>
          </w:p>
        </w:tc>
      </w:tr>
      <w:tr>
        <w:tc>
          <w:tcPr>
            <w:tcW w:type="dxa" w:w="2323"/>
            <w:vAlign w:val="center"/>
          </w:tcPr>
          <w:p>
            <w:pPr>
              <w:jc w:val="center"/>
            </w:pPr>
            <w:r/>
            <w:r>
              <w:rPr>
                <w:b w:val="0"/>
                <w:sz w:val="18"/>
              </w:rPr>
              <w:t>刑事</w:t>
            </w:r>
          </w:p>
        </w:tc>
        <w:tc>
          <w:tcPr>
            <w:tcW w:type="dxa" w:w="2323"/>
            <w:vAlign w:val="center"/>
          </w:tcPr>
          <w:p>
            <w:pPr>
              <w:jc w:val="center"/>
            </w:pPr>
            <w:r/>
            <w:r>
              <w:rPr>
                <w:b w:val="0"/>
                <w:sz w:val="18"/>
              </w:rPr>
              <w:t>0.564</w:t>
            </w:r>
          </w:p>
        </w:tc>
        <w:tc>
          <w:tcPr>
            <w:tcW w:type="dxa" w:w="2323"/>
            <w:vAlign w:val="center"/>
          </w:tcPr>
          <w:p>
            <w:pPr>
              <w:jc w:val="center"/>
            </w:pPr>
            <w:r/>
            <w:r>
              <w:rPr>
                <w:b w:val="0"/>
                <w:sz w:val="18"/>
              </w:rPr>
              <w:t>0.577</w:t>
            </w:r>
          </w:p>
        </w:tc>
        <w:tc>
          <w:tcPr>
            <w:tcW w:type="dxa" w:w="2323"/>
            <w:vAlign w:val="center"/>
          </w:tcPr>
          <w:p>
            <w:pPr>
              <w:jc w:val="center"/>
            </w:pPr>
            <w:r/>
            <w:r>
              <w:rPr>
                <w:b w:val="0"/>
                <w:sz w:val="18"/>
              </w:rPr>
              <w:t>0.562</w:t>
            </w:r>
          </w:p>
        </w:tc>
      </w:tr>
      <w:tr>
        <w:tc>
          <w:tcPr>
            <w:tcW w:type="dxa" w:w="2323"/>
            <w:vAlign w:val="center"/>
          </w:tcPr>
          <w:p>
            <w:pPr>
              <w:jc w:val="center"/>
            </w:pPr>
            <w:r/>
            <w:r>
              <w:rPr>
                <w:b w:val="0"/>
                <w:sz w:val="18"/>
              </w:rPr>
              <w:t>刑事附帶民事</w:t>
            </w:r>
          </w:p>
        </w:tc>
        <w:tc>
          <w:tcPr>
            <w:tcW w:type="dxa" w:w="2323"/>
            <w:vAlign w:val="center"/>
          </w:tcPr>
          <w:p>
            <w:pPr>
              <w:jc w:val="center"/>
            </w:pPr>
            <w:r/>
            <w:r>
              <w:rPr>
                <w:b w:val="0"/>
                <w:sz w:val="18"/>
              </w:rPr>
              <w:t>0.654</w:t>
            </w:r>
          </w:p>
        </w:tc>
        <w:tc>
          <w:tcPr>
            <w:tcW w:type="dxa" w:w="2323"/>
            <w:vAlign w:val="center"/>
          </w:tcPr>
          <w:p>
            <w:pPr>
              <w:jc w:val="center"/>
            </w:pPr>
            <w:r/>
            <w:r>
              <w:rPr>
                <w:b w:val="0"/>
                <w:sz w:val="18"/>
              </w:rPr>
              <w:t>0.582</w:t>
            </w:r>
          </w:p>
        </w:tc>
        <w:tc>
          <w:tcPr>
            <w:tcW w:type="dxa" w:w="2323"/>
            <w:vAlign w:val="center"/>
          </w:tcPr>
          <w:p>
            <w:pPr>
              <w:jc w:val="center"/>
            </w:pPr>
            <w:r/>
            <w:r>
              <w:rPr>
                <w:b w:val="0"/>
                <w:sz w:val="18"/>
              </w:rPr>
              <w:t>0.590</w:t>
            </w:r>
          </w:p>
        </w:tc>
      </w:tr>
      <w:tr>
        <w:tc>
          <w:tcPr>
            <w:tcW w:type="dxa" w:w="2323"/>
            <w:vAlign w:val="center"/>
          </w:tcPr>
          <w:p>
            <w:pPr>
              <w:jc w:val="center"/>
            </w:pPr>
            <w:r/>
            <w:r>
              <w:rPr>
                <w:b w:val="0"/>
                <w:sz w:val="18"/>
              </w:rPr>
              <w:t>民事</w:t>
            </w:r>
          </w:p>
        </w:tc>
        <w:tc>
          <w:tcPr>
            <w:tcW w:type="dxa" w:w="2323"/>
            <w:vAlign w:val="center"/>
          </w:tcPr>
          <w:p>
            <w:pPr>
              <w:jc w:val="center"/>
            </w:pPr>
            <w:r/>
            <w:r>
              <w:rPr>
                <w:b w:val="0"/>
                <w:sz w:val="18"/>
              </w:rPr>
              <w:t>0.408</w:t>
            </w:r>
          </w:p>
        </w:tc>
        <w:tc>
          <w:tcPr>
            <w:tcW w:type="dxa" w:w="2323"/>
            <w:vAlign w:val="center"/>
          </w:tcPr>
          <w:p>
            <w:pPr>
              <w:jc w:val="center"/>
            </w:pPr>
            <w:r/>
            <w:r>
              <w:rPr>
                <w:b w:val="0"/>
                <w:sz w:val="18"/>
              </w:rPr>
              <w:t>0.417</w:t>
            </w:r>
          </w:p>
        </w:tc>
        <w:tc>
          <w:tcPr>
            <w:tcW w:type="dxa" w:w="2323"/>
            <w:vAlign w:val="center"/>
          </w:tcPr>
          <w:p>
            <w:pPr>
              <w:jc w:val="center"/>
            </w:pPr>
            <w:r/>
            <w:r>
              <w:rPr>
                <w:b w:val="0"/>
                <w:sz w:val="18"/>
              </w:rPr>
              <w:t>0.428</w:t>
            </w:r>
          </w:p>
        </w:tc>
      </w:tr>
      <w:tr>
        <w:tc>
          <w:tcPr>
            <w:tcW w:type="dxa" w:w="2323"/>
            <w:vAlign w:val="center"/>
          </w:tcPr>
          <w:p>
            <w:pPr>
              <w:jc w:val="center"/>
            </w:pPr>
            <w:r/>
            <w:r>
              <w:rPr>
                <w:b w:val="0"/>
                <w:sz w:val="18"/>
              </w:rPr>
              <w:t>行政</w:t>
            </w:r>
          </w:p>
        </w:tc>
        <w:tc>
          <w:tcPr>
            <w:tcW w:type="dxa" w:w="2323"/>
            <w:vAlign w:val="center"/>
          </w:tcPr>
          <w:p>
            <w:pPr>
              <w:jc w:val="center"/>
            </w:pPr>
            <w:r/>
            <w:r>
              <w:rPr>
                <w:b w:val="0"/>
                <w:sz w:val="18"/>
              </w:rPr>
              <w:t>0.402</w:t>
            </w:r>
          </w:p>
        </w:tc>
        <w:tc>
          <w:tcPr>
            <w:tcW w:type="dxa" w:w="2323"/>
            <w:vAlign w:val="center"/>
          </w:tcPr>
          <w:p>
            <w:pPr>
              <w:jc w:val="center"/>
            </w:pPr>
            <w:r/>
            <w:r>
              <w:rPr>
                <w:b w:val="0"/>
                <w:sz w:val="18"/>
              </w:rPr>
              <w:t>0.341</w:t>
            </w:r>
          </w:p>
        </w:tc>
        <w:tc>
          <w:tcPr>
            <w:tcW w:type="dxa" w:w="2323"/>
            <w:vAlign w:val="center"/>
          </w:tcPr>
          <w:p>
            <w:pPr>
              <w:jc w:val="center"/>
            </w:pPr>
            <w:r/>
            <w:r>
              <w:rPr>
                <w:b w:val="0"/>
                <w:sz w:val="18"/>
              </w:rPr>
              <w:t>0.380</w:t>
            </w:r>
          </w:p>
        </w:tc>
      </w:tr>
    </w:tbl>
    <w:p/>
    <w:p>
      <w:pPr>
        <w:spacing w:line="324" w:lineRule="auto" w:after="120"/>
        <w:ind w:firstLine="420"/>
      </w:pPr>
      <w:r>
        <w:rPr>
          <w:sz w:val="22"/>
          <w:rFonts w:eastAsia="Microsoft JhengHei"/>
        </w:rPr>
        <w:t>結果顯示，最佳特徵表示會隨案件類型而異。行政與刑事附帶民事資料集以 BoW 表現較佳；民事資料集以 TF-IDF 表現較佳；刑事資料集則以 TF 表現略佳。此結果指出，單一特徵表示未必適用於所有法律案件類型。</w:t>
      </w:r>
    </w:p>
    <w:p>
      <w:pPr>
        <w:pStyle w:val="Heading2"/>
      </w:pPr>
      <w:r>
        <w:rPr>
          <w:rFonts w:ascii="Calibri" w:hAnsi="Calibri" w:eastAsia="Microsoft JhengHei"/>
          <w:color w:val="1F4E79"/>
        </w:rPr>
        <w:t>4.2 Direct SVM 與 MNIR+SVM 比較</w:t>
      </w:r>
    </w:p>
    <w:p>
      <w:pPr>
        <w:jc w:val="center"/>
      </w:pPr>
      <w:r>
        <w:rPr>
          <w:b/>
          <w:color w:val="2D3748"/>
          <w:sz w:val="20"/>
        </w:rPr>
        <w:t>表 3 Direct SVM 與 MNIR+SVM 於各資料集之最佳 Macro F1 比較</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1032"/>
        <w:gridCol w:w="1032"/>
        <w:gridCol w:w="1032"/>
        <w:gridCol w:w="1032"/>
        <w:gridCol w:w="1032"/>
        <w:gridCol w:w="1032"/>
        <w:gridCol w:w="1032"/>
        <w:gridCol w:w="1032"/>
        <w:gridCol w:w="1032"/>
      </w:tblGrid>
      <w:tr>
        <w:tc>
          <w:tcPr>
            <w:tcW w:type="dxa" w:w="1032"/>
            <w:shd w:fill="2F5597"/>
            <w:vAlign w:val="center"/>
          </w:tcPr>
          <w:p>
            <w:pPr>
              <w:jc w:val="center"/>
            </w:pPr>
            <w:r/>
            <w:r>
              <w:rPr>
                <w:b/>
                <w:color w:val="FFFFFF"/>
                <w:sz w:val="18"/>
              </w:rPr>
              <w:t>資料集</w:t>
            </w:r>
          </w:p>
        </w:tc>
        <w:tc>
          <w:tcPr>
            <w:tcW w:type="dxa" w:w="1032"/>
            <w:shd w:fill="2F5597"/>
            <w:vAlign w:val="center"/>
          </w:tcPr>
          <w:p>
            <w:pPr>
              <w:jc w:val="center"/>
            </w:pPr>
            <w:r/>
            <w:r>
              <w:rPr>
                <w:b/>
                <w:color w:val="FFFFFF"/>
                <w:sz w:val="18"/>
              </w:rPr>
              <w:t>Direct最佳Leakage</w:t>
            </w:r>
          </w:p>
        </w:tc>
        <w:tc>
          <w:tcPr>
            <w:tcW w:type="dxa" w:w="1032"/>
            <w:shd w:fill="2F5597"/>
            <w:vAlign w:val="center"/>
          </w:tcPr>
          <w:p>
            <w:pPr>
              <w:jc w:val="center"/>
            </w:pPr>
            <w:r/>
            <w:r>
              <w:rPr>
                <w:b/>
                <w:color w:val="FFFFFF"/>
                <w:sz w:val="18"/>
              </w:rPr>
              <w:t>Direct最佳特徵</w:t>
            </w:r>
          </w:p>
        </w:tc>
        <w:tc>
          <w:tcPr>
            <w:tcW w:type="dxa" w:w="1032"/>
            <w:shd w:fill="2F5597"/>
            <w:vAlign w:val="center"/>
          </w:tcPr>
          <w:p>
            <w:pPr>
              <w:jc w:val="center"/>
            </w:pPr>
            <w:r/>
            <w:r>
              <w:rPr>
                <w:b/>
                <w:color w:val="FFFFFF"/>
                <w:sz w:val="18"/>
              </w:rPr>
              <w:t>Direct模型</w:t>
            </w:r>
          </w:p>
        </w:tc>
        <w:tc>
          <w:tcPr>
            <w:tcW w:type="dxa" w:w="1032"/>
            <w:shd w:fill="2F5597"/>
            <w:vAlign w:val="center"/>
          </w:tcPr>
          <w:p>
            <w:pPr>
              <w:jc w:val="center"/>
            </w:pPr>
            <w:r/>
            <w:r>
              <w:rPr>
                <w:b/>
                <w:color w:val="FFFFFF"/>
                <w:sz w:val="18"/>
              </w:rPr>
              <w:t>Direct SVM Macro F1</w:t>
            </w:r>
          </w:p>
        </w:tc>
        <w:tc>
          <w:tcPr>
            <w:tcW w:type="dxa" w:w="1032"/>
            <w:shd w:fill="2F5597"/>
            <w:vAlign w:val="center"/>
          </w:tcPr>
          <w:p>
            <w:pPr>
              <w:jc w:val="center"/>
            </w:pPr>
            <w:r/>
            <w:r>
              <w:rPr>
                <w:b/>
                <w:color w:val="FFFFFF"/>
                <w:sz w:val="18"/>
              </w:rPr>
              <w:t>MNIR最佳Leakage</w:t>
            </w:r>
          </w:p>
        </w:tc>
        <w:tc>
          <w:tcPr>
            <w:tcW w:type="dxa" w:w="1032"/>
            <w:shd w:fill="2F5597"/>
            <w:vAlign w:val="center"/>
          </w:tcPr>
          <w:p>
            <w:pPr>
              <w:jc w:val="center"/>
            </w:pPr>
            <w:r/>
            <w:r>
              <w:rPr>
                <w:b/>
                <w:color w:val="FFFFFF"/>
                <w:sz w:val="18"/>
              </w:rPr>
              <w:t>MNIR最佳特徵</w:t>
            </w:r>
          </w:p>
        </w:tc>
        <w:tc>
          <w:tcPr>
            <w:tcW w:type="dxa" w:w="1032"/>
            <w:shd w:fill="2F5597"/>
            <w:vAlign w:val="center"/>
          </w:tcPr>
          <w:p>
            <w:pPr>
              <w:jc w:val="center"/>
            </w:pPr>
            <w:r/>
            <w:r>
              <w:rPr>
                <w:b/>
                <w:color w:val="FFFFFF"/>
                <w:sz w:val="18"/>
              </w:rPr>
              <w:t>MNIR+SVM Macro F1</w:t>
            </w:r>
          </w:p>
        </w:tc>
        <w:tc>
          <w:tcPr>
            <w:tcW w:type="dxa" w:w="1032"/>
            <w:shd w:fill="2F5597"/>
            <w:vAlign w:val="center"/>
          </w:tcPr>
          <w:p>
            <w:pPr>
              <w:jc w:val="center"/>
            </w:pPr>
            <w:r/>
            <w:r>
              <w:rPr>
                <w:b/>
                <w:color w:val="FFFFFF"/>
                <w:sz w:val="18"/>
              </w:rPr>
              <w:t>差異</w:t>
            </w:r>
          </w:p>
        </w:tc>
      </w:tr>
      <w:tr>
        <w:tc>
          <w:tcPr>
            <w:tcW w:type="dxa" w:w="1032"/>
            <w:vAlign w:val="center"/>
          </w:tcPr>
          <w:p>
            <w:pPr>
              <w:jc w:val="center"/>
            </w:pPr>
            <w:r/>
            <w:r>
              <w:rPr>
                <w:b w:val="0"/>
                <w:sz w:val="18"/>
              </w:rPr>
              <w:t>刑事</w:t>
            </w:r>
          </w:p>
        </w:tc>
        <w:tc>
          <w:tcPr>
            <w:tcW w:type="dxa" w:w="1032"/>
            <w:vAlign w:val="center"/>
          </w:tcPr>
          <w:p>
            <w:pPr>
              <w:jc w:val="center"/>
            </w:pPr>
            <w:r/>
            <w:r>
              <w:rPr>
                <w:b w:val="0"/>
                <w:sz w:val="18"/>
              </w:rPr>
              <w:t>no leakage</w:t>
            </w:r>
          </w:p>
        </w:tc>
        <w:tc>
          <w:tcPr>
            <w:tcW w:type="dxa" w:w="1032"/>
            <w:vAlign w:val="center"/>
          </w:tcPr>
          <w:p>
            <w:pPr>
              <w:jc w:val="center"/>
            </w:pPr>
            <w:r/>
            <w:r>
              <w:rPr>
                <w:b w:val="0"/>
                <w:sz w:val="18"/>
              </w:rPr>
              <w:t>TF</w:t>
            </w:r>
          </w:p>
        </w:tc>
        <w:tc>
          <w:tcPr>
            <w:tcW w:type="dxa" w:w="1032"/>
            <w:vAlign w:val="center"/>
          </w:tcPr>
          <w:p>
            <w:pPr>
              <w:jc w:val="center"/>
            </w:pPr>
            <w:r/>
            <w:r>
              <w:rPr>
                <w:b w:val="0"/>
                <w:sz w:val="18"/>
              </w:rPr>
              <w:t>TF + SVM</w:t>
            </w:r>
          </w:p>
        </w:tc>
        <w:tc>
          <w:tcPr>
            <w:tcW w:type="dxa" w:w="1032"/>
            <w:vAlign w:val="center"/>
          </w:tcPr>
          <w:p>
            <w:pPr>
              <w:jc w:val="center"/>
            </w:pPr>
            <w:r/>
            <w:r>
              <w:rPr>
                <w:b w:val="0"/>
                <w:sz w:val="18"/>
              </w:rPr>
              <w:t>0.577</w:t>
            </w:r>
          </w:p>
        </w:tc>
        <w:tc>
          <w:tcPr>
            <w:tcW w:type="dxa" w:w="1032"/>
            <w:vAlign w:val="center"/>
          </w:tcPr>
          <w:p>
            <w:pPr>
              <w:jc w:val="center"/>
            </w:pPr>
            <w:r/>
            <w:r>
              <w:rPr>
                <w:b w:val="0"/>
                <w:sz w:val="18"/>
              </w:rPr>
              <w:t>no leakage</w:t>
            </w:r>
          </w:p>
        </w:tc>
        <w:tc>
          <w:tcPr>
            <w:tcW w:type="dxa" w:w="1032"/>
            <w:vAlign w:val="center"/>
          </w:tcPr>
          <w:p>
            <w:pPr>
              <w:jc w:val="center"/>
            </w:pPr>
            <w:r/>
            <w:r>
              <w:rPr>
                <w:b w:val="0"/>
                <w:sz w:val="18"/>
              </w:rPr>
              <w:t>TF-IDF</w:t>
            </w:r>
          </w:p>
        </w:tc>
        <w:tc>
          <w:tcPr>
            <w:tcW w:type="dxa" w:w="1032"/>
            <w:vAlign w:val="center"/>
          </w:tcPr>
          <w:p>
            <w:pPr>
              <w:jc w:val="center"/>
            </w:pPr>
            <w:r/>
            <w:r>
              <w:rPr>
                <w:b w:val="0"/>
                <w:sz w:val="18"/>
              </w:rPr>
              <w:t>0.390</w:t>
            </w:r>
          </w:p>
        </w:tc>
        <w:tc>
          <w:tcPr>
            <w:tcW w:type="dxa" w:w="1032"/>
            <w:vAlign w:val="center"/>
          </w:tcPr>
          <w:p>
            <w:pPr>
              <w:jc w:val="center"/>
            </w:pPr>
            <w:r/>
            <w:r>
              <w:rPr>
                <w:b w:val="0"/>
                <w:sz w:val="18"/>
              </w:rPr>
              <w:t>0.187</w:t>
            </w:r>
          </w:p>
        </w:tc>
      </w:tr>
      <w:tr>
        <w:tc>
          <w:tcPr>
            <w:tcW w:type="dxa" w:w="1032"/>
            <w:vAlign w:val="center"/>
          </w:tcPr>
          <w:p>
            <w:pPr>
              <w:jc w:val="center"/>
            </w:pPr>
            <w:r/>
            <w:r>
              <w:rPr>
                <w:b w:val="0"/>
                <w:sz w:val="18"/>
              </w:rPr>
              <w:t>刑事附帶民事</w:t>
            </w:r>
          </w:p>
        </w:tc>
        <w:tc>
          <w:tcPr>
            <w:tcW w:type="dxa" w:w="1032"/>
            <w:vAlign w:val="center"/>
          </w:tcPr>
          <w:p>
            <w:pPr>
              <w:jc w:val="center"/>
            </w:pPr>
            <w:r/>
            <w:r>
              <w:rPr>
                <w:b w:val="0"/>
                <w:sz w:val="18"/>
              </w:rPr>
              <w:t>no leakage</w:t>
            </w:r>
          </w:p>
        </w:tc>
        <w:tc>
          <w:tcPr>
            <w:tcW w:type="dxa" w:w="1032"/>
            <w:vAlign w:val="center"/>
          </w:tcPr>
          <w:p>
            <w:pPr>
              <w:jc w:val="center"/>
            </w:pPr>
            <w:r/>
            <w:r>
              <w:rPr>
                <w:b w:val="0"/>
                <w:sz w:val="18"/>
              </w:rPr>
              <w:t>BoW</w:t>
            </w:r>
          </w:p>
        </w:tc>
        <w:tc>
          <w:tcPr>
            <w:tcW w:type="dxa" w:w="1032"/>
            <w:vAlign w:val="center"/>
          </w:tcPr>
          <w:p>
            <w:pPr>
              <w:jc w:val="center"/>
            </w:pPr>
            <w:r/>
            <w:r>
              <w:rPr>
                <w:b w:val="0"/>
                <w:sz w:val="18"/>
              </w:rPr>
              <w:t>BoW + SVM</w:t>
            </w:r>
          </w:p>
        </w:tc>
        <w:tc>
          <w:tcPr>
            <w:tcW w:type="dxa" w:w="1032"/>
            <w:vAlign w:val="center"/>
          </w:tcPr>
          <w:p>
            <w:pPr>
              <w:jc w:val="center"/>
            </w:pPr>
            <w:r/>
            <w:r>
              <w:rPr>
                <w:b w:val="0"/>
                <w:sz w:val="18"/>
              </w:rPr>
              <w:t>0.654</w:t>
            </w:r>
          </w:p>
        </w:tc>
        <w:tc>
          <w:tcPr>
            <w:tcW w:type="dxa" w:w="1032"/>
            <w:vAlign w:val="center"/>
          </w:tcPr>
          <w:p>
            <w:pPr>
              <w:jc w:val="center"/>
            </w:pPr>
            <w:r/>
            <w:r>
              <w:rPr>
                <w:b w:val="0"/>
                <w:sz w:val="18"/>
              </w:rPr>
              <w:t>with leakage</w:t>
            </w:r>
          </w:p>
        </w:tc>
        <w:tc>
          <w:tcPr>
            <w:tcW w:type="dxa" w:w="1032"/>
            <w:vAlign w:val="center"/>
          </w:tcPr>
          <w:p>
            <w:pPr>
              <w:jc w:val="center"/>
            </w:pPr>
            <w:r/>
            <w:r>
              <w:rPr>
                <w:b w:val="0"/>
                <w:sz w:val="18"/>
              </w:rPr>
              <w:t>BoW</w:t>
            </w:r>
          </w:p>
        </w:tc>
        <w:tc>
          <w:tcPr>
            <w:tcW w:type="dxa" w:w="1032"/>
            <w:vAlign w:val="center"/>
          </w:tcPr>
          <w:p>
            <w:pPr>
              <w:jc w:val="center"/>
            </w:pPr>
            <w:r/>
            <w:r>
              <w:rPr>
                <w:b w:val="0"/>
                <w:sz w:val="18"/>
              </w:rPr>
              <w:t>0.571</w:t>
            </w:r>
          </w:p>
        </w:tc>
        <w:tc>
          <w:tcPr>
            <w:tcW w:type="dxa" w:w="1032"/>
            <w:vAlign w:val="center"/>
          </w:tcPr>
          <w:p>
            <w:pPr>
              <w:jc w:val="center"/>
            </w:pPr>
            <w:r/>
            <w:r>
              <w:rPr>
                <w:b w:val="0"/>
                <w:sz w:val="18"/>
              </w:rPr>
              <w:t>0.084</w:t>
            </w:r>
          </w:p>
        </w:tc>
      </w:tr>
      <w:tr>
        <w:tc>
          <w:tcPr>
            <w:tcW w:type="dxa" w:w="1032"/>
            <w:vAlign w:val="center"/>
          </w:tcPr>
          <w:p>
            <w:pPr>
              <w:jc w:val="center"/>
            </w:pPr>
            <w:r/>
            <w:r>
              <w:rPr>
                <w:b w:val="0"/>
                <w:sz w:val="18"/>
              </w:rPr>
              <w:t>民事</w:t>
            </w:r>
          </w:p>
        </w:tc>
        <w:tc>
          <w:tcPr>
            <w:tcW w:type="dxa" w:w="1032"/>
            <w:vAlign w:val="center"/>
          </w:tcPr>
          <w:p>
            <w:pPr>
              <w:jc w:val="center"/>
            </w:pPr>
            <w:r/>
            <w:r>
              <w:rPr>
                <w:b w:val="0"/>
                <w:sz w:val="18"/>
              </w:rPr>
              <w:t>no leakage</w:t>
            </w:r>
          </w:p>
        </w:tc>
        <w:tc>
          <w:tcPr>
            <w:tcW w:type="dxa" w:w="1032"/>
            <w:vAlign w:val="center"/>
          </w:tcPr>
          <w:p>
            <w:pPr>
              <w:jc w:val="center"/>
            </w:pPr>
            <w:r/>
            <w:r>
              <w:rPr>
                <w:b w:val="0"/>
                <w:sz w:val="18"/>
              </w:rPr>
              <w:t>TF-IDF</w:t>
            </w:r>
          </w:p>
        </w:tc>
        <w:tc>
          <w:tcPr>
            <w:tcW w:type="dxa" w:w="1032"/>
            <w:vAlign w:val="center"/>
          </w:tcPr>
          <w:p>
            <w:pPr>
              <w:jc w:val="center"/>
            </w:pPr>
            <w:r/>
            <w:r>
              <w:rPr>
                <w:b w:val="0"/>
                <w:sz w:val="18"/>
              </w:rPr>
              <w:t>TF-IDF + SVM</w:t>
            </w:r>
          </w:p>
        </w:tc>
        <w:tc>
          <w:tcPr>
            <w:tcW w:type="dxa" w:w="1032"/>
            <w:vAlign w:val="center"/>
          </w:tcPr>
          <w:p>
            <w:pPr>
              <w:jc w:val="center"/>
            </w:pPr>
            <w:r/>
            <w:r>
              <w:rPr>
                <w:b w:val="0"/>
                <w:sz w:val="18"/>
              </w:rPr>
              <w:t>0.428</w:t>
            </w:r>
          </w:p>
        </w:tc>
        <w:tc>
          <w:tcPr>
            <w:tcW w:type="dxa" w:w="1032"/>
            <w:vAlign w:val="center"/>
          </w:tcPr>
          <w:p>
            <w:pPr>
              <w:jc w:val="center"/>
            </w:pPr>
            <w:r/>
            <w:r>
              <w:rPr>
                <w:b w:val="0"/>
                <w:sz w:val="18"/>
              </w:rPr>
              <w:t>with leakage</w:t>
            </w:r>
          </w:p>
        </w:tc>
        <w:tc>
          <w:tcPr>
            <w:tcW w:type="dxa" w:w="1032"/>
            <w:vAlign w:val="center"/>
          </w:tcPr>
          <w:p>
            <w:pPr>
              <w:jc w:val="center"/>
            </w:pPr>
            <w:r/>
            <w:r>
              <w:rPr>
                <w:b w:val="0"/>
                <w:sz w:val="18"/>
              </w:rPr>
              <w:t>TF-IDF</w:t>
            </w:r>
          </w:p>
        </w:tc>
        <w:tc>
          <w:tcPr>
            <w:tcW w:type="dxa" w:w="1032"/>
            <w:vAlign w:val="center"/>
          </w:tcPr>
          <w:p>
            <w:pPr>
              <w:jc w:val="center"/>
            </w:pPr>
            <w:r/>
            <w:r>
              <w:rPr>
                <w:b w:val="0"/>
                <w:sz w:val="18"/>
              </w:rPr>
              <w:t>0.364</w:t>
            </w:r>
          </w:p>
        </w:tc>
        <w:tc>
          <w:tcPr>
            <w:tcW w:type="dxa" w:w="1032"/>
            <w:vAlign w:val="center"/>
          </w:tcPr>
          <w:p>
            <w:pPr>
              <w:jc w:val="center"/>
            </w:pPr>
            <w:r/>
            <w:r>
              <w:rPr>
                <w:b w:val="0"/>
                <w:sz w:val="18"/>
              </w:rPr>
              <w:t>0.063</w:t>
            </w:r>
          </w:p>
        </w:tc>
      </w:tr>
      <w:tr>
        <w:tc>
          <w:tcPr>
            <w:tcW w:type="dxa" w:w="1032"/>
            <w:vAlign w:val="center"/>
          </w:tcPr>
          <w:p>
            <w:pPr>
              <w:jc w:val="center"/>
            </w:pPr>
            <w:r/>
            <w:r>
              <w:rPr>
                <w:b w:val="0"/>
                <w:sz w:val="18"/>
              </w:rPr>
              <w:t>行政</w:t>
            </w:r>
          </w:p>
        </w:tc>
        <w:tc>
          <w:tcPr>
            <w:tcW w:type="dxa" w:w="1032"/>
            <w:vAlign w:val="center"/>
          </w:tcPr>
          <w:p>
            <w:pPr>
              <w:jc w:val="center"/>
            </w:pPr>
            <w:r/>
            <w:r>
              <w:rPr>
                <w:b w:val="0"/>
                <w:sz w:val="18"/>
              </w:rPr>
              <w:t>with leakage</w:t>
            </w:r>
          </w:p>
        </w:tc>
        <w:tc>
          <w:tcPr>
            <w:tcW w:type="dxa" w:w="1032"/>
            <w:vAlign w:val="center"/>
          </w:tcPr>
          <w:p>
            <w:pPr>
              <w:jc w:val="center"/>
            </w:pPr>
            <w:r/>
            <w:r>
              <w:rPr>
                <w:b w:val="0"/>
                <w:sz w:val="18"/>
              </w:rPr>
              <w:t>BoW</w:t>
            </w:r>
          </w:p>
        </w:tc>
        <w:tc>
          <w:tcPr>
            <w:tcW w:type="dxa" w:w="1032"/>
            <w:vAlign w:val="center"/>
          </w:tcPr>
          <w:p>
            <w:pPr>
              <w:jc w:val="center"/>
            </w:pPr>
            <w:r/>
            <w:r>
              <w:rPr>
                <w:b w:val="0"/>
                <w:sz w:val="18"/>
              </w:rPr>
              <w:t>BoW + SVM</w:t>
            </w:r>
          </w:p>
        </w:tc>
        <w:tc>
          <w:tcPr>
            <w:tcW w:type="dxa" w:w="1032"/>
            <w:vAlign w:val="center"/>
          </w:tcPr>
          <w:p>
            <w:pPr>
              <w:jc w:val="center"/>
            </w:pPr>
            <w:r/>
            <w:r>
              <w:rPr>
                <w:b w:val="0"/>
                <w:sz w:val="18"/>
              </w:rPr>
              <w:t>0.402</w:t>
            </w:r>
          </w:p>
        </w:tc>
        <w:tc>
          <w:tcPr>
            <w:tcW w:type="dxa" w:w="1032"/>
            <w:vAlign w:val="center"/>
          </w:tcPr>
          <w:p>
            <w:pPr>
              <w:jc w:val="center"/>
            </w:pPr>
            <w:r/>
            <w:r>
              <w:rPr>
                <w:b w:val="0"/>
                <w:sz w:val="18"/>
              </w:rPr>
              <w:t>no leakage</w:t>
            </w:r>
          </w:p>
        </w:tc>
        <w:tc>
          <w:tcPr>
            <w:tcW w:type="dxa" w:w="1032"/>
            <w:vAlign w:val="center"/>
          </w:tcPr>
          <w:p>
            <w:pPr>
              <w:jc w:val="center"/>
            </w:pPr>
            <w:r/>
            <w:r>
              <w:rPr>
                <w:b w:val="0"/>
                <w:sz w:val="18"/>
              </w:rPr>
              <w:t>BoW</w:t>
            </w:r>
          </w:p>
        </w:tc>
        <w:tc>
          <w:tcPr>
            <w:tcW w:type="dxa" w:w="1032"/>
            <w:vAlign w:val="center"/>
          </w:tcPr>
          <w:p>
            <w:pPr>
              <w:jc w:val="center"/>
            </w:pPr>
            <w:r/>
            <w:r>
              <w:rPr>
                <w:b w:val="0"/>
                <w:sz w:val="18"/>
              </w:rPr>
              <w:t>0.318</w:t>
            </w:r>
          </w:p>
        </w:tc>
        <w:tc>
          <w:tcPr>
            <w:tcW w:type="dxa" w:w="1032"/>
            <w:vAlign w:val="center"/>
          </w:tcPr>
          <w:p>
            <w:pPr>
              <w:jc w:val="center"/>
            </w:pPr>
            <w:r/>
            <w:r>
              <w:rPr>
                <w:b w:val="0"/>
                <w:sz w:val="18"/>
              </w:rPr>
              <w:t>0.084</w:t>
            </w:r>
          </w:p>
        </w:tc>
      </w:tr>
    </w:tbl>
    <w:p/>
    <w:p>
      <w:pPr>
        <w:spacing w:line="324" w:lineRule="auto" w:after="120"/>
        <w:ind w:firstLine="420"/>
      </w:pPr>
      <w:r>
        <w:rPr>
          <w:sz w:val="22"/>
          <w:rFonts w:eastAsia="Microsoft JhengHei"/>
        </w:rPr>
        <w:t>四類資料集中，Direct SVM 皆取得高於 MNIR+SVM 的最佳 Macro F1。此結果顯示，在本研究資料與標籤設定下，經卡方篩選後的原始稀疏詞彙特徵比 MNIR 轉換特徵更能保留與判決結果相關的分類訊息。</w:t>
      </w:r>
    </w:p>
    <w:p>
      <w:pPr>
        <w:pStyle w:val="Heading2"/>
      </w:pPr>
      <w:r>
        <w:rPr>
          <w:rFonts w:ascii="Calibri" w:hAnsi="Calibri" w:eastAsia="Microsoft JhengHei"/>
          <w:color w:val="1F4E79"/>
        </w:rPr>
        <w:t>4.3 Outcome Leakage 影響</w:t>
      </w:r>
    </w:p>
    <w:p>
      <w:pPr>
        <w:jc w:val="center"/>
      </w:pPr>
      <w:r>
        <w:rPr>
          <w:b/>
          <w:color w:val="2D3748"/>
          <w:sz w:val="20"/>
        </w:rPr>
        <w:t>表 4 Direct SVM 下 with-leakage 與 no-leakage 最佳 Macro F1</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3097"/>
        <w:gridCol w:w="3097"/>
        <w:gridCol w:w="3097"/>
      </w:tblGrid>
      <w:tr>
        <w:tc>
          <w:tcPr>
            <w:tcW w:type="dxa" w:w="3097"/>
            <w:shd w:fill="2F5597"/>
            <w:vAlign w:val="center"/>
          </w:tcPr>
          <w:p>
            <w:pPr>
              <w:jc w:val="center"/>
            </w:pPr>
            <w:r/>
            <w:r>
              <w:rPr>
                <w:b/>
                <w:color w:val="FFFFFF"/>
                <w:sz w:val="18"/>
              </w:rPr>
              <w:t>資料集</w:t>
            </w:r>
          </w:p>
        </w:tc>
        <w:tc>
          <w:tcPr>
            <w:tcW w:type="dxa" w:w="3097"/>
            <w:shd w:fill="2F5597"/>
            <w:vAlign w:val="center"/>
          </w:tcPr>
          <w:p>
            <w:pPr>
              <w:jc w:val="center"/>
            </w:pPr>
            <w:r/>
            <w:r>
              <w:rPr>
                <w:b/>
                <w:color w:val="FFFFFF"/>
                <w:sz w:val="18"/>
              </w:rPr>
              <w:t>no leakage</w:t>
            </w:r>
          </w:p>
        </w:tc>
        <w:tc>
          <w:tcPr>
            <w:tcW w:type="dxa" w:w="3097"/>
            <w:shd w:fill="2F5597"/>
            <w:vAlign w:val="center"/>
          </w:tcPr>
          <w:p>
            <w:pPr>
              <w:jc w:val="center"/>
            </w:pPr>
            <w:r/>
            <w:r>
              <w:rPr>
                <w:b/>
                <w:color w:val="FFFFFF"/>
                <w:sz w:val="18"/>
              </w:rPr>
              <w:t>with leakage</w:t>
            </w:r>
          </w:p>
        </w:tc>
      </w:tr>
      <w:tr>
        <w:tc>
          <w:tcPr>
            <w:tcW w:type="dxa" w:w="3097"/>
            <w:vAlign w:val="center"/>
          </w:tcPr>
          <w:p>
            <w:pPr>
              <w:jc w:val="center"/>
            </w:pPr>
            <w:r/>
            <w:r>
              <w:rPr>
                <w:b w:val="0"/>
                <w:sz w:val="18"/>
              </w:rPr>
              <w:t>刑事</w:t>
            </w:r>
          </w:p>
        </w:tc>
        <w:tc>
          <w:tcPr>
            <w:tcW w:type="dxa" w:w="3097"/>
            <w:vAlign w:val="center"/>
          </w:tcPr>
          <w:p>
            <w:pPr>
              <w:jc w:val="center"/>
            </w:pPr>
            <w:r/>
            <w:r>
              <w:rPr>
                <w:b w:val="0"/>
                <w:sz w:val="18"/>
              </w:rPr>
              <w:t>0.577</w:t>
            </w:r>
          </w:p>
        </w:tc>
        <w:tc>
          <w:tcPr>
            <w:tcW w:type="dxa" w:w="3097"/>
            <w:vAlign w:val="center"/>
          </w:tcPr>
          <w:p>
            <w:pPr>
              <w:jc w:val="center"/>
            </w:pPr>
            <w:r/>
            <w:r>
              <w:rPr>
                <w:b w:val="0"/>
                <w:sz w:val="18"/>
              </w:rPr>
              <w:t>0.564</w:t>
            </w:r>
          </w:p>
        </w:tc>
      </w:tr>
      <w:tr>
        <w:tc>
          <w:tcPr>
            <w:tcW w:type="dxa" w:w="3097"/>
            <w:vAlign w:val="center"/>
          </w:tcPr>
          <w:p>
            <w:pPr>
              <w:jc w:val="center"/>
            </w:pPr>
            <w:r/>
            <w:r>
              <w:rPr>
                <w:b w:val="0"/>
                <w:sz w:val="18"/>
              </w:rPr>
              <w:t>刑事附帶民事</w:t>
            </w:r>
          </w:p>
        </w:tc>
        <w:tc>
          <w:tcPr>
            <w:tcW w:type="dxa" w:w="3097"/>
            <w:vAlign w:val="center"/>
          </w:tcPr>
          <w:p>
            <w:pPr>
              <w:jc w:val="center"/>
            </w:pPr>
            <w:r/>
            <w:r>
              <w:rPr>
                <w:b w:val="0"/>
                <w:sz w:val="18"/>
              </w:rPr>
              <w:t>0.654</w:t>
            </w:r>
          </w:p>
        </w:tc>
        <w:tc>
          <w:tcPr>
            <w:tcW w:type="dxa" w:w="3097"/>
            <w:vAlign w:val="center"/>
          </w:tcPr>
          <w:p>
            <w:pPr>
              <w:jc w:val="center"/>
            </w:pPr>
            <w:r/>
            <w:r>
              <w:rPr>
                <w:b w:val="0"/>
                <w:sz w:val="18"/>
              </w:rPr>
              <w:t>0.646</w:t>
            </w:r>
          </w:p>
        </w:tc>
      </w:tr>
      <w:tr>
        <w:tc>
          <w:tcPr>
            <w:tcW w:type="dxa" w:w="3097"/>
            <w:vAlign w:val="center"/>
          </w:tcPr>
          <w:p>
            <w:pPr>
              <w:jc w:val="center"/>
            </w:pPr>
            <w:r/>
            <w:r>
              <w:rPr>
                <w:b w:val="0"/>
                <w:sz w:val="18"/>
              </w:rPr>
              <w:t>民事</w:t>
            </w:r>
          </w:p>
        </w:tc>
        <w:tc>
          <w:tcPr>
            <w:tcW w:type="dxa" w:w="3097"/>
            <w:vAlign w:val="center"/>
          </w:tcPr>
          <w:p>
            <w:pPr>
              <w:jc w:val="center"/>
            </w:pPr>
            <w:r/>
            <w:r>
              <w:rPr>
                <w:b w:val="0"/>
                <w:sz w:val="18"/>
              </w:rPr>
              <w:t>0.428</w:t>
            </w:r>
          </w:p>
        </w:tc>
        <w:tc>
          <w:tcPr>
            <w:tcW w:type="dxa" w:w="3097"/>
            <w:vAlign w:val="center"/>
          </w:tcPr>
          <w:p>
            <w:pPr>
              <w:jc w:val="center"/>
            </w:pPr>
            <w:r/>
            <w:r>
              <w:rPr>
                <w:b w:val="0"/>
                <w:sz w:val="18"/>
              </w:rPr>
              <w:t>0.425</w:t>
            </w:r>
          </w:p>
        </w:tc>
      </w:tr>
      <w:tr>
        <w:tc>
          <w:tcPr>
            <w:tcW w:type="dxa" w:w="3097"/>
            <w:vAlign w:val="center"/>
          </w:tcPr>
          <w:p>
            <w:pPr>
              <w:jc w:val="center"/>
            </w:pPr>
            <w:r/>
            <w:r>
              <w:rPr>
                <w:b w:val="0"/>
                <w:sz w:val="18"/>
              </w:rPr>
              <w:t>行政</w:t>
            </w:r>
          </w:p>
        </w:tc>
        <w:tc>
          <w:tcPr>
            <w:tcW w:type="dxa" w:w="3097"/>
            <w:vAlign w:val="center"/>
          </w:tcPr>
          <w:p>
            <w:pPr>
              <w:jc w:val="center"/>
            </w:pPr>
            <w:r/>
            <w:r>
              <w:rPr>
                <w:b w:val="0"/>
                <w:sz w:val="18"/>
              </w:rPr>
              <w:t>0.380</w:t>
            </w:r>
          </w:p>
        </w:tc>
        <w:tc>
          <w:tcPr>
            <w:tcW w:type="dxa" w:w="3097"/>
            <w:vAlign w:val="center"/>
          </w:tcPr>
          <w:p>
            <w:pPr>
              <w:jc w:val="center"/>
            </w:pPr>
            <w:r/>
            <w:r>
              <w:rPr>
                <w:b w:val="0"/>
                <w:sz w:val="18"/>
              </w:rPr>
              <w:t>0.402</w:t>
            </w:r>
          </w:p>
        </w:tc>
      </w:tr>
    </w:tbl>
    <w:p/>
    <w:p>
      <w:pPr>
        <w:spacing w:line="324" w:lineRule="auto" w:after="120"/>
        <w:ind w:firstLine="420"/>
      </w:pPr>
      <w:r>
        <w:rPr>
          <w:sz w:val="22"/>
          <w:rFonts w:eastAsia="Microsoft JhengHei"/>
        </w:rPr>
        <w:t>Leakage 移除對不同案件類型影響不一致。部分資料集在 no-leakage 版本仍可維持或取得較佳表現，表示模型並非完全依賴明顯裁判結果詞彙；但在部分設定中 with-leakage 表現較高，顯示 outcome leakage 仍可能影響模型評估。</w:t>
      </w:r>
    </w:p>
    <w:p>
      <w:pPr>
        <w:pStyle w:val="Heading2"/>
      </w:pPr>
      <w:r>
        <w:rPr>
          <w:rFonts w:ascii="Calibri" w:hAnsi="Calibri" w:eastAsia="Microsoft JhengHei"/>
          <w:color w:val="1F4E79"/>
        </w:rPr>
        <w:t>4.4 參數高原與混淆矩陣</w:t>
      </w:r>
    </w:p>
    <w:p>
      <w:pPr>
        <w:jc w:val="center"/>
      </w:pPr>
      <w:r>
        <w:drawing>
          <wp:inline xmlns:a="http://schemas.openxmlformats.org/drawingml/2006/main" xmlns:pic="http://schemas.openxmlformats.org/drawingml/2006/picture">
            <wp:extent cx="5303520" cy="3030583"/>
            <wp:docPr id="1" name="Picture 1"/>
            <wp:cNvGraphicFramePr>
              <a:graphicFrameLocks noChangeAspect="1"/>
            </wp:cNvGraphicFramePr>
            <a:graphic>
              <a:graphicData uri="http://schemas.openxmlformats.org/drawingml/2006/picture">
                <pic:pic>
                  <pic:nvPicPr>
                    <pic:cNvPr id="0" name="direct_svm_chi2_k_svm_c_validation_heatmap.png"/>
                    <pic:cNvPicPr/>
                  </pic:nvPicPr>
                  <pic:blipFill>
                    <a:blip r:embed="rId9"/>
                    <a:stretch>
                      <a:fillRect/>
                    </a:stretch>
                  </pic:blipFill>
                  <pic:spPr>
                    <a:xfrm>
                      <a:off x="0" y="0"/>
                      <a:ext cx="5303520" cy="3030583"/>
                    </a:xfrm>
                    <a:prstGeom prst="rect"/>
                  </pic:spPr>
                </pic:pic>
              </a:graphicData>
            </a:graphic>
          </wp:inline>
        </w:drawing>
      </w:r>
    </w:p>
    <w:p>
      <w:pPr>
        <w:jc w:val="center"/>
      </w:pPr>
      <w:r>
        <w:rPr>
          <w:b/>
          <w:color w:val="2D3748"/>
          <w:sz w:val="20"/>
        </w:rPr>
        <w:t>圖 1 Direct SVM 參數表面範例：K × C 之 Validation Macro F1</w:t>
      </w:r>
    </w:p>
    <w:p>
      <w:pPr>
        <w:jc w:val="center"/>
      </w:pPr>
      <w:r>
        <w:drawing>
          <wp:inline xmlns:a="http://schemas.openxmlformats.org/drawingml/2006/main" xmlns:pic="http://schemas.openxmlformats.org/drawingml/2006/picture">
            <wp:extent cx="5303520" cy="3636699"/>
            <wp:docPr id="2" name="Picture 2"/>
            <wp:cNvGraphicFramePr>
              <a:graphicFrameLocks noChangeAspect="1"/>
            </wp:cNvGraphicFramePr>
            <a:graphic>
              <a:graphicData uri="http://schemas.openxmlformats.org/drawingml/2006/picture">
                <pic:pic>
                  <pic:nvPicPr>
                    <pic:cNvPr id="0" name="model_comparison_test_metrics.png"/>
                    <pic:cNvPicPr/>
                  </pic:nvPicPr>
                  <pic:blipFill>
                    <a:blip r:embed="rId10"/>
                    <a:stretch>
                      <a:fillRect/>
                    </a:stretch>
                  </pic:blipFill>
                  <pic:spPr>
                    <a:xfrm>
                      <a:off x="0" y="0"/>
                      <a:ext cx="5303520" cy="3636699"/>
                    </a:xfrm>
                    <a:prstGeom prst="rect"/>
                  </pic:spPr>
                </pic:pic>
              </a:graphicData>
            </a:graphic>
          </wp:inline>
        </w:drawing>
      </w:r>
    </w:p>
    <w:p>
      <w:pPr>
        <w:jc w:val="center"/>
      </w:pPr>
      <w:r>
        <w:rPr>
          <w:b/>
          <w:color w:val="2D3748"/>
          <w:sz w:val="20"/>
        </w:rPr>
        <w:t>圖 2 最佳設定之模型比較圖</w:t>
      </w:r>
    </w:p>
    <w:p>
      <w:r>
        <w:br w:type="page"/>
      </w:r>
    </w:p>
    <w:p>
      <w:pPr>
        <w:jc w:val="center"/>
      </w:pPr>
      <w:r>
        <w:rPr>
          <w:b/>
          <w:color w:val="2D3748"/>
          <w:sz w:val="20"/>
        </w:rPr>
        <w:t>表 5 Direct SVM 最佳設定之測試集混淆矩陣</w:t>
      </w:r>
    </w:p>
    <w:tbl>
      <w:tblPr>
        <w:tblStyle w:val="TableGrid"/>
        <w:tblW w:type="auto" w:w="0"/>
        <w:jc w:val="center"/>
        <w:tblLook w:firstColumn="1" w:firstRow="1" w:lastColumn="0" w:lastRow="0" w:noHBand="0" w:noVBand="1" w:val="04A0"/>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Pr>
      <w:tblGrid>
        <w:gridCol w:w="2323"/>
        <w:gridCol w:w="2323"/>
        <w:gridCol w:w="2323"/>
        <w:gridCol w:w="2323"/>
      </w:tblGrid>
      <w:tr>
        <w:tc>
          <w:tcPr>
            <w:tcW w:type="dxa" w:w="2323"/>
            <w:shd w:fill="2F5597"/>
            <w:vAlign w:val="center"/>
          </w:tcPr>
          <w:p>
            <w:pPr>
              <w:jc w:val="center"/>
            </w:pPr>
            <w:r/>
            <w:r>
              <w:rPr>
                <w:b/>
                <w:color w:val="FFFFFF"/>
                <w:sz w:val="18"/>
              </w:rPr>
              <w:t>實際\預測</w:t>
            </w:r>
          </w:p>
        </w:tc>
        <w:tc>
          <w:tcPr>
            <w:tcW w:type="dxa" w:w="2323"/>
            <w:shd w:fill="2F5597"/>
            <w:vAlign w:val="center"/>
          </w:tcPr>
          <w:p>
            <w:pPr>
              <w:jc w:val="center"/>
            </w:pPr>
            <w:r/>
            <w:r>
              <w:rPr>
                <w:b/>
                <w:color w:val="FFFFFF"/>
                <w:sz w:val="18"/>
              </w:rPr>
              <w:t>Predicted Lose</w:t>
            </w:r>
          </w:p>
        </w:tc>
        <w:tc>
          <w:tcPr>
            <w:tcW w:type="dxa" w:w="2323"/>
            <w:shd w:fill="2F5597"/>
            <w:vAlign w:val="center"/>
          </w:tcPr>
          <w:p>
            <w:pPr>
              <w:jc w:val="center"/>
            </w:pPr>
            <w:r/>
            <w:r>
              <w:rPr>
                <w:b/>
                <w:color w:val="FFFFFF"/>
                <w:sz w:val="18"/>
              </w:rPr>
              <w:t>Predicted Mixed</w:t>
            </w:r>
          </w:p>
        </w:tc>
        <w:tc>
          <w:tcPr>
            <w:tcW w:type="dxa" w:w="2323"/>
            <w:shd w:fill="2F5597"/>
            <w:vAlign w:val="center"/>
          </w:tcPr>
          <w:p>
            <w:pPr>
              <w:jc w:val="center"/>
            </w:pPr>
            <w:r/>
            <w:r>
              <w:rPr>
                <w:b/>
                <w:color w:val="FFFFFF"/>
                <w:sz w:val="18"/>
              </w:rPr>
              <w:t>Predicted Win</w:t>
            </w:r>
          </w:p>
        </w:tc>
      </w:tr>
      <w:tr>
        <w:tc>
          <w:tcPr>
            <w:tcW w:type="dxa" w:w="2323"/>
            <w:vAlign w:val="center"/>
          </w:tcPr>
          <w:p>
            <w:pPr>
              <w:jc w:val="center"/>
            </w:pPr>
            <w:r/>
            <w:r>
              <w:rPr>
                <w:b w:val="0"/>
                <w:sz w:val="18"/>
              </w:rPr>
              <w:t>Actual Lose</w:t>
            </w:r>
          </w:p>
        </w:tc>
        <w:tc>
          <w:tcPr>
            <w:tcW w:type="dxa" w:w="2323"/>
            <w:vAlign w:val="center"/>
          </w:tcPr>
          <w:p>
            <w:pPr>
              <w:jc w:val="center"/>
            </w:pPr>
            <w:r/>
            <w:r>
              <w:rPr>
                <w:b w:val="0"/>
                <w:sz w:val="18"/>
              </w:rPr>
              <w:t>121</w:t>
            </w:r>
          </w:p>
        </w:tc>
        <w:tc>
          <w:tcPr>
            <w:tcW w:type="dxa" w:w="2323"/>
            <w:vAlign w:val="center"/>
          </w:tcPr>
          <w:p>
            <w:pPr>
              <w:jc w:val="center"/>
            </w:pPr>
            <w:r/>
            <w:r>
              <w:rPr>
                <w:b w:val="0"/>
                <w:sz w:val="18"/>
              </w:rPr>
              <w:t>25</w:t>
            </w:r>
          </w:p>
        </w:tc>
        <w:tc>
          <w:tcPr>
            <w:tcW w:type="dxa" w:w="2323"/>
            <w:vAlign w:val="center"/>
          </w:tcPr>
          <w:p>
            <w:pPr>
              <w:jc w:val="center"/>
            </w:pPr>
            <w:r/>
            <w:r>
              <w:rPr>
                <w:b w:val="0"/>
                <w:sz w:val="18"/>
              </w:rPr>
              <w:t>0</w:t>
            </w:r>
          </w:p>
        </w:tc>
      </w:tr>
      <w:tr>
        <w:tc>
          <w:tcPr>
            <w:tcW w:type="dxa" w:w="2323"/>
            <w:vAlign w:val="center"/>
          </w:tcPr>
          <w:p>
            <w:pPr>
              <w:jc w:val="center"/>
            </w:pPr>
            <w:r/>
            <w:r>
              <w:rPr>
                <w:b w:val="0"/>
                <w:sz w:val="18"/>
              </w:rPr>
              <w:t>Actual Mixed</w:t>
            </w:r>
          </w:p>
        </w:tc>
        <w:tc>
          <w:tcPr>
            <w:tcW w:type="dxa" w:w="2323"/>
            <w:vAlign w:val="center"/>
          </w:tcPr>
          <w:p>
            <w:pPr>
              <w:jc w:val="center"/>
            </w:pPr>
            <w:r/>
            <w:r>
              <w:rPr>
                <w:b w:val="0"/>
                <w:sz w:val="18"/>
              </w:rPr>
              <w:t>22</w:t>
            </w:r>
          </w:p>
        </w:tc>
        <w:tc>
          <w:tcPr>
            <w:tcW w:type="dxa" w:w="2323"/>
            <w:vAlign w:val="center"/>
          </w:tcPr>
          <w:p>
            <w:pPr>
              <w:jc w:val="center"/>
            </w:pPr>
            <w:r/>
            <w:r>
              <w:rPr>
                <w:b w:val="0"/>
                <w:sz w:val="18"/>
              </w:rPr>
              <w:t>187</w:t>
            </w:r>
          </w:p>
        </w:tc>
        <w:tc>
          <w:tcPr>
            <w:tcW w:type="dxa" w:w="2323"/>
            <w:vAlign w:val="center"/>
          </w:tcPr>
          <w:p>
            <w:pPr>
              <w:jc w:val="center"/>
            </w:pPr>
            <w:r/>
            <w:r>
              <w:rPr>
                <w:b w:val="0"/>
                <w:sz w:val="18"/>
              </w:rPr>
              <w:t>1</w:t>
            </w:r>
          </w:p>
        </w:tc>
      </w:tr>
      <w:tr>
        <w:tc>
          <w:tcPr>
            <w:tcW w:type="dxa" w:w="2323"/>
            <w:vAlign w:val="center"/>
          </w:tcPr>
          <w:p>
            <w:pPr>
              <w:jc w:val="center"/>
            </w:pPr>
            <w:r/>
            <w:r>
              <w:rPr>
                <w:b w:val="0"/>
                <w:sz w:val="18"/>
              </w:rPr>
              <w:t>Actual Win</w:t>
            </w:r>
          </w:p>
        </w:tc>
        <w:tc>
          <w:tcPr>
            <w:tcW w:type="dxa" w:w="2323"/>
            <w:vAlign w:val="center"/>
          </w:tcPr>
          <w:p>
            <w:pPr>
              <w:jc w:val="center"/>
            </w:pPr>
            <w:r/>
            <w:r>
              <w:rPr>
                <w:b w:val="0"/>
                <w:sz w:val="18"/>
              </w:rPr>
              <w:t>1</w:t>
            </w:r>
          </w:p>
        </w:tc>
        <w:tc>
          <w:tcPr>
            <w:tcW w:type="dxa" w:w="2323"/>
            <w:vAlign w:val="center"/>
          </w:tcPr>
          <w:p>
            <w:pPr>
              <w:jc w:val="center"/>
            </w:pPr>
            <w:r/>
            <w:r>
              <w:rPr>
                <w:b w:val="0"/>
                <w:sz w:val="18"/>
              </w:rPr>
              <w:t>4</w:t>
            </w:r>
          </w:p>
        </w:tc>
        <w:tc>
          <w:tcPr>
            <w:tcW w:type="dxa" w:w="2323"/>
            <w:vAlign w:val="center"/>
          </w:tcPr>
          <w:p>
            <w:pPr>
              <w:jc w:val="center"/>
            </w:pPr>
            <w:r/>
            <w:r>
              <w:rPr>
                <w:b w:val="0"/>
                <w:sz w:val="18"/>
              </w:rPr>
              <w:t>1</w:t>
            </w:r>
          </w:p>
        </w:tc>
      </w:tr>
    </w:tbl>
    <w:p/>
    <w:p>
      <w:pPr>
        <w:pStyle w:val="Heading1"/>
      </w:pPr>
      <w:r>
        <w:rPr>
          <w:rFonts w:ascii="Calibri" w:hAnsi="Calibri" w:eastAsia="Microsoft JhengHei"/>
          <w:color w:val="1F4E79"/>
        </w:rPr>
        <w:t>第五章 討論</w:t>
      </w:r>
    </w:p>
    <w:p>
      <w:pPr>
        <w:pStyle w:val="Heading2"/>
      </w:pPr>
      <w:r>
        <w:rPr>
          <w:rFonts w:ascii="Calibri" w:hAnsi="Calibri" w:eastAsia="Microsoft JhengHei"/>
          <w:color w:val="1F4E79"/>
        </w:rPr>
        <w:t>5.1 主要發現</w:t>
      </w:r>
    </w:p>
    <w:p>
      <w:pPr>
        <w:spacing w:line="324" w:lineRule="auto" w:after="120"/>
        <w:ind w:firstLine="420"/>
      </w:pPr>
      <w:r>
        <w:rPr>
          <w:sz w:val="22"/>
          <w:rFonts w:eastAsia="Microsoft JhengHei"/>
        </w:rPr>
        <w:t>本研究主要發現為：第一，Direct SVM 在四類資料集均優於 MNIR+SVM 基準；第二，BoW、TF 與 TF-IDF 的最佳表現依案件類型而異；第三，Accuracy 受多數類別影響明顯，Macro F1 更能揭示少數類別分類困難。</w:t>
      </w:r>
    </w:p>
    <w:p>
      <w:pPr>
        <w:pStyle w:val="Heading2"/>
      </w:pPr>
      <w:r>
        <w:rPr>
          <w:rFonts w:ascii="Calibri" w:hAnsi="Calibri" w:eastAsia="Microsoft JhengHei"/>
          <w:color w:val="1F4E79"/>
        </w:rPr>
        <w:t>5.2 MNIR+SVM 作為基準之意義</w:t>
      </w:r>
    </w:p>
    <w:p>
      <w:pPr>
        <w:spacing w:line="324" w:lineRule="auto" w:after="120"/>
        <w:ind w:firstLine="420"/>
      </w:pPr>
      <w:r>
        <w:rPr>
          <w:sz w:val="22"/>
          <w:rFonts w:eastAsia="Microsoft JhengHei"/>
        </w:rPr>
        <w:t>MNIR+SVM 在本研究中作為基準流程，用以檢驗監督式特徵轉換是否能改善傳統文字特徵。實驗結果未支持此假設，可能原因包括法律文本中具有判別力的詞彙已可由稀疏特徵直接捕捉，MNIR 轉換反而壓縮或平滑了少數類別的重要訊息。</w:t>
      </w:r>
    </w:p>
    <w:p>
      <w:pPr>
        <w:pStyle w:val="Heading2"/>
      </w:pPr>
      <w:r>
        <w:rPr>
          <w:rFonts w:ascii="Calibri" w:hAnsi="Calibri" w:eastAsia="Microsoft JhengHei"/>
          <w:color w:val="1F4E79"/>
        </w:rPr>
        <w:t>5.3 研究限制</w:t>
      </w:r>
    </w:p>
    <w:p>
      <w:pPr>
        <w:spacing w:line="324" w:lineRule="auto" w:after="120"/>
        <w:ind w:firstLine="420"/>
      </w:pPr>
      <w:r>
        <w:rPr>
          <w:sz w:val="22"/>
          <w:rFonts w:eastAsia="Microsoft JhengHei"/>
        </w:rPr>
        <w:t>本研究仍受標籤規則品質、類別不平衡、缺乏外部驗證資料與尚未納入大型語言模型等限制。後續可進一步檢查標籤正確性、加入 class weighting 或 resampling，並比較法律語言模型與傳統稀疏特徵模型之差異。</w:t>
      </w:r>
    </w:p>
    <w:p>
      <w:pPr>
        <w:pStyle w:val="Heading1"/>
      </w:pPr>
      <w:r>
        <w:rPr>
          <w:rFonts w:ascii="Calibri" w:hAnsi="Calibri" w:eastAsia="Microsoft JhengHei"/>
          <w:color w:val="1F4E79"/>
        </w:rPr>
        <w:t>第六章 結論</w:t>
      </w:r>
    </w:p>
    <w:p>
      <w:pPr>
        <w:spacing w:line="324" w:lineRule="auto" w:after="120"/>
        <w:ind w:firstLine="420"/>
      </w:pPr>
      <w:r>
        <w:rPr>
          <w:sz w:val="22"/>
          <w:rFonts w:eastAsia="Microsoft JhengHei"/>
        </w:rPr>
        <w:t>本研究以智慧財產權判決書為對象，比較 BoW、TF、TF-IDF 三種特徵表示與 Direct SVM、MNIR+SVM 兩種流程。結果顯示，Direct SVM 在各資料集中均優於 MNIR+SVM，且最佳特徵表示依案件類型而異。此發現支持傳統稀疏文字表示在法律文本分類中仍具高度實用性，也提醒研究者在導入較複雜特徵轉換前，應建立嚴謹且獨立調參的 baseline。</w:t>
      </w:r>
    </w:p>
    <w:p>
      <w:pPr>
        <w:pStyle w:val="Heading1"/>
      </w:pPr>
      <w:r>
        <w:rPr>
          <w:rFonts w:ascii="Calibri" w:hAnsi="Calibri" w:eastAsia="Microsoft JhengHei"/>
          <w:color w:val="1F4E79"/>
        </w:rPr>
        <w:t>參考文獻與待補事項</w:t>
      </w:r>
    </w:p>
    <w:p>
      <w:pPr>
        <w:pStyle w:val="ListBullet"/>
      </w:pPr>
      <w:r>
        <w:t>補入法律文本分類與判決預測相關文獻。</w:t>
      </w:r>
    </w:p>
    <w:p>
      <w:pPr>
        <w:pStyle w:val="ListBullet"/>
      </w:pPr>
      <w:r>
        <w:t>補入 BoW、TF、TF-IDF、卡方特徵選擇與 SVM 相關文獻。</w:t>
      </w:r>
    </w:p>
    <w:p>
      <w:pPr>
        <w:pStyle w:val="ListBullet"/>
      </w:pPr>
      <w:r>
        <w:t>確認是否需要英文摘要、學校格式與正式章節編號。</w:t>
      </w:r>
    </w:p>
    <w:p>
      <w:pPr>
        <w:pStyle w:val="ListBullet"/>
      </w:pPr>
      <w:r>
        <w:t>決定是否將所有 24 組模型結果放入附錄。</w:t>
      </w:r>
    </w:p>
    <w:sectPr w:rsidR="00FC693F" w:rsidRPr="0006063C" w:rsidSect="00034616">
      <w:pgSz w:w="12240" w:h="15840"/>
      <w:pgMar w:top="1361" w:right="1474" w:bottom="124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Jheng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icrosoft JhengHe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icrosoft JhengHe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Microsoft JhengHe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