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1B15" w14:textId="1EB9FF69" w:rsidR="00523799" w:rsidRDefault="00523799">
      <w:pPr>
        <w:widowControl/>
        <w:rPr>
          <w:rFonts w:ascii="Times New Roman" w:eastAsia="標楷體" w:hAnsi="Times New Roman" w:cs="Times New Roman"/>
          <w:sz w:val="28"/>
          <w:szCs w:val="28"/>
        </w:rPr>
      </w:pPr>
      <w:r>
        <w:rPr>
          <w:rFonts w:ascii="Times New Roman" w:eastAsia="標楷體" w:hAnsi="Times New Roman" w:cs="Times New Roman" w:hint="eastAsia"/>
          <w:sz w:val="28"/>
          <w:szCs w:val="28"/>
        </w:rPr>
        <w:t>文字探勘預測台灣智慧財產權之判決</w:t>
      </w:r>
    </w:p>
    <w:p w14:paraId="34FEB48C" w14:textId="607A3257" w:rsidR="00523799" w:rsidRDefault="00523799">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1477D7CF" w14:textId="1EC2DF56" w:rsidR="008613E4" w:rsidRP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lastRenderedPageBreak/>
        <w:t>緒論</w:t>
      </w:r>
    </w:p>
    <w:p w14:paraId="1751C62D" w14:textId="6061946B" w:rsidR="008613E4" w:rsidRP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t>研究背景與動機</w:t>
      </w:r>
    </w:p>
    <w:p w14:paraId="315DC458" w14:textId="71816645" w:rsidR="00CD012C" w:rsidRPr="00AB44DB" w:rsidRDefault="0000210D" w:rsidP="00CD012C">
      <w:pPr>
        <w:widowControl/>
        <w:rPr>
          <w:rFonts w:ascii="Times New Roman" w:eastAsia="標楷體" w:hAnsi="Times New Roman" w:cs="Times New Roman"/>
          <w:sz w:val="28"/>
          <w:szCs w:val="28"/>
          <w:vertAlign w:val="superscript"/>
        </w:rPr>
      </w:pPr>
      <w:r w:rsidRPr="0000210D">
        <w:rPr>
          <w:rFonts w:ascii="Times New Roman" w:eastAsia="標楷體" w:hAnsi="Times New Roman" w:cs="Times New Roman" w:hint="eastAsia"/>
          <w:sz w:val="28"/>
          <w:szCs w:val="28"/>
        </w:rPr>
        <w:t>近年來，大數據（</w:t>
      </w:r>
      <w:r w:rsidRPr="0000210D">
        <w:rPr>
          <w:rFonts w:ascii="Times New Roman" w:eastAsia="標楷體" w:hAnsi="Times New Roman" w:cs="Times New Roman" w:hint="eastAsia"/>
          <w:sz w:val="28"/>
          <w:szCs w:val="28"/>
        </w:rPr>
        <w:t>Big Data</w:t>
      </w:r>
      <w:r w:rsidRPr="0000210D">
        <w:rPr>
          <w:rFonts w:ascii="Times New Roman" w:eastAsia="標楷體" w:hAnsi="Times New Roman" w:cs="Times New Roman" w:hint="eastAsia"/>
          <w:sz w:val="28"/>
          <w:szCs w:val="28"/>
        </w:rPr>
        <w:t>）與人工智慧（</w:t>
      </w:r>
      <w:r w:rsidRPr="0000210D">
        <w:rPr>
          <w:rFonts w:ascii="Times New Roman" w:eastAsia="標楷體" w:hAnsi="Times New Roman" w:cs="Times New Roman" w:hint="eastAsia"/>
          <w:sz w:val="28"/>
          <w:szCs w:val="28"/>
        </w:rPr>
        <w:t>Artificial Intelligence</w:t>
      </w:r>
      <w:r w:rsidRPr="0000210D">
        <w:rPr>
          <w:rFonts w:ascii="Times New Roman" w:eastAsia="標楷體" w:hAnsi="Times New Roman" w:cs="Times New Roman" w:hint="eastAsia"/>
          <w:sz w:val="28"/>
          <w:szCs w:val="28"/>
        </w:rPr>
        <w:t>）的浪潮席捲全球，不僅顛覆了傳統產業的運作模式，也為法學研究帶來了新的典範轉移。傳統法學研究多側重於法規範的內在邏輯與解釋（</w:t>
      </w:r>
      <w:r w:rsidRPr="0000210D">
        <w:rPr>
          <w:rFonts w:ascii="Times New Roman" w:eastAsia="標楷體" w:hAnsi="Times New Roman" w:cs="Times New Roman" w:hint="eastAsia"/>
          <w:sz w:val="28"/>
          <w:szCs w:val="28"/>
        </w:rPr>
        <w:t>Law in Books</w:t>
      </w:r>
      <w:r w:rsidRPr="0000210D">
        <w:rPr>
          <w:rFonts w:ascii="Times New Roman" w:eastAsia="標楷體" w:hAnsi="Times New Roman" w:cs="Times New Roman" w:hint="eastAsia"/>
          <w:sz w:val="28"/>
          <w:szCs w:val="28"/>
        </w:rPr>
        <w:t>），然而隨著法律經濟學與社會科學方法的導入，研究者開始關注「法律的實際運作」（</w:t>
      </w:r>
      <w:r w:rsidRPr="0000210D">
        <w:rPr>
          <w:rFonts w:ascii="Times New Roman" w:eastAsia="標楷體" w:hAnsi="Times New Roman" w:cs="Times New Roman" w:hint="eastAsia"/>
          <w:sz w:val="28"/>
          <w:szCs w:val="28"/>
        </w:rPr>
        <w:t>Law in Action</w:t>
      </w:r>
      <w:r w:rsidRPr="0000210D">
        <w:rPr>
          <w:rFonts w:ascii="Times New Roman" w:eastAsia="標楷體" w:hAnsi="Times New Roman" w:cs="Times New Roman" w:hint="eastAsia"/>
          <w:sz w:val="28"/>
          <w:szCs w:val="28"/>
        </w:rPr>
        <w:t>），即所謂的「法律實證研究」（</w:t>
      </w:r>
      <w:r w:rsidRPr="0000210D">
        <w:rPr>
          <w:rFonts w:ascii="Times New Roman" w:eastAsia="標楷體" w:hAnsi="Times New Roman" w:cs="Times New Roman" w:hint="eastAsia"/>
          <w:sz w:val="28"/>
          <w:szCs w:val="28"/>
        </w:rPr>
        <w:t>Empirical Legal Studies, ELS</w:t>
      </w:r>
      <w:r>
        <w:rPr>
          <w:rFonts w:hint="eastAsia"/>
        </w:rPr>
        <w:t>）</w:t>
      </w:r>
      <w:r w:rsidR="00CD012C" w:rsidRPr="00CD012C">
        <w:rPr>
          <w:rFonts w:ascii="Times New Roman" w:eastAsia="標楷體" w:hAnsi="Times New Roman" w:cs="Times New Roman" w:hint="eastAsia"/>
          <w:sz w:val="28"/>
          <w:szCs w:val="28"/>
        </w:rPr>
        <w:t>。</w:t>
      </w:r>
    </w:p>
    <w:p w14:paraId="75422A79" w14:textId="77777777" w:rsidR="00CD012C" w:rsidRPr="0000210D" w:rsidRDefault="00CD012C" w:rsidP="00CD012C">
      <w:pPr>
        <w:widowControl/>
        <w:rPr>
          <w:rFonts w:ascii="Times New Roman" w:eastAsia="標楷體" w:hAnsi="Times New Roman" w:cs="Times New Roman"/>
          <w:sz w:val="28"/>
          <w:szCs w:val="28"/>
        </w:rPr>
      </w:pPr>
    </w:p>
    <w:p w14:paraId="0664613E" w14:textId="1692FA91" w:rsidR="00CD012C" w:rsidRPr="004E7D6C" w:rsidRDefault="00EE558B" w:rsidP="004E7D6C">
      <w:pPr>
        <w:rPr>
          <w:rFonts w:ascii="Times New Roman" w:eastAsia="標楷體" w:hAnsi="Times New Roman" w:cs="Times New Roman"/>
          <w:sz w:val="28"/>
          <w:szCs w:val="28"/>
        </w:rPr>
      </w:pPr>
      <w:r w:rsidRPr="007730BA">
        <w:rPr>
          <w:rFonts w:ascii="Times New Roman" w:eastAsia="標楷體" w:hAnsi="Times New Roman" w:cs="Times New Roman" w:hint="eastAsia"/>
          <w:sz w:val="28"/>
          <w:szCs w:val="28"/>
        </w:rPr>
        <w:t>臺灣司法體系在資料透明與開放方面具備制度性優勢。司法院公開之「裁判書查詢系統」提供完整判決全文資料，屬於高度資訊密集之非結構化文本資料。該資料庫涵蓋案件事實認定、法律適用與裁判理由等核心內容，且可供研究者免費取得與批次下載，為法學實證研究與法律文本分析奠定了重要且穩固的資料基礎</w:t>
      </w:r>
      <w:r w:rsidR="00AB44DB" w:rsidRPr="007730BA">
        <w:rPr>
          <w:rFonts w:ascii="Times New Roman" w:eastAsia="標楷體" w:hAnsi="Times New Roman" w:cs="Times New Roman" w:hint="eastAsia"/>
          <w:sz w:val="28"/>
          <w:szCs w:val="28"/>
          <w:vertAlign w:val="superscript"/>
        </w:rPr>
        <w:t>1</w:t>
      </w:r>
      <w:r w:rsidR="00CD012C" w:rsidRPr="007730BA">
        <w:rPr>
          <w:rFonts w:ascii="Times New Roman" w:eastAsia="標楷體" w:hAnsi="Times New Roman" w:cs="Times New Roman" w:hint="eastAsia"/>
          <w:sz w:val="28"/>
          <w:szCs w:val="28"/>
        </w:rPr>
        <w:t>。</w:t>
      </w:r>
      <w:r w:rsidR="004E7D6C" w:rsidRPr="007730BA">
        <w:rPr>
          <w:rFonts w:ascii="Times New Roman" w:eastAsia="標楷體" w:hAnsi="Times New Roman" w:cs="Times New Roman" w:hint="eastAsia"/>
          <w:sz w:val="28"/>
          <w:szCs w:val="28"/>
        </w:rPr>
        <w:t>然而，如何有效處理這些充滿專業術語、複雜論證邏輯且具備「編碼化語意」（</w:t>
      </w:r>
      <w:r w:rsidR="004E7D6C" w:rsidRPr="007730BA">
        <w:rPr>
          <w:rFonts w:ascii="Times New Roman" w:eastAsia="標楷體" w:hAnsi="Times New Roman" w:cs="Times New Roman" w:hint="eastAsia"/>
          <w:sz w:val="28"/>
          <w:szCs w:val="28"/>
        </w:rPr>
        <w:t>Coded Language</w:t>
      </w:r>
      <w:r w:rsidR="004E7D6C" w:rsidRPr="007730BA">
        <w:rPr>
          <w:rFonts w:ascii="Times New Roman" w:eastAsia="標楷體" w:hAnsi="Times New Roman" w:cs="Times New Roman" w:hint="eastAsia"/>
          <w:sz w:val="28"/>
          <w:szCs w:val="28"/>
        </w:rPr>
        <w:t>）的法律文書，已成為法律科技（</w:t>
      </w:r>
      <w:r w:rsidR="004E7D6C" w:rsidRPr="007730BA">
        <w:rPr>
          <w:rFonts w:ascii="Times New Roman" w:eastAsia="標楷體" w:hAnsi="Times New Roman" w:cs="Times New Roman" w:hint="eastAsia"/>
          <w:sz w:val="28"/>
          <w:szCs w:val="28"/>
        </w:rPr>
        <w:t>LegalTech</w:t>
      </w:r>
      <w:r w:rsidR="004E7D6C" w:rsidRPr="007730BA">
        <w:rPr>
          <w:rFonts w:ascii="Times New Roman" w:eastAsia="標楷體" w:hAnsi="Times New Roman" w:cs="Times New Roman" w:hint="eastAsia"/>
          <w:sz w:val="28"/>
          <w:szCs w:val="28"/>
        </w:rPr>
        <w:t>）領域待跨越的技術鴻溝。</w:t>
      </w:r>
    </w:p>
    <w:p w14:paraId="53F32F9C" w14:textId="77777777" w:rsidR="00CD012C" w:rsidRPr="004E7D6C" w:rsidRDefault="00CD012C" w:rsidP="00CD012C">
      <w:pPr>
        <w:widowControl/>
        <w:rPr>
          <w:rFonts w:ascii="Times New Roman" w:eastAsia="標楷體" w:hAnsi="Times New Roman" w:cs="Times New Roman"/>
          <w:sz w:val="28"/>
          <w:szCs w:val="28"/>
        </w:rPr>
      </w:pPr>
    </w:p>
    <w:p w14:paraId="5D8E007E" w14:textId="4B8DD2CC" w:rsidR="00CD012C" w:rsidRPr="00483EF1" w:rsidRDefault="007730BA" w:rsidP="00CD012C">
      <w:pPr>
        <w:widowControl/>
        <w:rPr>
          <w:rFonts w:ascii="Times New Roman" w:eastAsia="標楷體" w:hAnsi="Times New Roman" w:cs="Times New Roman"/>
          <w:sz w:val="28"/>
          <w:szCs w:val="28"/>
        </w:rPr>
      </w:pPr>
      <w:r w:rsidRPr="00483EF1">
        <w:rPr>
          <w:rFonts w:ascii="Times New Roman" w:eastAsia="標楷體" w:hAnsi="Times New Roman" w:cs="Times New Roman" w:hint="eastAsia"/>
          <w:sz w:val="28"/>
          <w:szCs w:val="28"/>
        </w:rPr>
        <w:t>在智慧財產權（</w:t>
      </w:r>
      <w:r w:rsidRPr="00483EF1">
        <w:rPr>
          <w:rFonts w:ascii="Times New Roman" w:eastAsia="標楷體" w:hAnsi="Times New Roman" w:cs="Times New Roman" w:hint="eastAsia"/>
          <w:sz w:val="28"/>
          <w:szCs w:val="28"/>
        </w:rPr>
        <w:t>IP</w:t>
      </w:r>
      <w:r w:rsidRPr="00483EF1">
        <w:rPr>
          <w:rFonts w:ascii="Times New Roman" w:eastAsia="標楷體" w:hAnsi="Times New Roman" w:cs="Times New Roman" w:hint="eastAsia"/>
          <w:sz w:val="28"/>
          <w:szCs w:val="28"/>
        </w:rPr>
        <w:t>）案件中，判決預測的挑戰主要來自於「法律解釋」與「事實邏輯」兩個層次的技術門檻。首先，在法律解釋層面，專利侵權判定涉及「文義侵害」與「均等論」（</w:t>
      </w:r>
      <w:r w:rsidRPr="00483EF1">
        <w:rPr>
          <w:rFonts w:ascii="Times New Roman" w:eastAsia="標楷體" w:hAnsi="Times New Roman" w:cs="Times New Roman" w:hint="eastAsia"/>
          <w:sz w:val="28"/>
          <w:szCs w:val="28"/>
        </w:rPr>
        <w:t>Doctrine of Equivalents</w:t>
      </w:r>
      <w:r w:rsidRPr="00483EF1">
        <w:rPr>
          <w:rFonts w:ascii="Times New Roman" w:eastAsia="標楷體" w:hAnsi="Times New Roman" w:cs="Times New Roman" w:hint="eastAsia"/>
          <w:sz w:val="28"/>
          <w:szCs w:val="28"/>
        </w:rPr>
        <w:t>）的辨析。均等論雖為專利權保護的最後防線，但因其允許專利權範圍擴張至文義之外，導致其在解釋上與專利制度核心的「公示作用」（</w:t>
      </w:r>
      <w:r w:rsidRPr="00483EF1">
        <w:rPr>
          <w:rFonts w:ascii="Times New Roman" w:eastAsia="標楷體" w:hAnsi="Times New Roman" w:cs="Times New Roman" w:hint="eastAsia"/>
          <w:sz w:val="28"/>
          <w:szCs w:val="28"/>
        </w:rPr>
        <w:t>Public Notice</w:t>
      </w:r>
      <w:r w:rsidRPr="00483EF1">
        <w:rPr>
          <w:rFonts w:ascii="Times New Roman" w:eastAsia="標楷體" w:hAnsi="Times New Roman" w:cs="Times New Roman" w:hint="eastAsia"/>
          <w:sz w:val="28"/>
          <w:szCs w:val="28"/>
        </w:rPr>
        <w:t>）存在內在衝突。這種衝突使得均等論在司法實務中的界限變得模糊，充滿高度不確定性，甚至被公認為專利法原則中「最困難且最不可預測」的部</w:t>
      </w:r>
      <w:r w:rsidRPr="00483EF1">
        <w:rPr>
          <w:rFonts w:ascii="Times New Roman" w:eastAsia="標楷體" w:hAnsi="Times New Roman" w:cs="Times New Roman" w:hint="eastAsia"/>
          <w:sz w:val="28"/>
          <w:szCs w:val="28"/>
        </w:rPr>
        <w:lastRenderedPageBreak/>
        <w:t>分。由於法律要件具備極大的裁量彈性，單純的關鍵字檢索往往難以判定法院的真實取徑</w:t>
      </w:r>
      <w:r w:rsidR="00483EF1">
        <w:rPr>
          <w:rFonts w:ascii="Times New Roman" w:eastAsia="標楷體" w:hAnsi="Times New Roman" w:cs="Times New Roman" w:hint="eastAsia"/>
          <w:sz w:val="28"/>
          <w:szCs w:val="28"/>
          <w:vertAlign w:val="superscript"/>
        </w:rPr>
        <w:t>2</w:t>
      </w:r>
      <w:r w:rsidRPr="00483EF1">
        <w:rPr>
          <w:rFonts w:ascii="Times New Roman" w:eastAsia="標楷體" w:hAnsi="Times New Roman" w:cs="Times New Roman" w:hint="eastAsia"/>
          <w:sz w:val="28"/>
          <w:szCs w:val="28"/>
        </w:rPr>
        <w:t>。</w:t>
      </w:r>
    </w:p>
    <w:p w14:paraId="15A846CD" w14:textId="77777777" w:rsidR="007730BA" w:rsidRPr="00CD012C" w:rsidRDefault="007730BA" w:rsidP="00CD012C">
      <w:pPr>
        <w:widowControl/>
        <w:rPr>
          <w:rFonts w:ascii="Times New Roman" w:eastAsia="標楷體" w:hAnsi="Times New Roman" w:cs="Times New Roman"/>
          <w:sz w:val="28"/>
          <w:szCs w:val="28"/>
        </w:rPr>
      </w:pPr>
    </w:p>
    <w:p w14:paraId="7724999C" w14:textId="44F308EE" w:rsidR="00CD012C" w:rsidRDefault="00AF1944" w:rsidP="00CD012C">
      <w:pPr>
        <w:widowControl/>
        <w:rPr>
          <w:rFonts w:ascii="Times New Roman" w:eastAsia="標楷體" w:hAnsi="Times New Roman" w:cs="Times New Roman"/>
          <w:sz w:val="28"/>
          <w:szCs w:val="28"/>
        </w:rPr>
      </w:pPr>
      <w:r w:rsidRPr="00C5051C">
        <w:rPr>
          <w:rFonts w:ascii="Times New Roman" w:eastAsia="標楷體" w:hAnsi="Times New Roman" w:cs="Times New Roman" w:hint="eastAsia"/>
          <w:sz w:val="28"/>
          <w:szCs w:val="28"/>
        </w:rPr>
        <w:t>其次，在新興技術領域（如金融科技），事實認定的邏輯複雜度進一步提升。以智慧財產法院</w:t>
      </w:r>
      <w:r w:rsidRPr="00C5051C">
        <w:rPr>
          <w:rFonts w:ascii="Times New Roman" w:eastAsia="標楷體" w:hAnsi="Times New Roman" w:cs="Times New Roman" w:hint="eastAsia"/>
          <w:sz w:val="28"/>
          <w:szCs w:val="28"/>
        </w:rPr>
        <w:t xml:space="preserve"> 108 </w:t>
      </w:r>
      <w:r w:rsidRPr="00C5051C">
        <w:rPr>
          <w:rFonts w:ascii="Times New Roman" w:eastAsia="標楷體" w:hAnsi="Times New Roman" w:cs="Times New Roman" w:hint="eastAsia"/>
          <w:sz w:val="28"/>
          <w:szCs w:val="28"/>
        </w:rPr>
        <w:t>年民專訴字第</w:t>
      </w:r>
      <w:r w:rsidRPr="00C5051C">
        <w:rPr>
          <w:rFonts w:ascii="Times New Roman" w:eastAsia="標楷體" w:hAnsi="Times New Roman" w:cs="Times New Roman" w:hint="eastAsia"/>
          <w:sz w:val="28"/>
          <w:szCs w:val="28"/>
        </w:rPr>
        <w:t xml:space="preserve"> 59 </w:t>
      </w:r>
      <w:r w:rsidRPr="00C5051C">
        <w:rPr>
          <w:rFonts w:ascii="Times New Roman" w:eastAsia="標楷體" w:hAnsi="Times New Roman" w:cs="Times New Roman" w:hint="eastAsia"/>
          <w:sz w:val="28"/>
          <w:szCs w:val="28"/>
        </w:rPr>
        <w:t>號民事判決為例，該案涉及「行動支付方法」，其核心爭點在於「複數執行者」情境下的侵權界定。當一個專利方法步驟分別由商店端、消費者端及銀行伺服器端共同執行時，法官必須在文本中詳細論證各方行為與損害結果間的「相當因果關係」（</w:t>
      </w:r>
      <w:r w:rsidRPr="00C5051C">
        <w:rPr>
          <w:rFonts w:ascii="Times New Roman" w:eastAsia="標楷體" w:hAnsi="Times New Roman" w:cs="Times New Roman" w:hint="eastAsia"/>
          <w:sz w:val="28"/>
          <w:szCs w:val="28"/>
        </w:rPr>
        <w:t>Adequate Causality</w:t>
      </w:r>
      <w:r w:rsidRPr="00C5051C">
        <w:rPr>
          <w:rFonts w:ascii="Times New Roman" w:eastAsia="標楷體" w:hAnsi="Times New Roman" w:cs="Times New Roman" w:hint="eastAsia"/>
          <w:sz w:val="28"/>
          <w:szCs w:val="28"/>
        </w:rPr>
        <w:t>）</w:t>
      </w:r>
      <w:r w:rsidR="00483EF1" w:rsidRPr="00C5051C">
        <w:rPr>
          <w:rFonts w:ascii="Times New Roman" w:eastAsia="標楷體" w:hAnsi="Times New Roman" w:cs="Times New Roman" w:hint="eastAsia"/>
          <w:sz w:val="28"/>
          <w:szCs w:val="28"/>
          <w:vertAlign w:val="superscript"/>
        </w:rPr>
        <w:t>3</w:t>
      </w:r>
      <w:r w:rsidRPr="00C5051C">
        <w:rPr>
          <w:rFonts w:ascii="Times New Roman" w:eastAsia="標楷體" w:hAnsi="Times New Roman" w:cs="Times New Roman" w:hint="eastAsia"/>
          <w:sz w:val="28"/>
          <w:szCs w:val="28"/>
        </w:rPr>
        <w:t>。這種涉及多方主體、多重條件判斷的論理結構，反映了智慧財產權判決文本具備極高的邏輯維度，這正是傳統基於詞頻統計的工具難以精準捕捉，而必須導入具備上下文語意理解能力的深度學習模型進行處理的核心原因</w:t>
      </w:r>
      <w:r w:rsidR="00483EF1" w:rsidRPr="00C5051C">
        <w:rPr>
          <w:rFonts w:ascii="Times New Roman" w:eastAsia="標楷體" w:hAnsi="Times New Roman" w:cs="Times New Roman" w:hint="eastAsia"/>
          <w:sz w:val="28"/>
          <w:szCs w:val="28"/>
        </w:rPr>
        <w:t>。</w:t>
      </w:r>
    </w:p>
    <w:p w14:paraId="35602AC9" w14:textId="77777777" w:rsidR="00483EF1" w:rsidRPr="00CD012C" w:rsidRDefault="00483EF1" w:rsidP="00CD012C">
      <w:pPr>
        <w:widowControl/>
        <w:rPr>
          <w:rFonts w:ascii="Times New Roman" w:eastAsia="標楷體" w:hAnsi="Times New Roman" w:cs="Times New Roman"/>
          <w:sz w:val="28"/>
          <w:szCs w:val="28"/>
        </w:rPr>
      </w:pPr>
    </w:p>
    <w:p w14:paraId="1131B3EC" w14:textId="3D11BD9D" w:rsidR="00CD012C" w:rsidRPr="00CD012C" w:rsidRDefault="00F002F7" w:rsidP="00CD012C">
      <w:pPr>
        <w:widowControl/>
        <w:rPr>
          <w:rFonts w:ascii="Times New Roman" w:eastAsia="標楷體" w:hAnsi="Times New Roman" w:cs="Times New Roman"/>
          <w:sz w:val="28"/>
          <w:szCs w:val="28"/>
        </w:rPr>
      </w:pPr>
      <w:r w:rsidRPr="00F002F7">
        <w:rPr>
          <w:rFonts w:ascii="Times New Roman" w:eastAsia="標楷體" w:hAnsi="Times New Roman" w:cs="Times New Roman" w:hint="eastAsia"/>
          <w:sz w:val="28"/>
          <w:szCs w:val="28"/>
        </w:rPr>
        <w:t>此外，台灣智慧財產法院的實務數據顯示，專利權人之勝訴率長期處於低位。根據實務數據觀察，民事一審原告勝率在</w:t>
      </w:r>
      <w:r w:rsidRPr="00F002F7">
        <w:rPr>
          <w:rFonts w:ascii="Times New Roman" w:eastAsia="標楷體" w:hAnsi="Times New Roman" w:cs="Times New Roman" w:hint="eastAsia"/>
          <w:sz w:val="28"/>
          <w:szCs w:val="28"/>
        </w:rPr>
        <w:t xml:space="preserve"> 2019 </w:t>
      </w:r>
      <w:r w:rsidRPr="00F002F7">
        <w:rPr>
          <w:rFonts w:ascii="Times New Roman" w:eastAsia="標楷體" w:hAnsi="Times New Roman" w:cs="Times New Roman" w:hint="eastAsia"/>
          <w:sz w:val="28"/>
          <w:szCs w:val="28"/>
        </w:rPr>
        <w:t>年創下</w:t>
      </w:r>
      <w:r w:rsidRPr="00F002F7">
        <w:rPr>
          <w:rFonts w:ascii="Times New Roman" w:eastAsia="標楷體" w:hAnsi="Times New Roman" w:cs="Times New Roman" w:hint="eastAsia"/>
          <w:sz w:val="28"/>
          <w:szCs w:val="28"/>
        </w:rPr>
        <w:t xml:space="preserve"> 18.3% </w:t>
      </w:r>
      <w:r w:rsidRPr="00F002F7">
        <w:rPr>
          <w:rFonts w:ascii="Times New Roman" w:eastAsia="標楷體" w:hAnsi="Times New Roman" w:cs="Times New Roman" w:hint="eastAsia"/>
          <w:sz w:val="28"/>
          <w:szCs w:val="28"/>
        </w:rPr>
        <w:t>的低點，其中專利權案件的勝率更是逐年下探，</w:t>
      </w:r>
      <w:r w:rsidRPr="00F002F7">
        <w:rPr>
          <w:rFonts w:ascii="Times New Roman" w:eastAsia="標楷體" w:hAnsi="Times New Roman" w:cs="Times New Roman" w:hint="eastAsia"/>
          <w:sz w:val="28"/>
          <w:szCs w:val="28"/>
        </w:rPr>
        <w:t xml:space="preserve">2019 </w:t>
      </w:r>
      <w:r w:rsidRPr="00F002F7">
        <w:rPr>
          <w:rFonts w:ascii="Times New Roman" w:eastAsia="標楷體" w:hAnsi="Times New Roman" w:cs="Times New Roman" w:hint="eastAsia"/>
          <w:sz w:val="28"/>
          <w:szCs w:val="28"/>
        </w:rPr>
        <w:t>年僅約</w:t>
      </w:r>
      <w:r w:rsidRPr="00F002F7">
        <w:rPr>
          <w:rFonts w:ascii="Times New Roman" w:eastAsia="標楷體" w:hAnsi="Times New Roman" w:cs="Times New Roman" w:hint="eastAsia"/>
          <w:sz w:val="28"/>
          <w:szCs w:val="28"/>
        </w:rPr>
        <w:t xml:space="preserve"> 6.4%</w:t>
      </w:r>
      <w:r w:rsidR="00C5051C">
        <w:rPr>
          <w:rFonts w:ascii="Times New Roman" w:eastAsia="標楷體" w:hAnsi="Times New Roman" w:cs="Times New Roman" w:hint="eastAsia"/>
          <w:sz w:val="28"/>
          <w:szCs w:val="28"/>
          <w:vertAlign w:val="superscript"/>
        </w:rPr>
        <w:t>4</w:t>
      </w:r>
      <w:r w:rsidRPr="00F002F7">
        <w:rPr>
          <w:rFonts w:ascii="Times New Roman" w:eastAsia="標楷體" w:hAnsi="Times New Roman" w:cs="Times New Roman" w:hint="eastAsia"/>
          <w:sz w:val="28"/>
          <w:szCs w:val="28"/>
        </w:rPr>
        <w:t>。這種極端的「類別不平衡」（</w:t>
      </w:r>
      <w:r w:rsidRPr="00F002F7">
        <w:rPr>
          <w:rFonts w:ascii="Times New Roman" w:eastAsia="標楷體" w:hAnsi="Times New Roman" w:cs="Times New Roman" w:hint="eastAsia"/>
          <w:sz w:val="28"/>
          <w:szCs w:val="28"/>
        </w:rPr>
        <w:t>Class Imbalance</w:t>
      </w:r>
      <w:r w:rsidRPr="00F002F7">
        <w:rPr>
          <w:rFonts w:ascii="Times New Roman" w:eastAsia="標楷體" w:hAnsi="Times New Roman" w:cs="Times New Roman" w:hint="eastAsia"/>
          <w:sz w:val="28"/>
          <w:szCs w:val="28"/>
        </w:rPr>
        <w:t>）現象，意味著模型極易傾向預測多數類別（敗訴）以換取虛假的高準確率</w:t>
      </w:r>
      <w:r w:rsidR="00C5051C">
        <w:rPr>
          <w:rFonts w:ascii="Times New Roman" w:eastAsia="標楷體" w:hAnsi="Times New Roman" w:cs="Times New Roman" w:hint="eastAsia"/>
          <w:sz w:val="28"/>
          <w:szCs w:val="28"/>
          <w:vertAlign w:val="superscript"/>
        </w:rPr>
        <w:t>5</w:t>
      </w:r>
      <w:r w:rsidRPr="00F002F7">
        <w:rPr>
          <w:rFonts w:ascii="Times New Roman" w:eastAsia="標楷體" w:hAnsi="Times New Roman" w:cs="Times New Roman" w:hint="eastAsia"/>
          <w:sz w:val="28"/>
          <w:szCs w:val="28"/>
        </w:rPr>
        <w:t>。因此，開發具備高精確率的預測模型，協助律師評估訴訟籌碼、企業配置研發資源具備極高的實務意義。本研究旨在透過導入深度學習架構，針對智</w:t>
      </w:r>
      <w:r w:rsidR="00C5051C">
        <w:rPr>
          <w:rFonts w:ascii="Times New Roman" w:eastAsia="標楷體" w:hAnsi="Times New Roman" w:cs="Times New Roman" w:hint="eastAsia"/>
          <w:sz w:val="28"/>
          <w:szCs w:val="28"/>
        </w:rPr>
        <w:t>慧</w:t>
      </w:r>
      <w:r w:rsidRPr="00F002F7">
        <w:rPr>
          <w:rFonts w:ascii="Times New Roman" w:eastAsia="標楷體" w:hAnsi="Times New Roman" w:cs="Times New Roman" w:hint="eastAsia"/>
          <w:sz w:val="28"/>
          <w:szCs w:val="28"/>
        </w:rPr>
        <w:t>財</w:t>
      </w:r>
      <w:r w:rsidR="00C5051C">
        <w:rPr>
          <w:rFonts w:ascii="Times New Roman" w:eastAsia="標楷體" w:hAnsi="Times New Roman" w:cs="Times New Roman" w:hint="eastAsia"/>
          <w:sz w:val="28"/>
          <w:szCs w:val="28"/>
        </w:rPr>
        <w:t>產</w:t>
      </w:r>
      <w:r w:rsidRPr="00F002F7">
        <w:rPr>
          <w:rFonts w:ascii="Times New Roman" w:eastAsia="標楷體" w:hAnsi="Times New Roman" w:cs="Times New Roman" w:hint="eastAsia"/>
          <w:sz w:val="28"/>
          <w:szCs w:val="28"/>
        </w:rPr>
        <w:t>判決之長文本進行特徵提取，試圖建立一套能處理高度專業化司法數據的預測範式。</w:t>
      </w:r>
    </w:p>
    <w:p w14:paraId="1B17D7AF" w14:textId="3B4BD377" w:rsidR="008613E4" w:rsidRPr="008613E4" w:rsidRDefault="00CD012C" w:rsidP="000232AA">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639A28B0" w14:textId="0F55A7AE" w:rsid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lastRenderedPageBreak/>
        <w:t>研究目的</w:t>
      </w:r>
    </w:p>
    <w:p w14:paraId="7A9451DA" w14:textId="77777777" w:rsidR="004E796F" w:rsidRPr="00C7356B" w:rsidRDefault="004E796F" w:rsidP="004E796F">
      <w:pPr>
        <w:widowControl/>
        <w:rPr>
          <w:rFonts w:ascii="Times New Roman" w:eastAsia="標楷體" w:hAnsi="Times New Roman" w:cs="Times New Roman"/>
          <w:color w:val="EE0000"/>
          <w:sz w:val="28"/>
          <w:szCs w:val="28"/>
        </w:rPr>
      </w:pPr>
      <w:r w:rsidRPr="00C7356B">
        <w:rPr>
          <w:rFonts w:ascii="Times New Roman" w:eastAsia="標楷體" w:hAnsi="Times New Roman" w:cs="Times New Roman" w:hint="eastAsia"/>
          <w:color w:val="EE0000"/>
          <w:sz w:val="28"/>
          <w:szCs w:val="28"/>
        </w:rPr>
        <w:t>基於前述的研究背景與動機，本論文旨在達成以下三項具體的研究目的：</w:t>
      </w:r>
    </w:p>
    <w:p w14:paraId="27151088" w14:textId="30F66E7D" w:rsidR="004E796F" w:rsidRPr="00C7356B" w:rsidRDefault="004E796F" w:rsidP="004E796F">
      <w:pPr>
        <w:pStyle w:val="a9"/>
        <w:widowControl/>
        <w:numPr>
          <w:ilvl w:val="0"/>
          <w:numId w:val="11"/>
        </w:numPr>
        <w:rPr>
          <w:rFonts w:ascii="Times New Roman" w:eastAsia="標楷體" w:hAnsi="Times New Roman" w:cs="Times New Roman"/>
          <w:color w:val="EE0000"/>
          <w:sz w:val="28"/>
          <w:szCs w:val="28"/>
        </w:rPr>
      </w:pPr>
      <w:r w:rsidRPr="00C7356B">
        <w:rPr>
          <w:rFonts w:ascii="Times New Roman" w:eastAsia="標楷體" w:hAnsi="Times New Roman" w:cs="Times New Roman" w:hint="eastAsia"/>
          <w:b/>
          <w:bCs/>
          <w:color w:val="EE0000"/>
          <w:sz w:val="28"/>
          <w:szCs w:val="28"/>
        </w:rPr>
        <w:t>探索並建立標準化法律文本處理流程</w:t>
      </w:r>
      <w:r w:rsidRPr="00C7356B">
        <w:rPr>
          <w:rFonts w:ascii="Times New Roman" w:eastAsia="標楷體" w:hAnsi="Times New Roman" w:cs="Times New Roman" w:hint="eastAsia"/>
          <w:color w:val="EE0000"/>
          <w:sz w:val="28"/>
          <w:szCs w:val="28"/>
        </w:rPr>
        <w:t>：本研究的首要目標在於建立一套適用於台灣智慧財產權判決書的文字探勘與機器學習處理流程。透過整合具備深度語意理解能力的斷詞技術，克服法律術語之辨識障礙，並為後續量化法律研究提供一套可複製且具備擴展性的分析框架</w:t>
      </w:r>
      <w:r w:rsidRPr="00C7356B">
        <w:rPr>
          <w:rFonts w:ascii="Times New Roman" w:eastAsia="標楷體" w:hAnsi="Times New Roman" w:cs="Times New Roman" w:hint="eastAsia"/>
          <w:color w:val="EE0000"/>
          <w:sz w:val="28"/>
          <w:szCs w:val="28"/>
          <w:vertAlign w:val="superscript"/>
        </w:rPr>
        <w:t>6</w:t>
      </w:r>
      <w:r w:rsidRPr="00C7356B">
        <w:rPr>
          <w:rFonts w:ascii="Times New Roman" w:eastAsia="標楷體" w:hAnsi="Times New Roman" w:cs="Times New Roman" w:hint="eastAsia"/>
          <w:color w:val="EE0000"/>
          <w:sz w:val="28"/>
          <w:szCs w:val="28"/>
        </w:rPr>
        <w:t>。</w:t>
      </w:r>
    </w:p>
    <w:p w14:paraId="6E280074" w14:textId="5A40E263" w:rsidR="004E796F" w:rsidRPr="00C7356B" w:rsidRDefault="004E796F" w:rsidP="004E796F">
      <w:pPr>
        <w:pStyle w:val="a9"/>
        <w:widowControl/>
        <w:numPr>
          <w:ilvl w:val="0"/>
          <w:numId w:val="11"/>
        </w:numPr>
        <w:rPr>
          <w:rFonts w:ascii="Times New Roman" w:eastAsia="標楷體" w:hAnsi="Times New Roman" w:cs="Times New Roman"/>
          <w:color w:val="EE0000"/>
          <w:sz w:val="28"/>
          <w:szCs w:val="28"/>
        </w:rPr>
      </w:pPr>
      <w:r w:rsidRPr="00C7356B">
        <w:rPr>
          <w:rFonts w:ascii="Times New Roman" w:eastAsia="標楷體" w:hAnsi="Times New Roman" w:cs="Times New Roman" w:hint="eastAsia"/>
          <w:b/>
          <w:bCs/>
          <w:color w:val="EE0000"/>
          <w:sz w:val="28"/>
          <w:szCs w:val="28"/>
        </w:rPr>
        <w:t>開發具備高精確率之多類別裁判結果預測模型</w:t>
      </w:r>
      <w:r w:rsidRPr="00C7356B">
        <w:rPr>
          <w:rFonts w:ascii="Times New Roman" w:eastAsia="標楷體" w:hAnsi="Times New Roman" w:cs="Times New Roman" w:hint="eastAsia"/>
          <w:color w:val="EE0000"/>
          <w:sz w:val="28"/>
          <w:szCs w:val="28"/>
        </w:rPr>
        <w:t>：運用監督式機器學習演算法，開發能根據判決書內文特徵預測「</w:t>
      </w:r>
      <w:r w:rsidR="00455108">
        <w:rPr>
          <w:rFonts w:ascii="Times New Roman" w:eastAsia="標楷體" w:hAnsi="Times New Roman" w:cs="Times New Roman" w:hint="eastAsia"/>
          <w:color w:val="EE0000"/>
          <w:sz w:val="28"/>
          <w:szCs w:val="28"/>
        </w:rPr>
        <w:t>勝訴</w:t>
      </w:r>
      <w:r w:rsidRPr="00C7356B">
        <w:rPr>
          <w:rFonts w:ascii="Times New Roman" w:eastAsia="標楷體" w:hAnsi="Times New Roman" w:cs="Times New Roman" w:hint="eastAsia"/>
          <w:color w:val="EE0000"/>
          <w:sz w:val="28"/>
          <w:szCs w:val="28"/>
        </w:rPr>
        <w:t>」、「</w:t>
      </w:r>
      <w:r w:rsidR="00455108">
        <w:rPr>
          <w:rFonts w:ascii="Times New Roman" w:eastAsia="標楷體" w:hAnsi="Times New Roman" w:cs="Times New Roman" w:hint="eastAsia"/>
          <w:color w:val="EE0000"/>
          <w:sz w:val="28"/>
          <w:szCs w:val="28"/>
        </w:rPr>
        <w:t>敗訴</w:t>
      </w:r>
      <w:r w:rsidRPr="00C7356B">
        <w:rPr>
          <w:rFonts w:ascii="Times New Roman" w:eastAsia="標楷體" w:hAnsi="Times New Roman" w:cs="Times New Roman" w:hint="eastAsia"/>
          <w:color w:val="EE0000"/>
          <w:sz w:val="28"/>
          <w:szCs w:val="28"/>
        </w:rPr>
        <w:t>」及「部分勝訴」之模型。並針對司法數據中極端的類別不平衡特性，導入最佳化訓練策略，以驗證預測模型在高度專業法律領域的科學有效性。</w:t>
      </w:r>
    </w:p>
    <w:p w14:paraId="75AD8C54" w14:textId="77777777" w:rsidR="004E796F" w:rsidRPr="00C7356B" w:rsidRDefault="004E796F" w:rsidP="004E796F">
      <w:pPr>
        <w:pStyle w:val="a9"/>
        <w:widowControl/>
        <w:numPr>
          <w:ilvl w:val="0"/>
          <w:numId w:val="11"/>
        </w:numPr>
        <w:rPr>
          <w:rFonts w:ascii="Times New Roman" w:eastAsia="標楷體" w:hAnsi="Times New Roman" w:cs="Times New Roman"/>
          <w:color w:val="EE0000"/>
          <w:sz w:val="28"/>
          <w:szCs w:val="28"/>
        </w:rPr>
      </w:pPr>
      <w:r w:rsidRPr="00C7356B">
        <w:rPr>
          <w:rFonts w:ascii="Times New Roman" w:eastAsia="標楷體" w:hAnsi="Times New Roman" w:cs="Times New Roman" w:hint="eastAsia"/>
          <w:b/>
          <w:bCs/>
          <w:color w:val="EE0000"/>
          <w:sz w:val="28"/>
          <w:szCs w:val="28"/>
        </w:rPr>
        <w:t>強化長篇裁判書之全局語意特徵提取能力</w:t>
      </w:r>
      <w:r w:rsidRPr="00C7356B">
        <w:rPr>
          <w:rFonts w:ascii="Times New Roman" w:eastAsia="標楷體" w:hAnsi="Times New Roman" w:cs="Times New Roman" w:hint="eastAsia"/>
          <w:color w:val="EE0000"/>
          <w:sz w:val="28"/>
          <w:szCs w:val="28"/>
        </w:rPr>
        <w:t>：針對智慧財產權判決書篇幅冗長且邏輯高度依賴上下文的特性，研究如何有效捕捉長程語意關係，確保模型在分析過程中不因文本長度而遺失關鍵之裁判理由與法理推論，進而提升對於複雜法律論證的理解深度。</w:t>
      </w:r>
    </w:p>
    <w:p w14:paraId="124FD2C2" w14:textId="309F9896" w:rsidR="00836709" w:rsidRPr="004E796F" w:rsidRDefault="00836709" w:rsidP="004E796F">
      <w:pPr>
        <w:pStyle w:val="a9"/>
        <w:widowControl/>
        <w:numPr>
          <w:ilvl w:val="0"/>
          <w:numId w:val="11"/>
        </w:numPr>
        <w:rPr>
          <w:rFonts w:ascii="Times New Roman" w:eastAsia="標楷體" w:hAnsi="Times New Roman" w:cs="Times New Roman"/>
          <w:sz w:val="28"/>
          <w:szCs w:val="28"/>
        </w:rPr>
      </w:pPr>
      <w:r w:rsidRPr="004E796F">
        <w:rPr>
          <w:rFonts w:ascii="Times New Roman" w:eastAsia="標楷體" w:hAnsi="Times New Roman" w:cs="Times New Roman"/>
          <w:sz w:val="28"/>
          <w:szCs w:val="28"/>
        </w:rPr>
        <w:br w:type="page"/>
      </w:r>
    </w:p>
    <w:p w14:paraId="19713B82" w14:textId="47071783" w:rsid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lastRenderedPageBreak/>
        <w:t>研究貢獻</w:t>
      </w:r>
    </w:p>
    <w:p w14:paraId="2488F276" w14:textId="77777777" w:rsidR="00427CCE" w:rsidRPr="00427CCE" w:rsidRDefault="00427CCE" w:rsidP="00427CCE">
      <w:pPr>
        <w:widowControl/>
        <w:rPr>
          <w:rFonts w:ascii="Times New Roman" w:eastAsia="標楷體" w:hAnsi="Times New Roman" w:cs="Times New Roman"/>
          <w:sz w:val="28"/>
          <w:szCs w:val="28"/>
        </w:rPr>
      </w:pPr>
      <w:r w:rsidRPr="00427CCE">
        <w:rPr>
          <w:rFonts w:ascii="Times New Roman" w:eastAsia="標楷體" w:hAnsi="Times New Roman" w:cs="Times New Roman" w:hint="eastAsia"/>
          <w:sz w:val="28"/>
          <w:szCs w:val="28"/>
        </w:rPr>
        <w:t>本研究之貢獻體現於統計建模與專業法律實務的結合，具體價值包含：</w:t>
      </w:r>
    </w:p>
    <w:p w14:paraId="1864C6A3" w14:textId="77777777" w:rsidR="00427CCE" w:rsidRDefault="00427CCE" w:rsidP="00427CCE">
      <w:pPr>
        <w:widowControl/>
        <w:rPr>
          <w:rFonts w:ascii="Times New Roman" w:eastAsia="標楷體" w:hAnsi="Times New Roman" w:cs="Times New Roman"/>
          <w:sz w:val="28"/>
          <w:szCs w:val="28"/>
        </w:rPr>
      </w:pPr>
      <w:r w:rsidRPr="00427CCE">
        <w:rPr>
          <w:rFonts w:ascii="Times New Roman" w:eastAsia="標楷體" w:hAnsi="Times New Roman" w:cs="Times New Roman" w:hint="eastAsia"/>
          <w:sz w:val="28"/>
          <w:szCs w:val="28"/>
        </w:rPr>
        <w:t>第一、彌補智財權實證研究之領域空缺並拓寬研究深度。過往台灣智財權之實證研究多側重於侵害事實認定後之「損害賠償金額」數據分佈與審酌因素分析。本研究則將分析維度往前推進至「裁判結果預測」，直接探討全文術語分佈與勝敗結果間的關聯，填補了從非結構化文本到裁判結果預測間的研究斷層。</w:t>
      </w:r>
    </w:p>
    <w:p w14:paraId="546EA922" w14:textId="775EFAAD" w:rsidR="00427CCE" w:rsidRPr="00427CCE" w:rsidRDefault="00427CCE" w:rsidP="00427CCE">
      <w:pPr>
        <w:widowControl/>
        <w:rPr>
          <w:rFonts w:ascii="Times New Roman" w:eastAsia="標楷體" w:hAnsi="Times New Roman" w:cs="Times New Roman"/>
          <w:sz w:val="28"/>
          <w:szCs w:val="28"/>
        </w:rPr>
      </w:pPr>
      <w:r w:rsidRPr="00427CCE">
        <w:rPr>
          <w:rFonts w:ascii="Times New Roman" w:eastAsia="標楷體" w:hAnsi="Times New Roman" w:cs="Times New Roman" w:hint="eastAsia"/>
          <w:sz w:val="28"/>
          <w:szCs w:val="28"/>
        </w:rPr>
        <w:t>第二、模型效能之系統性評估與選型參考。本研究並非單一演算法之應用，而是透過多種機器學習模型（如</w:t>
      </w:r>
      <w:r w:rsidRPr="00427CCE">
        <w:rPr>
          <w:rFonts w:ascii="Times New Roman" w:eastAsia="標楷體" w:hAnsi="Times New Roman" w:cs="Times New Roman" w:hint="eastAsia"/>
          <w:sz w:val="28"/>
          <w:szCs w:val="28"/>
        </w:rPr>
        <w:t xml:space="preserve"> SVM</w:t>
      </w:r>
      <w:r w:rsidRPr="00427CCE">
        <w:rPr>
          <w:rFonts w:ascii="Times New Roman" w:eastAsia="標楷體" w:hAnsi="Times New Roman" w:cs="Times New Roman" w:hint="eastAsia"/>
          <w:sz w:val="28"/>
          <w:szCs w:val="28"/>
        </w:rPr>
        <w:t>、隨機森林、</w:t>
      </w:r>
      <w:r w:rsidRPr="00427CCE">
        <w:rPr>
          <w:rFonts w:ascii="Times New Roman" w:eastAsia="標楷體" w:hAnsi="Times New Roman" w:cs="Times New Roman" w:hint="eastAsia"/>
          <w:sz w:val="28"/>
          <w:szCs w:val="28"/>
        </w:rPr>
        <w:t xml:space="preserve">ANN </w:t>
      </w:r>
      <w:r w:rsidRPr="00427CCE">
        <w:rPr>
          <w:rFonts w:ascii="Times New Roman" w:eastAsia="標楷體" w:hAnsi="Times New Roman" w:cs="Times New Roman" w:hint="eastAsia"/>
          <w:sz w:val="28"/>
          <w:szCs w:val="28"/>
        </w:rPr>
        <w:t>等）的對比實驗，詳細分析不同邏輯框架在智財法律文本上的適應性。此結果可為未來法律科技研發者在模型選型與參數調校上，提供具備實務支撐的在地化數據參考。</w:t>
      </w:r>
    </w:p>
    <w:p w14:paraId="345B6594" w14:textId="19AA97B3" w:rsidR="00427CCE" w:rsidRPr="00427CCE" w:rsidRDefault="00427CCE" w:rsidP="00427CCE">
      <w:pPr>
        <w:widowControl/>
        <w:rPr>
          <w:rFonts w:ascii="Times New Roman" w:eastAsia="標楷體" w:hAnsi="Times New Roman" w:cs="Times New Roman"/>
          <w:sz w:val="28"/>
          <w:szCs w:val="28"/>
        </w:rPr>
      </w:pPr>
      <w:r w:rsidRPr="00427CCE">
        <w:rPr>
          <w:rFonts w:ascii="Times New Roman" w:eastAsia="標楷體" w:hAnsi="Times New Roman" w:cs="Times New Roman" w:hint="eastAsia"/>
          <w:sz w:val="28"/>
          <w:szCs w:val="28"/>
        </w:rPr>
        <w:t>第三、本研究模型能作為訴訟前的量化評估工具，協助律師與企業法務預判訴訟走向，降低因資訊不對稱導致的法律風險</w:t>
      </w:r>
      <w:r w:rsidRPr="00427CCE">
        <w:rPr>
          <w:rFonts w:ascii="Times New Roman" w:eastAsia="標楷體" w:hAnsi="Times New Roman" w:cs="Times New Roman" w:hint="eastAsia"/>
          <w:sz w:val="28"/>
          <w:szCs w:val="28"/>
        </w:rPr>
        <w:t xml:space="preserve"> </w:t>
      </w:r>
      <w:r w:rsidRPr="00427CCE">
        <w:rPr>
          <w:rFonts w:ascii="Times New Roman" w:eastAsia="標楷體" w:hAnsi="Times New Roman" w:cs="Times New Roman" w:hint="eastAsia"/>
          <w:sz w:val="28"/>
          <w:szCs w:val="28"/>
        </w:rPr>
        <w:t>。同時，透過大規模數據回測，展示了統計模型捕捉司法趨勢的能力，為未來發展「智慧化裁判輔助系統」提供了實證基礎。</w:t>
      </w:r>
    </w:p>
    <w:p w14:paraId="23D21934" w14:textId="4F41A5F8" w:rsidR="00CC5EA4" w:rsidRDefault="00CC5EA4" w:rsidP="006F60ED">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543BC713" w14:textId="77777777" w:rsidR="00CC5EA4" w:rsidRPr="00CC5EA4" w:rsidRDefault="00CC5EA4" w:rsidP="008613E4">
      <w:pPr>
        <w:outlineLvl w:val="0"/>
        <w:rPr>
          <w:rFonts w:ascii="Times New Roman" w:eastAsia="標楷體" w:hAnsi="Times New Roman" w:cs="Times New Roman"/>
          <w:sz w:val="28"/>
          <w:szCs w:val="28"/>
        </w:rPr>
      </w:pPr>
    </w:p>
    <w:p w14:paraId="71E60990" w14:textId="5A707DEA" w:rsidR="00CC5EA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t>文獻回顧</w:t>
      </w:r>
    </w:p>
    <w:p w14:paraId="76F17489" w14:textId="77777777" w:rsidR="00A82637" w:rsidRPr="00A82637" w:rsidRDefault="00A82637" w:rsidP="00A82637">
      <w:pPr>
        <w:outlineLvl w:val="0"/>
        <w:rPr>
          <w:rFonts w:ascii="Times New Roman" w:eastAsia="標楷體" w:hAnsi="Times New Roman" w:cs="Times New Roman"/>
          <w:sz w:val="28"/>
          <w:szCs w:val="28"/>
        </w:rPr>
      </w:pPr>
      <w:r w:rsidRPr="00A82637">
        <w:rPr>
          <w:rFonts w:ascii="Times New Roman" w:eastAsia="標楷體" w:hAnsi="Times New Roman" w:cs="Times New Roman" w:hint="eastAsia"/>
          <w:sz w:val="28"/>
          <w:szCs w:val="28"/>
        </w:rPr>
        <w:t xml:space="preserve">2.1 </w:t>
      </w:r>
      <w:r w:rsidRPr="00A82637">
        <w:rPr>
          <w:rFonts w:ascii="Times New Roman" w:eastAsia="標楷體" w:hAnsi="Times New Roman" w:cs="Times New Roman" w:hint="eastAsia"/>
          <w:sz w:val="28"/>
          <w:szCs w:val="28"/>
        </w:rPr>
        <w:t>前言</w:t>
      </w:r>
    </w:p>
    <w:p w14:paraId="209CD87C" w14:textId="1E6544D6" w:rsidR="00A82637" w:rsidRPr="00A82637" w:rsidRDefault="00751AA0" w:rsidP="00A82637">
      <w:pPr>
        <w:outlineLvl w:val="0"/>
        <w:rPr>
          <w:rFonts w:ascii="Times New Roman" w:eastAsia="標楷體" w:hAnsi="Times New Roman" w:cs="Times New Roman"/>
          <w:sz w:val="28"/>
          <w:szCs w:val="28"/>
        </w:rPr>
      </w:pPr>
      <w:r w:rsidRPr="00751AA0">
        <w:rPr>
          <w:rFonts w:ascii="Times New Roman" w:eastAsia="標楷體" w:hAnsi="Times New Roman" w:cs="Times New Roman" w:hint="eastAsia"/>
          <w:sz w:val="28"/>
          <w:szCs w:val="28"/>
        </w:rPr>
        <w:t>大數據與人工智慧技術在法律領域的應用，使傳統法學分析轉向實證與數據驅動的文字探勘（</w:t>
      </w:r>
      <w:r w:rsidRPr="00751AA0">
        <w:rPr>
          <w:rFonts w:ascii="Times New Roman" w:eastAsia="標楷體" w:hAnsi="Times New Roman" w:cs="Times New Roman" w:hint="eastAsia"/>
          <w:sz w:val="28"/>
          <w:szCs w:val="28"/>
        </w:rPr>
        <w:t>Text Mining</w:t>
      </w:r>
      <w:r w:rsidRPr="00751AA0">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vertAlign w:val="superscript"/>
        </w:rPr>
        <w:t>7</w:t>
      </w:r>
      <w:r w:rsidRPr="00751AA0">
        <w:rPr>
          <w:rFonts w:ascii="Times New Roman" w:eastAsia="標楷體" w:hAnsi="Times New Roman" w:cs="Times New Roman" w:hint="eastAsia"/>
          <w:sz w:val="28"/>
          <w:szCs w:val="28"/>
        </w:rPr>
        <w:t>。本章將梳理實證法律研究的發展，探討傳統特徵工程（如</w:t>
      </w:r>
      <w:r w:rsidRPr="00751AA0">
        <w:rPr>
          <w:rFonts w:ascii="Times New Roman" w:eastAsia="標楷體" w:hAnsi="Times New Roman" w:cs="Times New Roman" w:hint="eastAsia"/>
          <w:sz w:val="28"/>
          <w:szCs w:val="28"/>
        </w:rPr>
        <w:t xml:space="preserve"> TF-IDF </w:t>
      </w:r>
      <w:r w:rsidRPr="00751AA0">
        <w:rPr>
          <w:rFonts w:ascii="Times New Roman" w:eastAsia="標楷體" w:hAnsi="Times New Roman" w:cs="Times New Roman" w:hint="eastAsia"/>
          <w:sz w:val="28"/>
          <w:szCs w:val="28"/>
        </w:rPr>
        <w:t>與詞袋模型）與機器學習演算法在法律文本分類上的應用，並特別聚焦於「模型可解釋性（</w:t>
      </w:r>
      <w:r w:rsidRPr="00751AA0">
        <w:rPr>
          <w:rFonts w:ascii="Times New Roman" w:eastAsia="標楷體" w:hAnsi="Times New Roman" w:cs="Times New Roman" w:hint="eastAsia"/>
          <w:sz w:val="28"/>
          <w:szCs w:val="28"/>
        </w:rPr>
        <w:t>Interpretability</w:t>
      </w:r>
      <w:r w:rsidRPr="00751AA0">
        <w:rPr>
          <w:rFonts w:ascii="Times New Roman" w:eastAsia="標楷體" w:hAnsi="Times New Roman" w:cs="Times New Roman" w:hint="eastAsia"/>
          <w:sz w:val="28"/>
          <w:szCs w:val="28"/>
        </w:rPr>
        <w:t>）」在司法決策輔助系統中的關鍵地位，藉此確立本研究的方法論基礎。</w:t>
      </w:r>
    </w:p>
    <w:p w14:paraId="3C29D3EE" w14:textId="1113170C" w:rsidR="00A82637" w:rsidRPr="00A82637" w:rsidRDefault="00A82637" w:rsidP="00A82637">
      <w:pPr>
        <w:outlineLvl w:val="0"/>
        <w:rPr>
          <w:rFonts w:ascii="Times New Roman" w:eastAsia="標楷體" w:hAnsi="Times New Roman" w:cs="Times New Roman"/>
          <w:sz w:val="28"/>
          <w:szCs w:val="28"/>
        </w:rPr>
      </w:pPr>
      <w:r w:rsidRPr="00A82637">
        <w:rPr>
          <w:rFonts w:ascii="Times New Roman" w:eastAsia="標楷體" w:hAnsi="Times New Roman" w:cs="Times New Roman" w:hint="eastAsia"/>
          <w:sz w:val="28"/>
          <w:szCs w:val="28"/>
        </w:rPr>
        <w:t xml:space="preserve">2.2 </w:t>
      </w:r>
      <w:r w:rsidRPr="00A82637">
        <w:rPr>
          <w:rFonts w:ascii="Times New Roman" w:eastAsia="標楷體" w:hAnsi="Times New Roman" w:cs="Times New Roman" w:hint="eastAsia"/>
          <w:sz w:val="28"/>
          <w:szCs w:val="28"/>
        </w:rPr>
        <w:t>實證法律研究</w:t>
      </w:r>
      <w:r w:rsidR="00816C7D">
        <w:rPr>
          <w:rFonts w:ascii="Times New Roman" w:eastAsia="標楷體" w:hAnsi="Times New Roman" w:cs="Times New Roman" w:hint="eastAsia"/>
          <w:sz w:val="28"/>
          <w:szCs w:val="28"/>
        </w:rPr>
        <w:t>與量化分析</w:t>
      </w:r>
      <w:r w:rsidRPr="00A82637">
        <w:rPr>
          <w:rFonts w:ascii="Times New Roman" w:eastAsia="標楷體" w:hAnsi="Times New Roman" w:cs="Times New Roman" w:hint="eastAsia"/>
          <w:sz w:val="28"/>
          <w:szCs w:val="28"/>
        </w:rPr>
        <w:t>的發展</w:t>
      </w:r>
    </w:p>
    <w:p w14:paraId="2BB424DC" w14:textId="049C9580" w:rsidR="00A82637" w:rsidRPr="00A82637" w:rsidRDefault="00A82637" w:rsidP="00A82637">
      <w:pPr>
        <w:outlineLvl w:val="0"/>
        <w:rPr>
          <w:rFonts w:ascii="Times New Roman" w:eastAsia="標楷體" w:hAnsi="Times New Roman" w:cs="Times New Roman"/>
          <w:sz w:val="28"/>
          <w:szCs w:val="28"/>
        </w:rPr>
      </w:pPr>
      <w:r w:rsidRPr="00A82637">
        <w:rPr>
          <w:rFonts w:ascii="Times New Roman" w:eastAsia="標楷體" w:hAnsi="Times New Roman" w:cs="Times New Roman" w:hint="eastAsia"/>
          <w:sz w:val="28"/>
          <w:szCs w:val="28"/>
        </w:rPr>
        <w:t>實證</w:t>
      </w:r>
      <w:r w:rsidR="00751AA0">
        <w:rPr>
          <w:rFonts w:ascii="Times New Roman" w:eastAsia="標楷體" w:hAnsi="Times New Roman" w:cs="Times New Roman" w:hint="eastAsia"/>
          <w:sz w:val="28"/>
          <w:szCs w:val="28"/>
        </w:rPr>
        <w:t>法律研究</w:t>
      </w:r>
      <w:r w:rsidR="00751AA0" w:rsidRPr="00A82637">
        <w:rPr>
          <w:rFonts w:ascii="Times New Roman" w:eastAsia="標楷體" w:hAnsi="Times New Roman" w:cs="Times New Roman" w:hint="eastAsia"/>
          <w:sz w:val="28"/>
          <w:szCs w:val="28"/>
        </w:rPr>
        <w:t>（</w:t>
      </w:r>
      <w:r w:rsidR="00751AA0">
        <w:rPr>
          <w:rFonts w:ascii="Times New Roman" w:eastAsia="標楷體" w:hAnsi="Times New Roman" w:cs="Times New Roman" w:hint="eastAsia"/>
          <w:sz w:val="28"/>
          <w:szCs w:val="28"/>
        </w:rPr>
        <w:t>ELS</w:t>
      </w:r>
      <w:r w:rsidR="00751AA0" w:rsidRPr="00A82637">
        <w:rPr>
          <w:rFonts w:ascii="Times New Roman" w:eastAsia="標楷體" w:hAnsi="Times New Roman" w:cs="Times New Roman" w:hint="eastAsia"/>
          <w:sz w:val="28"/>
          <w:szCs w:val="28"/>
        </w:rPr>
        <w:t>）</w:t>
      </w:r>
      <w:r w:rsidR="00751AA0">
        <w:rPr>
          <w:rFonts w:ascii="Times New Roman" w:eastAsia="標楷體" w:hAnsi="Times New Roman" w:cs="Times New Roman" w:hint="eastAsia"/>
          <w:sz w:val="28"/>
          <w:szCs w:val="28"/>
        </w:rPr>
        <w:t>的</w:t>
      </w:r>
      <w:r w:rsidRPr="00A82637">
        <w:rPr>
          <w:rFonts w:ascii="Times New Roman" w:eastAsia="標楷體" w:hAnsi="Times New Roman" w:cs="Times New Roman" w:hint="eastAsia"/>
          <w:sz w:val="28"/>
          <w:szCs w:val="28"/>
        </w:rPr>
        <w:t>學術典範已從傳統法條釋義，逐步擴展至以數據為基礎的規律歸納。在國際</w:t>
      </w:r>
      <w:r w:rsidR="00751AA0">
        <w:rPr>
          <w:rFonts w:ascii="Times New Roman" w:eastAsia="標楷體" w:hAnsi="Times New Roman" w:cs="Times New Roman" w:hint="eastAsia"/>
          <w:sz w:val="28"/>
          <w:szCs w:val="28"/>
        </w:rPr>
        <w:t>研究中</w:t>
      </w:r>
      <w:r w:rsidRPr="00A82637">
        <w:rPr>
          <w:rFonts w:ascii="Times New Roman" w:eastAsia="標楷體" w:hAnsi="Times New Roman" w:cs="Times New Roman" w:hint="eastAsia"/>
          <w:sz w:val="28"/>
          <w:szCs w:val="28"/>
        </w:rPr>
        <w:t>，運用行為經濟學量化司法行為已成趨勢，如</w:t>
      </w:r>
      <w:r w:rsidRPr="00A82637">
        <w:rPr>
          <w:rFonts w:ascii="Times New Roman" w:eastAsia="標楷體" w:hAnsi="Times New Roman" w:cs="Times New Roman" w:hint="eastAsia"/>
          <w:sz w:val="28"/>
          <w:szCs w:val="28"/>
        </w:rPr>
        <w:t xml:space="preserve"> Eren and Mocan </w:t>
      </w:r>
      <w:r w:rsidR="000E2DE2" w:rsidRPr="00A82637">
        <w:rPr>
          <w:rFonts w:ascii="Times New Roman" w:eastAsia="標楷體" w:hAnsi="Times New Roman" w:cs="Times New Roman" w:hint="eastAsia"/>
          <w:sz w:val="28"/>
          <w:szCs w:val="28"/>
        </w:rPr>
        <w:t>（</w:t>
      </w:r>
      <w:r w:rsidRPr="00A82637">
        <w:rPr>
          <w:rFonts w:ascii="Times New Roman" w:eastAsia="標楷體" w:hAnsi="Times New Roman" w:cs="Times New Roman" w:hint="eastAsia"/>
          <w:sz w:val="28"/>
          <w:szCs w:val="28"/>
        </w:rPr>
        <w:t>2018</w:t>
      </w:r>
      <w:r w:rsidR="000E2DE2" w:rsidRPr="00A82637">
        <w:rPr>
          <w:rFonts w:ascii="Times New Roman" w:eastAsia="標楷體" w:hAnsi="Times New Roman" w:cs="Times New Roman" w:hint="eastAsia"/>
          <w:sz w:val="28"/>
          <w:szCs w:val="28"/>
        </w:rPr>
        <w:t>）</w:t>
      </w:r>
      <w:r w:rsidR="000E2DE2">
        <w:rPr>
          <w:rFonts w:ascii="Times New Roman" w:eastAsia="標楷體" w:hAnsi="Times New Roman" w:cs="Times New Roman" w:hint="eastAsia"/>
          <w:sz w:val="28"/>
          <w:szCs w:val="28"/>
          <w:vertAlign w:val="superscript"/>
        </w:rPr>
        <w:t>8</w:t>
      </w:r>
      <w:r w:rsidRPr="00A82637">
        <w:rPr>
          <w:rFonts w:ascii="Times New Roman" w:eastAsia="標楷體" w:hAnsi="Times New Roman" w:cs="Times New Roman" w:hint="eastAsia"/>
          <w:sz w:val="28"/>
          <w:szCs w:val="28"/>
        </w:rPr>
        <w:t>與</w:t>
      </w:r>
      <w:r w:rsidRPr="00A82637">
        <w:rPr>
          <w:rFonts w:ascii="Times New Roman" w:eastAsia="標楷體" w:hAnsi="Times New Roman" w:cs="Times New Roman" w:hint="eastAsia"/>
          <w:sz w:val="28"/>
          <w:szCs w:val="28"/>
        </w:rPr>
        <w:t xml:space="preserve"> Heyes and Saberian </w:t>
      </w:r>
      <w:r w:rsidR="000E2DE2" w:rsidRPr="00A82637">
        <w:rPr>
          <w:rFonts w:ascii="Times New Roman" w:eastAsia="標楷體" w:hAnsi="Times New Roman" w:cs="Times New Roman" w:hint="eastAsia"/>
          <w:sz w:val="28"/>
          <w:szCs w:val="28"/>
        </w:rPr>
        <w:t>（</w:t>
      </w:r>
      <w:r w:rsidRPr="00A82637">
        <w:rPr>
          <w:rFonts w:ascii="Times New Roman" w:eastAsia="標楷體" w:hAnsi="Times New Roman" w:cs="Times New Roman" w:hint="eastAsia"/>
          <w:sz w:val="28"/>
          <w:szCs w:val="28"/>
        </w:rPr>
        <w:t>2019</w:t>
      </w:r>
      <w:r w:rsidR="000E2DE2" w:rsidRPr="00A82637">
        <w:rPr>
          <w:rFonts w:ascii="Times New Roman" w:eastAsia="標楷體" w:hAnsi="Times New Roman" w:cs="Times New Roman" w:hint="eastAsia"/>
          <w:sz w:val="28"/>
          <w:szCs w:val="28"/>
        </w:rPr>
        <w:t>）</w:t>
      </w:r>
      <w:r w:rsidR="000E2DE2">
        <w:rPr>
          <w:rFonts w:ascii="Times New Roman" w:eastAsia="標楷體" w:hAnsi="Times New Roman" w:cs="Times New Roman" w:hint="eastAsia"/>
          <w:sz w:val="28"/>
          <w:szCs w:val="28"/>
          <w:vertAlign w:val="superscript"/>
        </w:rPr>
        <w:t>9</w:t>
      </w:r>
      <w:r w:rsidRPr="00A82637">
        <w:rPr>
          <w:rFonts w:ascii="Times New Roman" w:eastAsia="標楷體" w:hAnsi="Times New Roman" w:cs="Times New Roman" w:hint="eastAsia"/>
          <w:sz w:val="28"/>
          <w:szCs w:val="28"/>
        </w:rPr>
        <w:t>分別證實了體育賽事結果與環境溫度等非法律因素（</w:t>
      </w:r>
      <w:r w:rsidRPr="00A82637">
        <w:rPr>
          <w:rFonts w:ascii="Times New Roman" w:eastAsia="標楷體" w:hAnsi="Times New Roman" w:cs="Times New Roman" w:hint="eastAsia"/>
          <w:sz w:val="28"/>
          <w:szCs w:val="28"/>
        </w:rPr>
        <w:t>Extra-legal factors</w:t>
      </w:r>
      <w:r w:rsidRPr="00A82637">
        <w:rPr>
          <w:rFonts w:ascii="Times New Roman" w:eastAsia="標楷體" w:hAnsi="Times New Roman" w:cs="Times New Roman" w:hint="eastAsia"/>
          <w:sz w:val="28"/>
          <w:szCs w:val="28"/>
        </w:rPr>
        <w:t>）對法官量刑的系統性影響。</w:t>
      </w:r>
    </w:p>
    <w:p w14:paraId="38F6C5C4" w14:textId="77777777" w:rsidR="00A82637" w:rsidRPr="00A82637" w:rsidRDefault="00A82637" w:rsidP="00A82637">
      <w:pPr>
        <w:outlineLvl w:val="0"/>
        <w:rPr>
          <w:rFonts w:ascii="Times New Roman" w:eastAsia="標楷體" w:hAnsi="Times New Roman" w:cs="Times New Roman"/>
          <w:sz w:val="28"/>
          <w:szCs w:val="28"/>
        </w:rPr>
      </w:pPr>
    </w:p>
    <w:p w14:paraId="6E0DD2BB" w14:textId="4F936D0E" w:rsidR="00A82637" w:rsidRPr="00A82637" w:rsidRDefault="00A82637" w:rsidP="00A82637">
      <w:pPr>
        <w:outlineLvl w:val="0"/>
        <w:rPr>
          <w:rFonts w:ascii="Times New Roman" w:eastAsia="標楷體" w:hAnsi="Times New Roman" w:cs="Times New Roman"/>
          <w:sz w:val="28"/>
          <w:szCs w:val="28"/>
        </w:rPr>
      </w:pPr>
      <w:r w:rsidRPr="00A82637">
        <w:rPr>
          <w:rFonts w:ascii="Times New Roman" w:eastAsia="標楷體" w:hAnsi="Times New Roman" w:cs="Times New Roman" w:hint="eastAsia"/>
          <w:sz w:val="28"/>
          <w:szCs w:val="28"/>
        </w:rPr>
        <w:t>在台灣，實證法律研究同樣蓬勃發展。</w:t>
      </w:r>
      <w:r w:rsidRPr="00A82637">
        <w:rPr>
          <w:rFonts w:ascii="Times New Roman" w:eastAsia="標楷體" w:hAnsi="Times New Roman" w:cs="Times New Roman" w:hint="eastAsia"/>
          <w:sz w:val="28"/>
          <w:szCs w:val="28"/>
        </w:rPr>
        <w:t xml:space="preserve">Chen et al. </w:t>
      </w:r>
      <w:r w:rsidR="000E2DE2">
        <w:rPr>
          <w:rFonts w:ascii="Times New Roman" w:eastAsia="標楷體" w:hAnsi="Times New Roman" w:cs="Times New Roman" w:hint="eastAsia"/>
          <w:sz w:val="28"/>
          <w:szCs w:val="28"/>
        </w:rPr>
        <w:t>（</w:t>
      </w:r>
      <w:r w:rsidRPr="00A82637">
        <w:rPr>
          <w:rFonts w:ascii="Times New Roman" w:eastAsia="標楷體" w:hAnsi="Times New Roman" w:cs="Times New Roman" w:hint="eastAsia"/>
          <w:sz w:val="28"/>
          <w:szCs w:val="28"/>
        </w:rPr>
        <w:t>2015</w:t>
      </w:r>
      <w:r w:rsidR="000E2DE2" w:rsidRPr="00A82637">
        <w:rPr>
          <w:rFonts w:ascii="Times New Roman" w:eastAsia="標楷體" w:hAnsi="Times New Roman" w:cs="Times New Roman" w:hint="eastAsia"/>
          <w:sz w:val="28"/>
          <w:szCs w:val="28"/>
        </w:rPr>
        <w:t>）</w:t>
      </w:r>
      <w:r w:rsidR="00816C7D">
        <w:rPr>
          <w:rFonts w:ascii="Times New Roman" w:eastAsia="標楷體" w:hAnsi="Times New Roman" w:cs="Times New Roman" w:hint="eastAsia"/>
          <w:sz w:val="28"/>
          <w:szCs w:val="28"/>
          <w:vertAlign w:val="superscript"/>
        </w:rPr>
        <w:t>10</w:t>
      </w:r>
      <w:r w:rsidRPr="00A82637">
        <w:rPr>
          <w:rFonts w:ascii="Times New Roman" w:eastAsia="標楷體" w:hAnsi="Times New Roman" w:cs="Times New Roman" w:hint="eastAsia"/>
          <w:sz w:val="28"/>
          <w:szCs w:val="28"/>
        </w:rPr>
        <w:t>透過分析最高法院民事案件，探討「訴訟資源」對結果的關聯；</w:t>
      </w:r>
      <w:r w:rsidRPr="00A82637">
        <w:rPr>
          <w:rFonts w:ascii="Times New Roman" w:eastAsia="標楷體" w:hAnsi="Times New Roman" w:cs="Times New Roman" w:hint="eastAsia"/>
          <w:sz w:val="28"/>
          <w:szCs w:val="28"/>
        </w:rPr>
        <w:t xml:space="preserve">Chang et al. </w:t>
      </w:r>
      <w:r w:rsidR="000E2DE2">
        <w:rPr>
          <w:rFonts w:ascii="Times New Roman" w:eastAsia="標楷體" w:hAnsi="Times New Roman" w:cs="Times New Roman" w:hint="eastAsia"/>
          <w:sz w:val="28"/>
          <w:szCs w:val="28"/>
        </w:rPr>
        <w:t>（</w:t>
      </w:r>
      <w:r w:rsidRPr="00A82637">
        <w:rPr>
          <w:rFonts w:ascii="Times New Roman" w:eastAsia="標楷體" w:hAnsi="Times New Roman" w:cs="Times New Roman" w:hint="eastAsia"/>
          <w:sz w:val="28"/>
          <w:szCs w:val="28"/>
        </w:rPr>
        <w:t>2018</w:t>
      </w:r>
      <w:r w:rsidR="000E2DE2" w:rsidRPr="00A82637">
        <w:rPr>
          <w:rFonts w:ascii="Times New Roman" w:eastAsia="標楷體" w:hAnsi="Times New Roman" w:cs="Times New Roman" w:hint="eastAsia"/>
          <w:sz w:val="28"/>
          <w:szCs w:val="28"/>
        </w:rPr>
        <w:t>）</w:t>
      </w:r>
      <w:r w:rsidR="00816C7D">
        <w:rPr>
          <w:rFonts w:ascii="Times New Roman" w:eastAsia="標楷體" w:hAnsi="Times New Roman" w:cs="Times New Roman" w:hint="eastAsia"/>
          <w:sz w:val="28"/>
          <w:szCs w:val="28"/>
          <w:vertAlign w:val="superscript"/>
        </w:rPr>
        <w:t>11</w:t>
      </w:r>
      <w:r w:rsidRPr="00A82637">
        <w:rPr>
          <w:rFonts w:ascii="Times New Roman" w:eastAsia="標楷體" w:hAnsi="Times New Roman" w:cs="Times New Roman" w:hint="eastAsia"/>
          <w:sz w:val="28"/>
          <w:szCs w:val="28"/>
        </w:rPr>
        <w:t>則證實了台灣法官在裁定賠償金時存在「定錨效應」。</w:t>
      </w:r>
      <w:r w:rsidR="00816C7D" w:rsidRPr="00816C7D">
        <w:rPr>
          <w:rFonts w:ascii="Times New Roman" w:eastAsia="標楷體" w:hAnsi="Times New Roman" w:cs="Times New Roman" w:hint="eastAsia"/>
          <w:sz w:val="28"/>
          <w:szCs w:val="28"/>
        </w:rPr>
        <w:t>這些文獻不僅證明了台灣司法資料庫具備極高的量化研究價值，也確立了將非結構化判決文本轉化為可計算特徵的正當性</w:t>
      </w:r>
      <w:r w:rsidRPr="00A82637">
        <w:rPr>
          <w:rFonts w:ascii="Times New Roman" w:eastAsia="標楷體" w:hAnsi="Times New Roman" w:cs="Times New Roman" w:hint="eastAsia"/>
          <w:sz w:val="28"/>
          <w:szCs w:val="28"/>
        </w:rPr>
        <w:t>。</w:t>
      </w:r>
    </w:p>
    <w:p w14:paraId="235A4AAB" w14:textId="77777777" w:rsidR="00A82637" w:rsidRPr="00A82637" w:rsidRDefault="00A82637" w:rsidP="00A82637">
      <w:pPr>
        <w:outlineLvl w:val="0"/>
        <w:rPr>
          <w:rFonts w:ascii="Times New Roman" w:eastAsia="標楷體" w:hAnsi="Times New Roman" w:cs="Times New Roman"/>
          <w:sz w:val="28"/>
          <w:szCs w:val="28"/>
        </w:rPr>
      </w:pPr>
    </w:p>
    <w:p w14:paraId="59EF49FA" w14:textId="04F8D158" w:rsidR="00A82637" w:rsidRPr="00A82637" w:rsidRDefault="00A82637" w:rsidP="00A82637">
      <w:pPr>
        <w:outlineLvl w:val="0"/>
        <w:rPr>
          <w:rFonts w:ascii="Times New Roman" w:eastAsia="標楷體" w:hAnsi="Times New Roman" w:cs="Times New Roman"/>
          <w:sz w:val="28"/>
          <w:szCs w:val="28"/>
        </w:rPr>
      </w:pPr>
      <w:r w:rsidRPr="00A82637">
        <w:rPr>
          <w:rFonts w:ascii="Times New Roman" w:eastAsia="標楷體" w:hAnsi="Times New Roman" w:cs="Times New Roman" w:hint="eastAsia"/>
          <w:sz w:val="28"/>
          <w:szCs w:val="28"/>
        </w:rPr>
        <w:t xml:space="preserve">2.3 </w:t>
      </w:r>
      <w:r w:rsidRPr="00A82637">
        <w:rPr>
          <w:rFonts w:ascii="Times New Roman" w:eastAsia="標楷體" w:hAnsi="Times New Roman" w:cs="Times New Roman" w:hint="eastAsia"/>
          <w:sz w:val="28"/>
          <w:szCs w:val="28"/>
        </w:rPr>
        <w:t>司法判決</w:t>
      </w:r>
      <w:r w:rsidR="00816C7D">
        <w:rPr>
          <w:rFonts w:ascii="Times New Roman" w:eastAsia="標楷體" w:hAnsi="Times New Roman" w:cs="Times New Roman" w:hint="eastAsia"/>
          <w:sz w:val="28"/>
          <w:szCs w:val="28"/>
        </w:rPr>
        <w:t>之特徵工程：</w:t>
      </w:r>
      <w:r w:rsidR="00816C7D">
        <w:rPr>
          <w:rFonts w:ascii="Times New Roman" w:eastAsia="標楷體" w:hAnsi="Times New Roman" w:cs="Times New Roman" w:hint="eastAsia"/>
          <w:sz w:val="28"/>
          <w:szCs w:val="28"/>
        </w:rPr>
        <w:t xml:space="preserve">TF </w:t>
      </w:r>
      <w:r w:rsidR="00816C7D">
        <w:rPr>
          <w:rFonts w:ascii="Times New Roman" w:eastAsia="標楷體" w:hAnsi="Times New Roman" w:cs="Times New Roman"/>
          <w:sz w:val="28"/>
          <w:szCs w:val="28"/>
        </w:rPr>
        <w:t>–</w:t>
      </w:r>
      <w:r w:rsidR="00816C7D">
        <w:rPr>
          <w:rFonts w:ascii="Times New Roman" w:eastAsia="標楷體" w:hAnsi="Times New Roman" w:cs="Times New Roman" w:hint="eastAsia"/>
          <w:sz w:val="28"/>
          <w:szCs w:val="28"/>
        </w:rPr>
        <w:t xml:space="preserve"> IDF</w:t>
      </w:r>
      <w:r w:rsidR="00816C7D">
        <w:rPr>
          <w:rFonts w:ascii="Times New Roman" w:eastAsia="標楷體" w:hAnsi="Times New Roman" w:cs="Times New Roman" w:hint="eastAsia"/>
          <w:sz w:val="28"/>
          <w:szCs w:val="28"/>
        </w:rPr>
        <w:t>與詞袋模型</w:t>
      </w:r>
      <w:r w:rsidR="00816C7D" w:rsidRPr="00A82637">
        <w:rPr>
          <w:rFonts w:ascii="Times New Roman" w:eastAsia="標楷體" w:hAnsi="Times New Roman" w:cs="Times New Roman" w:hint="eastAsia"/>
          <w:sz w:val="28"/>
          <w:szCs w:val="28"/>
        </w:rPr>
        <w:t>（</w:t>
      </w:r>
      <w:r w:rsidR="00816C7D">
        <w:rPr>
          <w:rFonts w:ascii="Times New Roman" w:eastAsia="標楷體" w:hAnsi="Times New Roman" w:cs="Times New Roman" w:hint="eastAsia"/>
          <w:sz w:val="28"/>
          <w:szCs w:val="28"/>
        </w:rPr>
        <w:t>BoW</w:t>
      </w:r>
      <w:r w:rsidR="00816C7D" w:rsidRPr="00A82637">
        <w:rPr>
          <w:rFonts w:ascii="Times New Roman" w:eastAsia="標楷體" w:hAnsi="Times New Roman" w:cs="Times New Roman" w:hint="eastAsia"/>
          <w:sz w:val="28"/>
          <w:szCs w:val="28"/>
        </w:rPr>
        <w:t>）</w:t>
      </w:r>
      <w:r w:rsidR="00816C7D">
        <w:rPr>
          <w:rFonts w:ascii="Times New Roman" w:eastAsia="標楷體" w:hAnsi="Times New Roman" w:cs="Times New Roman" w:hint="eastAsia"/>
          <w:sz w:val="28"/>
          <w:szCs w:val="28"/>
        </w:rPr>
        <w:t>之優勢</w:t>
      </w:r>
    </w:p>
    <w:p w14:paraId="397623FD" w14:textId="5DFEC042" w:rsidR="00C207D2" w:rsidRPr="00C207D2" w:rsidRDefault="00C207D2" w:rsidP="00C207D2">
      <w:pPr>
        <w:outlineLvl w:val="0"/>
        <w:rPr>
          <w:rFonts w:ascii="Times New Roman" w:eastAsia="標楷體" w:hAnsi="Times New Roman" w:cs="Times New Roman"/>
          <w:sz w:val="28"/>
          <w:szCs w:val="28"/>
        </w:rPr>
      </w:pPr>
      <w:r w:rsidRPr="00C207D2">
        <w:rPr>
          <w:rFonts w:ascii="Times New Roman" w:eastAsia="標楷體" w:hAnsi="Times New Roman" w:cs="Times New Roman" w:hint="eastAsia"/>
          <w:sz w:val="28"/>
          <w:szCs w:val="28"/>
        </w:rPr>
        <w:lastRenderedPageBreak/>
        <w:t>法律判決書具備篇幅冗長且充滿專業術語之特性，傳統上常被認為需要極度複雜的語意模型來處理。然而，近實證研究指出，在特定專業領域（如金融與法律等具備高度編碼化語意之文本）中，傳統的詞袋模型（</w:t>
      </w:r>
      <w:r w:rsidRPr="00C207D2">
        <w:rPr>
          <w:rFonts w:ascii="Times New Roman" w:eastAsia="標楷體" w:hAnsi="Times New Roman" w:cs="Times New Roman" w:hint="eastAsia"/>
          <w:sz w:val="28"/>
          <w:szCs w:val="28"/>
        </w:rPr>
        <w:t>Bag-of-Words, BoW</w:t>
      </w:r>
      <w:r w:rsidRPr="00C207D2">
        <w:rPr>
          <w:rFonts w:ascii="Times New Roman" w:eastAsia="標楷體" w:hAnsi="Times New Roman" w:cs="Times New Roman" w:hint="eastAsia"/>
          <w:sz w:val="28"/>
          <w:szCs w:val="28"/>
        </w:rPr>
        <w:t>）在處理語意任務時，其表現甚至能超越部分密集的語意嵌入（</w:t>
      </w:r>
      <w:r w:rsidRPr="00C207D2">
        <w:rPr>
          <w:rFonts w:ascii="Times New Roman" w:eastAsia="標楷體" w:hAnsi="Times New Roman" w:cs="Times New Roman" w:hint="eastAsia"/>
          <w:sz w:val="28"/>
          <w:szCs w:val="28"/>
        </w:rPr>
        <w:t>Dense Embeddings</w:t>
      </w:r>
      <w:r w:rsidRPr="00C207D2">
        <w:rPr>
          <w:rFonts w:ascii="Times New Roman" w:eastAsia="標楷體" w:hAnsi="Times New Roman" w:cs="Times New Roman" w:hint="eastAsia"/>
          <w:sz w:val="28"/>
          <w:szCs w:val="28"/>
        </w:rPr>
        <w:t>）模型</w:t>
      </w:r>
      <w:r>
        <w:rPr>
          <w:rFonts w:ascii="Times New Roman" w:eastAsia="標楷體" w:hAnsi="Times New Roman" w:cs="Times New Roman" w:hint="eastAsia"/>
          <w:sz w:val="28"/>
          <w:szCs w:val="28"/>
          <w:vertAlign w:val="superscript"/>
        </w:rPr>
        <w:t>12</w:t>
      </w:r>
      <w:r w:rsidR="00751AD4">
        <w:rPr>
          <w:rFonts w:ascii="Times New Roman" w:eastAsia="標楷體" w:hAnsi="Times New Roman" w:cs="Times New Roman" w:hint="eastAsia"/>
          <w:sz w:val="28"/>
          <w:szCs w:val="28"/>
          <w:vertAlign w:val="superscript"/>
        </w:rPr>
        <w:t xml:space="preserve"> 13</w:t>
      </w:r>
      <w:r w:rsidRPr="00C207D2">
        <w:rPr>
          <w:rFonts w:ascii="Times New Roman" w:eastAsia="標楷體" w:hAnsi="Times New Roman" w:cs="Times New Roman" w:hint="eastAsia"/>
          <w:sz w:val="28"/>
          <w:szCs w:val="28"/>
        </w:rPr>
        <w:t>。</w:t>
      </w:r>
    </w:p>
    <w:p w14:paraId="161015E1" w14:textId="02241642" w:rsidR="00751AD4" w:rsidRDefault="00751AD4" w:rsidP="00A82637">
      <w:pPr>
        <w:outlineLvl w:val="0"/>
        <w:rPr>
          <w:rFonts w:ascii="Times New Roman" w:eastAsia="標楷體" w:hAnsi="Times New Roman" w:cs="Times New Roman"/>
          <w:sz w:val="28"/>
          <w:szCs w:val="28"/>
        </w:rPr>
      </w:pPr>
      <w:r w:rsidRPr="00751AD4">
        <w:rPr>
          <w:rFonts w:ascii="Times New Roman" w:eastAsia="標楷體" w:hAnsi="Times New Roman" w:cs="Times New Roman" w:hint="eastAsia"/>
          <w:sz w:val="28"/>
          <w:szCs w:val="28"/>
        </w:rPr>
        <w:t>本研究採用</w:t>
      </w:r>
      <w:r w:rsidRPr="00751AD4">
        <w:rPr>
          <w:rFonts w:ascii="Times New Roman" w:eastAsia="標楷體" w:hAnsi="Times New Roman" w:cs="Times New Roman" w:hint="eastAsia"/>
          <w:sz w:val="28"/>
          <w:szCs w:val="28"/>
        </w:rPr>
        <w:t xml:space="preserve"> TF-IDF</w:t>
      </w:r>
      <w:r w:rsidRPr="00751AD4">
        <w:rPr>
          <w:rFonts w:ascii="Times New Roman" w:eastAsia="標楷體" w:hAnsi="Times New Roman" w:cs="Times New Roman" w:hint="eastAsia"/>
          <w:sz w:val="28"/>
          <w:szCs w:val="28"/>
        </w:rPr>
        <w:t>（</w:t>
      </w:r>
      <w:r w:rsidRPr="00751AD4">
        <w:rPr>
          <w:rFonts w:ascii="Times New Roman" w:eastAsia="標楷體" w:hAnsi="Times New Roman" w:cs="Times New Roman" w:hint="eastAsia"/>
          <w:sz w:val="28"/>
          <w:szCs w:val="28"/>
        </w:rPr>
        <w:t>Term Frequency</w:t>
      </w:r>
      <w:r w:rsidRPr="00751AD4">
        <w:rPr>
          <w:rFonts w:ascii="Times New Roman" w:eastAsia="標楷體" w:hAnsi="Times New Roman" w:cs="Times New Roman" w:hint="eastAsia"/>
          <w:sz w:val="28"/>
          <w:szCs w:val="28"/>
        </w:rPr>
        <w:t>–</w:t>
      </w:r>
      <w:r w:rsidRPr="00751AD4">
        <w:rPr>
          <w:rFonts w:ascii="Times New Roman" w:eastAsia="標楷體" w:hAnsi="Times New Roman" w:cs="Times New Roman" w:hint="eastAsia"/>
          <w:sz w:val="28"/>
          <w:szCs w:val="28"/>
        </w:rPr>
        <w:t>Inverse Document Frequency</w:t>
      </w:r>
      <w:r w:rsidRPr="00751AD4">
        <w:rPr>
          <w:rFonts w:ascii="Times New Roman" w:eastAsia="標楷體" w:hAnsi="Times New Roman" w:cs="Times New Roman" w:hint="eastAsia"/>
          <w:sz w:val="28"/>
          <w:szCs w:val="28"/>
        </w:rPr>
        <w:t>）技術進行文本特徵提取。該方法透過衡量詞彙在個別文件中的出現頻率與其在整體語料中的稀有程度，強化具區辨力之專門術語權重，同時降低高頻通用詞彙之影響。相較於高運算成本之深度語言模型，</w:t>
      </w:r>
      <w:r w:rsidRPr="00751AD4">
        <w:rPr>
          <w:rFonts w:ascii="Times New Roman" w:eastAsia="標楷體" w:hAnsi="Times New Roman" w:cs="Times New Roman" w:hint="eastAsia"/>
          <w:sz w:val="28"/>
          <w:szCs w:val="28"/>
        </w:rPr>
        <w:t xml:space="preserve">TF-IDF </w:t>
      </w:r>
      <w:r w:rsidRPr="00751AD4">
        <w:rPr>
          <w:rFonts w:ascii="Times New Roman" w:eastAsia="標楷體" w:hAnsi="Times New Roman" w:cs="Times New Roman" w:hint="eastAsia"/>
          <w:sz w:val="28"/>
          <w:szCs w:val="28"/>
        </w:rPr>
        <w:t>作為詞袋架構下的加權機制，能在維持計算效率的同時提供穩定的文本表示。</w:t>
      </w:r>
    </w:p>
    <w:p w14:paraId="7ED20633" w14:textId="1E3A11F9" w:rsidR="00A82637" w:rsidRPr="00A82637" w:rsidRDefault="00A82637" w:rsidP="00A82637">
      <w:pPr>
        <w:outlineLvl w:val="0"/>
        <w:rPr>
          <w:rFonts w:ascii="Times New Roman" w:eastAsia="標楷體" w:hAnsi="Times New Roman" w:cs="Times New Roman"/>
          <w:sz w:val="28"/>
          <w:szCs w:val="28"/>
        </w:rPr>
      </w:pPr>
      <w:r w:rsidRPr="00A82637">
        <w:rPr>
          <w:rFonts w:ascii="Times New Roman" w:eastAsia="標楷體" w:hAnsi="Times New Roman" w:cs="Times New Roman" w:hint="eastAsia"/>
          <w:sz w:val="28"/>
          <w:szCs w:val="28"/>
        </w:rPr>
        <w:t>2.</w:t>
      </w:r>
      <w:r w:rsidR="00751AD4">
        <w:rPr>
          <w:rFonts w:ascii="Times New Roman" w:eastAsia="標楷體" w:hAnsi="Times New Roman" w:cs="Times New Roman" w:hint="eastAsia"/>
          <w:sz w:val="28"/>
          <w:szCs w:val="28"/>
        </w:rPr>
        <w:t xml:space="preserve">4 </w:t>
      </w:r>
      <w:r w:rsidR="00751AD4">
        <w:rPr>
          <w:rFonts w:ascii="Times New Roman" w:eastAsia="標楷體" w:hAnsi="Times New Roman" w:cs="Times New Roman" w:hint="eastAsia"/>
          <w:sz w:val="28"/>
          <w:szCs w:val="28"/>
        </w:rPr>
        <w:t>預測模型建構與可解釋性之必要性</w:t>
      </w:r>
    </w:p>
    <w:p w14:paraId="1DA7F58E" w14:textId="77777777" w:rsidR="00751AD4" w:rsidRPr="00751AD4" w:rsidRDefault="00751AD4" w:rsidP="00751AD4">
      <w:pPr>
        <w:outlineLvl w:val="0"/>
        <w:rPr>
          <w:rFonts w:ascii="Times New Roman" w:eastAsia="標楷體" w:hAnsi="Times New Roman" w:cs="Times New Roman"/>
          <w:sz w:val="28"/>
          <w:szCs w:val="28"/>
        </w:rPr>
      </w:pPr>
      <w:r w:rsidRPr="00751AD4">
        <w:rPr>
          <w:rFonts w:ascii="Times New Roman" w:eastAsia="標楷體" w:hAnsi="Times New Roman" w:cs="Times New Roman" w:hint="eastAsia"/>
          <w:sz w:val="28"/>
          <w:szCs w:val="28"/>
        </w:rPr>
        <w:t>在法律人工智慧（</w:t>
      </w:r>
      <w:r w:rsidRPr="00751AD4">
        <w:rPr>
          <w:rFonts w:ascii="Times New Roman" w:eastAsia="標楷體" w:hAnsi="Times New Roman" w:cs="Times New Roman" w:hint="eastAsia"/>
          <w:sz w:val="28"/>
          <w:szCs w:val="28"/>
        </w:rPr>
        <w:t>Legal AI</w:t>
      </w:r>
      <w:r w:rsidRPr="00751AD4">
        <w:rPr>
          <w:rFonts w:ascii="Times New Roman" w:eastAsia="標楷體" w:hAnsi="Times New Roman" w:cs="Times New Roman" w:hint="eastAsia"/>
          <w:sz w:val="28"/>
          <w:szCs w:val="28"/>
        </w:rPr>
        <w:t>）的實務應用中，模型決策的透明度與可解釋性至關重要。近期的研究表明，雖然大型語言模型（</w:t>
      </w:r>
      <w:r w:rsidRPr="00751AD4">
        <w:rPr>
          <w:rFonts w:ascii="Times New Roman" w:eastAsia="標楷體" w:hAnsi="Times New Roman" w:cs="Times New Roman" w:hint="eastAsia"/>
          <w:sz w:val="28"/>
          <w:szCs w:val="28"/>
        </w:rPr>
        <w:t>LLMs</w:t>
      </w:r>
      <w:r w:rsidRPr="00751AD4">
        <w:rPr>
          <w:rFonts w:ascii="Times New Roman" w:eastAsia="標楷體" w:hAnsi="Times New Roman" w:cs="Times New Roman" w:hint="eastAsia"/>
          <w:sz w:val="28"/>
          <w:szCs w:val="28"/>
        </w:rPr>
        <w:t>）與深層神經網絡在部分任務表現優異，但其「黑箱（</w:t>
      </w:r>
      <w:r w:rsidRPr="00751AD4">
        <w:rPr>
          <w:rFonts w:ascii="Times New Roman" w:eastAsia="標楷體" w:hAnsi="Times New Roman" w:cs="Times New Roman" w:hint="eastAsia"/>
          <w:sz w:val="28"/>
          <w:szCs w:val="28"/>
        </w:rPr>
        <w:t>Black-box</w:t>
      </w:r>
      <w:r w:rsidRPr="00751AD4">
        <w:rPr>
          <w:rFonts w:ascii="Times New Roman" w:eastAsia="標楷體" w:hAnsi="Times New Roman" w:cs="Times New Roman" w:hint="eastAsia"/>
          <w:sz w:val="28"/>
          <w:szCs w:val="28"/>
        </w:rPr>
        <w:t>）」特性與產生幻覺（</w:t>
      </w:r>
      <w:r w:rsidRPr="00751AD4">
        <w:rPr>
          <w:rFonts w:ascii="Times New Roman" w:eastAsia="標楷體" w:hAnsi="Times New Roman" w:cs="Times New Roman" w:hint="eastAsia"/>
          <w:sz w:val="28"/>
          <w:szCs w:val="28"/>
        </w:rPr>
        <w:t>Hallucination</w:t>
      </w:r>
      <w:r w:rsidRPr="00751AD4">
        <w:rPr>
          <w:rFonts w:ascii="Times New Roman" w:eastAsia="標楷體" w:hAnsi="Times New Roman" w:cs="Times New Roman" w:hint="eastAsia"/>
          <w:sz w:val="28"/>
          <w:szCs w:val="28"/>
        </w:rPr>
        <w:t>）的風險，導致決策過程缺乏解釋力，在嚴謹的司法場域面臨極大的信任挑戰。</w:t>
      </w:r>
    </w:p>
    <w:p w14:paraId="05730789" w14:textId="2F134629" w:rsidR="00214D9F" w:rsidRDefault="00751AD4" w:rsidP="00751AD4">
      <w:pPr>
        <w:outlineLvl w:val="0"/>
        <w:rPr>
          <w:rFonts w:ascii="Times New Roman" w:eastAsia="標楷體" w:hAnsi="Times New Roman" w:cs="Times New Roman"/>
          <w:sz w:val="28"/>
          <w:szCs w:val="28"/>
        </w:rPr>
      </w:pPr>
      <w:r w:rsidRPr="00751AD4">
        <w:rPr>
          <w:rFonts w:ascii="Times New Roman" w:eastAsia="標楷體" w:hAnsi="Times New Roman" w:cs="Times New Roman" w:hint="eastAsia"/>
          <w:sz w:val="28"/>
          <w:szCs w:val="28"/>
        </w:rPr>
        <w:t>相對地，傳統機器學習與整合學習（</w:t>
      </w:r>
      <w:r w:rsidRPr="00751AD4">
        <w:rPr>
          <w:rFonts w:ascii="Times New Roman" w:eastAsia="標楷體" w:hAnsi="Times New Roman" w:cs="Times New Roman" w:hint="eastAsia"/>
          <w:sz w:val="28"/>
          <w:szCs w:val="28"/>
        </w:rPr>
        <w:t>Ensemble Learning</w:t>
      </w:r>
      <w:r w:rsidRPr="00751AD4">
        <w:rPr>
          <w:rFonts w:ascii="Times New Roman" w:eastAsia="標楷體" w:hAnsi="Times New Roman" w:cs="Times New Roman" w:hint="eastAsia"/>
          <w:sz w:val="28"/>
          <w:szCs w:val="28"/>
        </w:rPr>
        <w:t>）演算法在維持準確率的同時，提供了模型可解釋性。研究顯示，隨機森林（</w:t>
      </w:r>
      <w:r w:rsidRPr="00751AD4">
        <w:rPr>
          <w:rFonts w:ascii="Times New Roman" w:eastAsia="標楷體" w:hAnsi="Times New Roman" w:cs="Times New Roman" w:hint="eastAsia"/>
          <w:sz w:val="28"/>
          <w:szCs w:val="28"/>
        </w:rPr>
        <w:t>Random Forest</w:t>
      </w:r>
      <w:r w:rsidRPr="00751AD4">
        <w:rPr>
          <w:rFonts w:ascii="Times New Roman" w:eastAsia="標楷體" w:hAnsi="Times New Roman" w:cs="Times New Roman" w:hint="eastAsia"/>
          <w:sz w:val="28"/>
          <w:szCs w:val="28"/>
        </w:rPr>
        <w:t>）、</w:t>
      </w:r>
      <w:r w:rsidRPr="00751AD4">
        <w:rPr>
          <w:rFonts w:ascii="Times New Roman" w:eastAsia="標楷體" w:hAnsi="Times New Roman" w:cs="Times New Roman" w:hint="eastAsia"/>
          <w:sz w:val="28"/>
          <w:szCs w:val="28"/>
        </w:rPr>
        <w:t xml:space="preserve">XGBoost </w:t>
      </w:r>
      <w:r w:rsidRPr="00751AD4">
        <w:rPr>
          <w:rFonts w:ascii="Times New Roman" w:eastAsia="標楷體" w:hAnsi="Times New Roman" w:cs="Times New Roman" w:hint="eastAsia"/>
          <w:sz w:val="28"/>
          <w:szCs w:val="28"/>
        </w:rPr>
        <w:t>與支持向量機（</w:t>
      </w:r>
      <w:r w:rsidRPr="00751AD4">
        <w:rPr>
          <w:rFonts w:ascii="Times New Roman" w:eastAsia="標楷體" w:hAnsi="Times New Roman" w:cs="Times New Roman" w:hint="eastAsia"/>
          <w:sz w:val="28"/>
          <w:szCs w:val="28"/>
        </w:rPr>
        <w:t>SVM</w:t>
      </w:r>
      <w:r w:rsidRPr="00751AD4">
        <w:rPr>
          <w:rFonts w:ascii="Times New Roman" w:eastAsia="標楷體" w:hAnsi="Times New Roman" w:cs="Times New Roman" w:hint="eastAsia"/>
          <w:sz w:val="28"/>
          <w:szCs w:val="28"/>
        </w:rPr>
        <w:t>）等傳統模型在處理法規分類與判決預測時，不僅具備低延遲的推論優勢，還能透過特徵重要性（</w:t>
      </w:r>
      <w:r w:rsidRPr="00751AD4">
        <w:rPr>
          <w:rFonts w:ascii="Times New Roman" w:eastAsia="標楷體" w:hAnsi="Times New Roman" w:cs="Times New Roman" w:hint="eastAsia"/>
          <w:sz w:val="28"/>
          <w:szCs w:val="28"/>
        </w:rPr>
        <w:t>Feature Importance</w:t>
      </w:r>
      <w:r w:rsidRPr="00751AD4">
        <w:rPr>
          <w:rFonts w:ascii="Times New Roman" w:eastAsia="標楷體" w:hAnsi="Times New Roman" w:cs="Times New Roman" w:hint="eastAsia"/>
          <w:sz w:val="28"/>
          <w:szCs w:val="28"/>
        </w:rPr>
        <w:t>）明確揭示哪些法律關鍵字主導了判決結果，使其非常適合應用於實務決策中。在台灣的司法實證研究中，亦有學者運用隨機森林結合排列特徵重要性（</w:t>
      </w:r>
      <w:r w:rsidRPr="00751AD4">
        <w:rPr>
          <w:rFonts w:ascii="Times New Roman" w:eastAsia="標楷體" w:hAnsi="Times New Roman" w:cs="Times New Roman" w:hint="eastAsia"/>
          <w:sz w:val="28"/>
          <w:szCs w:val="28"/>
        </w:rPr>
        <w:t>Permutation Feature Importance</w:t>
      </w:r>
      <w:r w:rsidRPr="00751AD4">
        <w:rPr>
          <w:rFonts w:ascii="Times New Roman" w:eastAsia="標楷體" w:hAnsi="Times New Roman" w:cs="Times New Roman" w:hint="eastAsia"/>
          <w:sz w:val="28"/>
          <w:szCs w:val="28"/>
        </w:rPr>
        <w:t>），成功預測車禍案件精</w:t>
      </w:r>
      <w:r w:rsidRPr="00751AD4">
        <w:rPr>
          <w:rFonts w:ascii="Times New Roman" w:eastAsia="標楷體" w:hAnsi="Times New Roman" w:cs="Times New Roman" w:hint="eastAsia"/>
          <w:sz w:val="28"/>
          <w:szCs w:val="28"/>
        </w:rPr>
        <w:lastRenderedPageBreak/>
        <w:t>神慰撫金，並精確梳理出法官審酌的關鍵因素排名</w:t>
      </w:r>
      <w:r w:rsidR="00214D9F">
        <w:rPr>
          <w:rFonts w:ascii="Times New Roman" w:eastAsia="標楷體" w:hAnsi="Times New Roman" w:cs="Times New Roman" w:hint="eastAsia"/>
          <w:sz w:val="28"/>
          <w:szCs w:val="28"/>
          <w:vertAlign w:val="superscript"/>
        </w:rPr>
        <w:t>14</w:t>
      </w:r>
      <w:r w:rsidRPr="00751AD4">
        <w:rPr>
          <w:rFonts w:ascii="Times New Roman" w:eastAsia="標楷體" w:hAnsi="Times New Roman" w:cs="Times New Roman" w:hint="eastAsia"/>
          <w:sz w:val="28"/>
          <w:szCs w:val="28"/>
        </w:rPr>
        <w:t>。</w:t>
      </w:r>
    </w:p>
    <w:p w14:paraId="48E3961E" w14:textId="3076447A" w:rsidR="00214D9F" w:rsidRDefault="00214D9F" w:rsidP="00A82637">
      <w:pPr>
        <w:outlineLvl w:val="0"/>
        <w:rPr>
          <w:rFonts w:ascii="Times New Roman" w:eastAsia="標楷體" w:hAnsi="Times New Roman" w:cs="Times New Roman"/>
          <w:sz w:val="28"/>
          <w:szCs w:val="28"/>
        </w:rPr>
      </w:pPr>
      <w:r w:rsidRPr="00214D9F">
        <w:rPr>
          <w:rFonts w:ascii="Times New Roman" w:eastAsia="標楷體" w:hAnsi="Times New Roman" w:cs="Times New Roman" w:hint="eastAsia"/>
          <w:sz w:val="28"/>
          <w:szCs w:val="28"/>
        </w:rPr>
        <w:t>另一方面，儘管文獻指出基礎深度學習模型（如</w:t>
      </w:r>
      <w:r w:rsidRPr="00214D9F">
        <w:rPr>
          <w:rFonts w:ascii="Times New Roman" w:eastAsia="標楷體" w:hAnsi="Times New Roman" w:cs="Times New Roman" w:hint="eastAsia"/>
          <w:sz w:val="28"/>
          <w:szCs w:val="28"/>
        </w:rPr>
        <w:t xml:space="preserve"> LSTM </w:t>
      </w:r>
      <w:r w:rsidRPr="00214D9F">
        <w:rPr>
          <w:rFonts w:ascii="Times New Roman" w:eastAsia="標楷體" w:hAnsi="Times New Roman" w:cs="Times New Roman" w:hint="eastAsia"/>
          <w:sz w:val="28"/>
          <w:szCs w:val="28"/>
        </w:rPr>
        <w:t>結合</w:t>
      </w:r>
      <w:r w:rsidRPr="00214D9F">
        <w:rPr>
          <w:rFonts w:ascii="Times New Roman" w:eastAsia="標楷體" w:hAnsi="Times New Roman" w:cs="Times New Roman" w:hint="eastAsia"/>
          <w:sz w:val="28"/>
          <w:szCs w:val="28"/>
        </w:rPr>
        <w:t xml:space="preserve"> CNN</w:t>
      </w:r>
      <w:r w:rsidRPr="00214D9F">
        <w:rPr>
          <w:rFonts w:ascii="Times New Roman" w:eastAsia="標楷體" w:hAnsi="Times New Roman" w:cs="Times New Roman" w:hint="eastAsia"/>
          <w:sz w:val="28"/>
          <w:szCs w:val="28"/>
        </w:rPr>
        <w:t>）在處理司法數據上能達到</w:t>
      </w:r>
      <w:r w:rsidRPr="00214D9F">
        <w:rPr>
          <w:rFonts w:ascii="Times New Roman" w:eastAsia="標楷體" w:hAnsi="Times New Roman" w:cs="Times New Roman" w:hint="eastAsia"/>
          <w:sz w:val="28"/>
          <w:szCs w:val="28"/>
        </w:rPr>
        <w:t xml:space="preserve"> 92.05% </w:t>
      </w:r>
      <w:r w:rsidRPr="00214D9F">
        <w:rPr>
          <w:rFonts w:ascii="Times New Roman" w:eastAsia="標楷體" w:hAnsi="Times New Roman" w:cs="Times New Roman" w:hint="eastAsia"/>
          <w:sz w:val="28"/>
          <w:szCs w:val="28"/>
        </w:rPr>
        <w:t>的高準確率與</w:t>
      </w:r>
      <w:r w:rsidRPr="00214D9F">
        <w:rPr>
          <w:rFonts w:ascii="Times New Roman" w:eastAsia="標楷體" w:hAnsi="Times New Roman" w:cs="Times New Roman" w:hint="eastAsia"/>
          <w:sz w:val="28"/>
          <w:szCs w:val="28"/>
        </w:rPr>
        <w:t xml:space="preserve"> 93% </w:t>
      </w:r>
      <w:r w:rsidRPr="00214D9F">
        <w:rPr>
          <w:rFonts w:ascii="Times New Roman" w:eastAsia="標楷體" w:hAnsi="Times New Roman" w:cs="Times New Roman" w:hint="eastAsia"/>
          <w:sz w:val="28"/>
          <w:szCs w:val="28"/>
        </w:rPr>
        <w:t>的</w:t>
      </w:r>
      <w:r w:rsidRPr="00214D9F">
        <w:rPr>
          <w:rFonts w:ascii="Times New Roman" w:eastAsia="標楷體" w:hAnsi="Times New Roman" w:cs="Times New Roman" w:hint="eastAsia"/>
          <w:sz w:val="28"/>
          <w:szCs w:val="28"/>
        </w:rPr>
        <w:t xml:space="preserve"> F1 </w:t>
      </w:r>
      <w:r w:rsidRPr="00214D9F">
        <w:rPr>
          <w:rFonts w:ascii="Times New Roman" w:eastAsia="標楷體" w:hAnsi="Times New Roman" w:cs="Times New Roman" w:hint="eastAsia"/>
          <w:sz w:val="28"/>
          <w:szCs w:val="28"/>
        </w:rPr>
        <w:t>分數</w:t>
      </w:r>
      <w:r>
        <w:rPr>
          <w:rFonts w:ascii="Times New Roman" w:eastAsia="標楷體" w:hAnsi="Times New Roman" w:cs="Times New Roman" w:hint="eastAsia"/>
          <w:sz w:val="28"/>
          <w:szCs w:val="28"/>
          <w:vertAlign w:val="superscript"/>
        </w:rPr>
        <w:t>15</w:t>
      </w:r>
      <w:r w:rsidRPr="00214D9F">
        <w:rPr>
          <w:rFonts w:ascii="Times New Roman" w:eastAsia="標楷體" w:hAnsi="Times New Roman" w:cs="Times New Roman" w:hint="eastAsia"/>
          <w:sz w:val="28"/>
          <w:szCs w:val="28"/>
        </w:rPr>
        <w:t>，但其黑箱特性仍難以完全滿足實務上對「判決理由」的透明度要求。因此，將具備高可解釋性的傳統機器學習模型與基礎神經網路並列比較，以探討模型準確率與決策透明度之間的權衡（</w:t>
      </w:r>
      <w:r w:rsidRPr="00214D9F">
        <w:rPr>
          <w:rFonts w:ascii="Times New Roman" w:eastAsia="標楷體" w:hAnsi="Times New Roman" w:cs="Times New Roman" w:hint="eastAsia"/>
          <w:sz w:val="28"/>
          <w:szCs w:val="28"/>
        </w:rPr>
        <w:t>Trade-off</w:t>
      </w:r>
      <w:r w:rsidRPr="00214D9F">
        <w:rPr>
          <w:rFonts w:ascii="Times New Roman" w:eastAsia="標楷體" w:hAnsi="Times New Roman" w:cs="Times New Roman" w:hint="eastAsia"/>
          <w:sz w:val="28"/>
          <w:szCs w:val="28"/>
        </w:rPr>
        <w:t>），便成為當前實證研究的重要方向。</w:t>
      </w:r>
    </w:p>
    <w:p w14:paraId="64C5CC6C" w14:textId="291C9742" w:rsidR="00A82637" w:rsidRPr="00A82637" w:rsidRDefault="00A82637" w:rsidP="00A82637">
      <w:pPr>
        <w:outlineLvl w:val="0"/>
        <w:rPr>
          <w:rFonts w:ascii="Times New Roman" w:eastAsia="標楷體" w:hAnsi="Times New Roman" w:cs="Times New Roman"/>
          <w:sz w:val="28"/>
          <w:szCs w:val="28"/>
        </w:rPr>
      </w:pPr>
      <w:r w:rsidRPr="00A82637">
        <w:rPr>
          <w:rFonts w:ascii="Times New Roman" w:eastAsia="標楷體" w:hAnsi="Times New Roman" w:cs="Times New Roman" w:hint="eastAsia"/>
          <w:sz w:val="28"/>
          <w:szCs w:val="28"/>
        </w:rPr>
        <w:t xml:space="preserve">2.5 </w:t>
      </w:r>
      <w:r w:rsidRPr="00A82637">
        <w:rPr>
          <w:rFonts w:ascii="Times New Roman" w:eastAsia="標楷體" w:hAnsi="Times New Roman" w:cs="Times New Roman" w:hint="eastAsia"/>
          <w:sz w:val="28"/>
          <w:szCs w:val="28"/>
        </w:rPr>
        <w:t>總結與研究缺口</w:t>
      </w:r>
    </w:p>
    <w:p w14:paraId="5FD10830" w14:textId="75C2E604" w:rsidR="003857B4" w:rsidRPr="003857B4" w:rsidRDefault="003857B4" w:rsidP="003857B4">
      <w:pPr>
        <w:widowControl/>
        <w:rPr>
          <w:rFonts w:ascii="Times New Roman" w:eastAsia="標楷體" w:hAnsi="Times New Roman" w:cs="Times New Roman"/>
          <w:sz w:val="28"/>
          <w:szCs w:val="28"/>
        </w:rPr>
      </w:pPr>
      <w:r w:rsidRPr="003857B4">
        <w:rPr>
          <w:rFonts w:ascii="Times New Roman" w:eastAsia="標楷體" w:hAnsi="Times New Roman" w:cs="Times New Roman" w:hint="eastAsia"/>
          <w:sz w:val="28"/>
          <w:szCs w:val="28"/>
        </w:rPr>
        <w:t>綜合上述文獻，目前台灣在智慧財產權（</w:t>
      </w:r>
      <w:r w:rsidRPr="003857B4">
        <w:rPr>
          <w:rFonts w:ascii="Times New Roman" w:eastAsia="標楷體" w:hAnsi="Times New Roman" w:cs="Times New Roman" w:hint="eastAsia"/>
          <w:sz w:val="28"/>
          <w:szCs w:val="28"/>
        </w:rPr>
        <w:t>IP</w:t>
      </w:r>
      <w:r w:rsidRPr="003857B4">
        <w:rPr>
          <w:rFonts w:ascii="Times New Roman" w:eastAsia="標楷體" w:hAnsi="Times New Roman" w:cs="Times New Roman" w:hint="eastAsia"/>
          <w:sz w:val="28"/>
          <w:szCs w:val="28"/>
        </w:rPr>
        <w:t>）領域的實證研究多聚焦於賠償金額的數值迴歸或單純的勝敗二元分類，鮮少針對法理爭議最大、特徵空間高度重疊的「部分勝訴」進行系統性的多類別（</w:t>
      </w:r>
      <w:r w:rsidRPr="003857B4">
        <w:rPr>
          <w:rFonts w:ascii="Times New Roman" w:eastAsia="標楷體" w:hAnsi="Times New Roman" w:cs="Times New Roman" w:hint="eastAsia"/>
          <w:sz w:val="28"/>
          <w:szCs w:val="28"/>
        </w:rPr>
        <w:t>Multi-class</w:t>
      </w:r>
      <w:r w:rsidRPr="003857B4">
        <w:rPr>
          <w:rFonts w:ascii="Times New Roman" w:eastAsia="標楷體" w:hAnsi="Times New Roman" w:cs="Times New Roman" w:hint="eastAsia"/>
          <w:sz w:val="28"/>
          <w:szCs w:val="28"/>
        </w:rPr>
        <w:t>）建模</w:t>
      </w:r>
      <w:r w:rsidRPr="003857B4">
        <w:rPr>
          <w:rFonts w:ascii="Times New Roman" w:eastAsia="標楷體" w:hAnsi="Times New Roman" w:cs="Times New Roman" w:hint="eastAsia"/>
          <w:sz w:val="28"/>
          <w:szCs w:val="28"/>
        </w:rPr>
        <w:t xml:space="preserve"> </w:t>
      </w:r>
      <w:r w:rsidRPr="003857B4">
        <w:rPr>
          <w:rFonts w:ascii="Times New Roman" w:eastAsia="標楷體" w:hAnsi="Times New Roman" w:cs="Times New Roman" w:hint="eastAsia"/>
          <w:sz w:val="28"/>
          <w:szCs w:val="28"/>
        </w:rPr>
        <w:t>。然而，部分勝訴與部分敗訴在專利訴訟實務中極為常見，且對企業的後續決策具備關鍵影響。</w:t>
      </w:r>
      <w:r w:rsidRPr="003857B4">
        <w:rPr>
          <w:rFonts w:ascii="Times New Roman" w:eastAsia="標楷體" w:hAnsi="Times New Roman" w:cs="Times New Roman" w:hint="eastAsia"/>
          <w:sz w:val="28"/>
          <w:szCs w:val="28"/>
        </w:rPr>
        <w:t xml:space="preserve">   </w:t>
      </w:r>
    </w:p>
    <w:p w14:paraId="713412D2" w14:textId="6648394C" w:rsidR="003857B4" w:rsidRPr="003857B4" w:rsidRDefault="003857B4" w:rsidP="003857B4">
      <w:pPr>
        <w:widowControl/>
        <w:rPr>
          <w:rFonts w:ascii="Times New Roman" w:eastAsia="標楷體" w:hAnsi="Times New Roman" w:cs="Times New Roman"/>
          <w:sz w:val="28"/>
          <w:szCs w:val="28"/>
        </w:rPr>
      </w:pPr>
      <w:r w:rsidRPr="003857B4">
        <w:rPr>
          <w:rFonts w:ascii="Times New Roman" w:eastAsia="標楷體" w:hAnsi="Times New Roman" w:cs="Times New Roman" w:hint="eastAsia"/>
          <w:sz w:val="28"/>
          <w:szCs w:val="28"/>
        </w:rPr>
        <w:t>考量到司法實務對「預測理由」的需求，本研究旨在填補此一斷層。本研究不盲目追求黑箱化的巨型模型，而是首先導入</w:t>
      </w:r>
      <w:r w:rsidRPr="003857B4">
        <w:rPr>
          <w:rFonts w:ascii="Times New Roman" w:eastAsia="標楷體" w:hAnsi="Times New Roman" w:cs="Times New Roman" w:hint="eastAsia"/>
          <w:sz w:val="28"/>
          <w:szCs w:val="28"/>
        </w:rPr>
        <w:t xml:space="preserve"> CKIP Transformers </w:t>
      </w:r>
      <w:r w:rsidRPr="003857B4">
        <w:rPr>
          <w:rFonts w:ascii="Times New Roman" w:eastAsia="標楷體" w:hAnsi="Times New Roman" w:cs="Times New Roman" w:hint="eastAsia"/>
          <w:sz w:val="28"/>
          <w:szCs w:val="28"/>
        </w:rPr>
        <w:t>進行高精度的法律術語斷詞，接續基於穩健的詞袋模型（</w:t>
      </w:r>
      <w:r w:rsidRPr="003857B4">
        <w:rPr>
          <w:rFonts w:ascii="Times New Roman" w:eastAsia="標楷體" w:hAnsi="Times New Roman" w:cs="Times New Roman" w:hint="eastAsia"/>
          <w:sz w:val="28"/>
          <w:szCs w:val="28"/>
        </w:rPr>
        <w:t>BoW</w:t>
      </w:r>
      <w:r w:rsidRPr="003857B4">
        <w:rPr>
          <w:rFonts w:ascii="Times New Roman" w:eastAsia="標楷體" w:hAnsi="Times New Roman" w:cs="Times New Roman" w:hint="eastAsia"/>
          <w:sz w:val="28"/>
          <w:szCs w:val="28"/>
        </w:rPr>
        <w:t>）與</w:t>
      </w:r>
      <w:r w:rsidRPr="003857B4">
        <w:rPr>
          <w:rFonts w:ascii="Times New Roman" w:eastAsia="標楷體" w:hAnsi="Times New Roman" w:cs="Times New Roman" w:hint="eastAsia"/>
          <w:sz w:val="28"/>
          <w:szCs w:val="28"/>
        </w:rPr>
        <w:t xml:space="preserve"> TF-IDF </w:t>
      </w:r>
      <w:r w:rsidRPr="003857B4">
        <w:rPr>
          <w:rFonts w:ascii="Times New Roman" w:eastAsia="標楷體" w:hAnsi="Times New Roman" w:cs="Times New Roman" w:hint="eastAsia"/>
          <w:sz w:val="28"/>
          <w:szCs w:val="28"/>
        </w:rPr>
        <w:t>特徵工程建構文本向量矩陣</w:t>
      </w:r>
      <w:r w:rsidRPr="003857B4">
        <w:rPr>
          <w:rFonts w:ascii="Times New Roman" w:eastAsia="標楷體" w:hAnsi="Times New Roman" w:cs="Times New Roman" w:hint="eastAsia"/>
          <w:sz w:val="28"/>
          <w:szCs w:val="28"/>
        </w:rPr>
        <w:t xml:space="preserve"> </w:t>
      </w:r>
      <w:r w:rsidRPr="003857B4">
        <w:rPr>
          <w:rFonts w:ascii="Times New Roman" w:eastAsia="標楷體" w:hAnsi="Times New Roman" w:cs="Times New Roman" w:hint="eastAsia"/>
          <w:sz w:val="28"/>
          <w:szCs w:val="28"/>
        </w:rPr>
        <w:t>。在預測階段，本研究系統性地比較了具備高可解釋性之傳統機器學習演算法（包含單純貝氏、決策樹、隨機森林、</w:t>
      </w:r>
      <w:r w:rsidRPr="003857B4">
        <w:rPr>
          <w:rFonts w:ascii="Times New Roman" w:eastAsia="標楷體" w:hAnsi="Times New Roman" w:cs="Times New Roman" w:hint="eastAsia"/>
          <w:sz w:val="28"/>
          <w:szCs w:val="28"/>
        </w:rPr>
        <w:t>KNN</w:t>
      </w:r>
      <w:r w:rsidRPr="003857B4">
        <w:rPr>
          <w:rFonts w:ascii="Times New Roman" w:eastAsia="標楷體" w:hAnsi="Times New Roman" w:cs="Times New Roman" w:hint="eastAsia"/>
          <w:sz w:val="28"/>
          <w:szCs w:val="28"/>
        </w:rPr>
        <w:t>、</w:t>
      </w:r>
      <w:r w:rsidRPr="003857B4">
        <w:rPr>
          <w:rFonts w:ascii="Times New Roman" w:eastAsia="標楷體" w:hAnsi="Times New Roman" w:cs="Times New Roman" w:hint="eastAsia"/>
          <w:sz w:val="28"/>
          <w:szCs w:val="28"/>
        </w:rPr>
        <w:t>SVM</w:t>
      </w:r>
      <w:r w:rsidRPr="003857B4">
        <w:rPr>
          <w:rFonts w:ascii="Times New Roman" w:eastAsia="標楷體" w:hAnsi="Times New Roman" w:cs="Times New Roman" w:hint="eastAsia"/>
          <w:sz w:val="28"/>
          <w:szCs w:val="28"/>
        </w:rPr>
        <w:t>）與基礎人工神經網絡（</w:t>
      </w:r>
      <w:r w:rsidRPr="003857B4">
        <w:rPr>
          <w:rFonts w:ascii="Times New Roman" w:eastAsia="標楷體" w:hAnsi="Times New Roman" w:cs="Times New Roman" w:hint="eastAsia"/>
          <w:sz w:val="28"/>
          <w:szCs w:val="28"/>
        </w:rPr>
        <w:t>ANN</w:t>
      </w:r>
      <w:r w:rsidRPr="003857B4">
        <w:rPr>
          <w:rFonts w:ascii="Times New Roman" w:eastAsia="標楷體" w:hAnsi="Times New Roman" w:cs="Times New Roman" w:hint="eastAsia"/>
          <w:sz w:val="28"/>
          <w:szCs w:val="28"/>
        </w:rPr>
        <w:t>）</w:t>
      </w:r>
      <w:r w:rsidRPr="003857B4">
        <w:rPr>
          <w:rFonts w:ascii="Times New Roman" w:eastAsia="標楷體" w:hAnsi="Times New Roman" w:cs="Times New Roman" w:hint="eastAsia"/>
          <w:sz w:val="28"/>
          <w:szCs w:val="28"/>
        </w:rPr>
        <w:t xml:space="preserve"> </w:t>
      </w:r>
      <w:r w:rsidRPr="003857B4">
        <w:rPr>
          <w:rFonts w:ascii="Times New Roman" w:eastAsia="標楷體" w:hAnsi="Times New Roman" w:cs="Times New Roman" w:hint="eastAsia"/>
          <w:sz w:val="28"/>
          <w:szCs w:val="28"/>
        </w:rPr>
        <w:t>。此外，為應對智財案件極端的類別不平衡問題，本研究以</w:t>
      </w:r>
      <w:r w:rsidRPr="003857B4">
        <w:rPr>
          <w:rFonts w:ascii="Times New Roman" w:eastAsia="標楷體" w:hAnsi="Times New Roman" w:cs="Times New Roman" w:hint="eastAsia"/>
          <w:sz w:val="28"/>
          <w:szCs w:val="28"/>
        </w:rPr>
        <w:t xml:space="preserve"> F1-Score </w:t>
      </w:r>
      <w:r w:rsidRPr="003857B4">
        <w:rPr>
          <w:rFonts w:ascii="Times New Roman" w:eastAsia="標楷體" w:hAnsi="Times New Roman" w:cs="Times New Roman" w:hint="eastAsia"/>
          <w:sz w:val="28"/>
          <w:szCs w:val="28"/>
        </w:rPr>
        <w:t>作為核心評估指標，並結合混淆矩陣深入分析「部分勝訴」模糊地帶之誤判傾向</w:t>
      </w:r>
      <w:r w:rsidRPr="003857B4">
        <w:rPr>
          <w:rFonts w:ascii="Times New Roman" w:eastAsia="標楷體" w:hAnsi="Times New Roman" w:cs="Times New Roman" w:hint="eastAsia"/>
          <w:sz w:val="28"/>
          <w:szCs w:val="28"/>
        </w:rPr>
        <w:t xml:space="preserve"> </w:t>
      </w:r>
      <w:r w:rsidRPr="003857B4">
        <w:rPr>
          <w:rFonts w:ascii="Times New Roman" w:eastAsia="標楷體" w:hAnsi="Times New Roman" w:cs="Times New Roman" w:hint="eastAsia"/>
          <w:sz w:val="28"/>
          <w:szCs w:val="28"/>
        </w:rPr>
        <w:t>，期能為智財訴訟建立一套兼具運算效率、預測穩健性與法理透明度的多類別預測框架。</w:t>
      </w:r>
      <w:r w:rsidRPr="003857B4">
        <w:rPr>
          <w:rFonts w:ascii="Times New Roman" w:eastAsia="標楷體" w:hAnsi="Times New Roman" w:cs="Times New Roman" w:hint="eastAsia"/>
          <w:sz w:val="28"/>
          <w:szCs w:val="28"/>
        </w:rPr>
        <w:t xml:space="preserve">   </w:t>
      </w:r>
    </w:p>
    <w:p w14:paraId="289B59D8" w14:textId="77777777" w:rsidR="00CC5EA4" w:rsidRDefault="00CC5EA4">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2AA4D9F" w14:textId="77777777" w:rsidR="008613E4" w:rsidRPr="008613E4" w:rsidRDefault="008613E4" w:rsidP="008613E4">
      <w:pPr>
        <w:outlineLvl w:val="0"/>
        <w:rPr>
          <w:rFonts w:ascii="Times New Roman" w:eastAsia="標楷體" w:hAnsi="Times New Roman" w:cs="Times New Roman"/>
          <w:sz w:val="28"/>
          <w:szCs w:val="28"/>
        </w:rPr>
      </w:pPr>
    </w:p>
    <w:p w14:paraId="42330752" w14:textId="3FCDC03D" w:rsid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t>研究方法</w:t>
      </w:r>
    </w:p>
    <w:p w14:paraId="2E0FDDCA" w14:textId="5872BCF6" w:rsidR="000E77F6" w:rsidRDefault="000E77F6" w:rsidP="008613E4">
      <w:pPr>
        <w:outlineLvl w:val="0"/>
        <w:rPr>
          <w:rFonts w:ascii="Times New Roman" w:eastAsia="標楷體" w:hAnsi="Times New Roman" w:cs="Times New Roman"/>
          <w:sz w:val="28"/>
          <w:szCs w:val="28"/>
        </w:rPr>
      </w:pPr>
      <w:r w:rsidRPr="000E77F6">
        <w:rPr>
          <w:rFonts w:ascii="Times New Roman" w:eastAsia="標楷體" w:hAnsi="Times New Roman" w:cs="Times New Roman"/>
          <w:sz w:val="28"/>
          <w:szCs w:val="28"/>
        </w:rPr>
        <w:t>本研究旨在運用文字探勘（</w:t>
      </w:r>
      <w:r w:rsidRPr="000E77F6">
        <w:rPr>
          <w:rFonts w:ascii="Times New Roman" w:eastAsia="標楷體" w:hAnsi="Times New Roman" w:cs="Times New Roman"/>
          <w:sz w:val="28"/>
          <w:szCs w:val="28"/>
        </w:rPr>
        <w:t>Text Mining</w:t>
      </w:r>
      <w:r w:rsidRPr="000E77F6">
        <w:rPr>
          <w:rFonts w:ascii="Times New Roman" w:eastAsia="標楷體" w:hAnsi="Times New Roman" w:cs="Times New Roman"/>
          <w:sz w:val="28"/>
          <w:szCs w:val="28"/>
        </w:rPr>
        <w:t>）與機器學習（</w:t>
      </w:r>
      <w:r w:rsidRPr="000E77F6">
        <w:rPr>
          <w:rFonts w:ascii="Times New Roman" w:eastAsia="標楷體" w:hAnsi="Times New Roman" w:cs="Times New Roman"/>
          <w:sz w:val="28"/>
          <w:szCs w:val="28"/>
        </w:rPr>
        <w:t>Machine Learning</w:t>
      </w:r>
      <w:r w:rsidRPr="000E77F6">
        <w:rPr>
          <w:rFonts w:ascii="Times New Roman" w:eastAsia="標楷體" w:hAnsi="Times New Roman" w:cs="Times New Roman"/>
          <w:sz w:val="28"/>
          <w:szCs w:val="28"/>
        </w:rPr>
        <w:t>）技術，對台灣智慧財產權相關的法院判決進行實證分析與結果預測。本章節將詳細闡述從資料蒐集、文本前處理、特徵工程到模型建構與評估的完整研究流程與方法論基礎。透過系統化的研究設計，我們期望能從非結構化的判決文本中，提取出具有預測能力的關鍵因素，並建立一個客觀、可複製的分析框架，以確保本研究的學術嚴謹性。</w:t>
      </w:r>
    </w:p>
    <w:p w14:paraId="6E9A4383" w14:textId="1BCBB56C" w:rsidR="002C6512" w:rsidRDefault="002C6512" w:rsidP="008613E4">
      <w:pPr>
        <w:outlineLvl w:val="0"/>
        <w:rPr>
          <w:rFonts w:ascii="Times New Roman" w:eastAsia="標楷體" w:hAnsi="Times New Roman" w:cs="Times New Roman"/>
          <w:sz w:val="28"/>
          <w:szCs w:val="28"/>
        </w:rPr>
      </w:pPr>
      <w:r>
        <w:rPr>
          <w:rFonts w:ascii="Times New Roman" w:eastAsia="標楷體" w:hAnsi="Times New Roman" w:cs="Times New Roman"/>
          <w:noProof/>
          <w:sz w:val="28"/>
          <w:szCs w:val="28"/>
        </w:rPr>
        <mc:AlternateContent>
          <mc:Choice Requires="wpg">
            <w:drawing>
              <wp:anchor distT="0" distB="0" distL="114300" distR="114300" simplePos="0" relativeHeight="251674624" behindDoc="0" locked="0" layoutInCell="1" allowOverlap="1" wp14:anchorId="2A905E7D" wp14:editId="29CE61C5">
                <wp:simplePos x="0" y="0"/>
                <wp:positionH relativeFrom="column">
                  <wp:posOffset>599638</wp:posOffset>
                </wp:positionH>
                <wp:positionV relativeFrom="paragraph">
                  <wp:posOffset>44450</wp:posOffset>
                </wp:positionV>
                <wp:extent cx="5178425" cy="2045970"/>
                <wp:effectExtent l="0" t="0" r="22225" b="11430"/>
                <wp:wrapNone/>
                <wp:docPr id="1234589219" name="群組 7"/>
                <wp:cNvGraphicFramePr/>
                <a:graphic xmlns:a="http://schemas.openxmlformats.org/drawingml/2006/main">
                  <a:graphicData uri="http://schemas.microsoft.com/office/word/2010/wordprocessingGroup">
                    <wpg:wgp>
                      <wpg:cNvGrpSpPr/>
                      <wpg:grpSpPr>
                        <a:xfrm>
                          <a:off x="0" y="0"/>
                          <a:ext cx="5178425" cy="2045970"/>
                          <a:chOff x="0" y="0"/>
                          <a:chExt cx="5178755" cy="2046514"/>
                        </a:xfrm>
                      </wpg:grpSpPr>
                      <wps:wsp>
                        <wps:cNvPr id="2037692167" name="文字方塊 2"/>
                        <wps:cNvSpPr txBox="1">
                          <a:spLocks noChangeArrowheads="1"/>
                        </wps:cNvSpPr>
                        <wps:spPr bwMode="auto">
                          <a:xfrm>
                            <a:off x="0" y="11875"/>
                            <a:ext cx="134302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4C142509" w14:textId="0BECC088"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資料獲取</w:t>
                              </w:r>
                            </w:p>
                          </w:txbxContent>
                        </wps:txbx>
                        <wps:bodyPr rot="0" vert="horz" wrap="square" lIns="91440" tIns="45720" rIns="91440" bIns="45720" anchor="ctr" anchorCtr="0">
                          <a:noAutofit/>
                        </wps:bodyPr>
                      </wps:wsp>
                      <wps:wsp>
                        <wps:cNvPr id="1668666567" name="文字方塊 2"/>
                        <wps:cNvSpPr txBox="1">
                          <a:spLocks noChangeArrowheads="1"/>
                        </wps:cNvSpPr>
                        <wps:spPr bwMode="auto">
                          <a:xfrm>
                            <a:off x="1911927" y="0"/>
                            <a:ext cx="134302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2E4CA52B" w14:textId="171D2234"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資料前處理</w:t>
                              </w:r>
                            </w:p>
                          </w:txbxContent>
                        </wps:txbx>
                        <wps:bodyPr rot="0" vert="horz" wrap="square" lIns="91440" tIns="45720" rIns="91440" bIns="45720" anchor="ctr" anchorCtr="0">
                          <a:noAutofit/>
                        </wps:bodyPr>
                      </wps:wsp>
                      <wps:wsp>
                        <wps:cNvPr id="2088765225" name="文字方塊 2"/>
                        <wps:cNvSpPr txBox="1">
                          <a:spLocks noChangeArrowheads="1"/>
                        </wps:cNvSpPr>
                        <wps:spPr bwMode="auto">
                          <a:xfrm>
                            <a:off x="653143" y="1436914"/>
                            <a:ext cx="166687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3C4EE245" w14:textId="07E07B1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預測模型建構</w:t>
                              </w:r>
                            </w:p>
                          </w:txbxContent>
                        </wps:txbx>
                        <wps:bodyPr rot="0" vert="horz" wrap="square" lIns="91440" tIns="45720" rIns="91440" bIns="45720" anchor="ctr" anchorCtr="0">
                          <a:noAutofit/>
                        </wps:bodyPr>
                      </wps:wsp>
                      <wps:wsp>
                        <wps:cNvPr id="1506213021" name="文字方塊 2"/>
                        <wps:cNvSpPr txBox="1">
                          <a:spLocks noChangeArrowheads="1"/>
                        </wps:cNvSpPr>
                        <wps:spPr bwMode="auto">
                          <a:xfrm>
                            <a:off x="2897579" y="1436914"/>
                            <a:ext cx="134302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00075465" w14:textId="6564464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效能評估</w:t>
                              </w:r>
                            </w:p>
                          </w:txbxContent>
                        </wps:txbx>
                        <wps:bodyPr rot="0" vert="horz" wrap="square" lIns="91440" tIns="45720" rIns="91440" bIns="45720" anchor="ctr" anchorCtr="0">
                          <a:noAutofit/>
                        </wps:bodyPr>
                      </wps:wsp>
                      <wps:wsp>
                        <wps:cNvPr id="254509797" name="文字方塊 2"/>
                        <wps:cNvSpPr txBox="1">
                          <a:spLocks noChangeArrowheads="1"/>
                        </wps:cNvSpPr>
                        <wps:spPr bwMode="auto">
                          <a:xfrm>
                            <a:off x="3835730" y="0"/>
                            <a:ext cx="134302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5607150C" w14:textId="2685240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特徵工程</w:t>
                              </w:r>
                            </w:p>
                          </w:txbxContent>
                        </wps:txbx>
                        <wps:bodyPr rot="0" vert="horz" wrap="square" lIns="91440" tIns="45720" rIns="91440" bIns="45720" anchor="ctr" anchorCtr="0">
                          <a:noAutofit/>
                        </wps:bodyPr>
                      </wps:wsp>
                      <wps:wsp>
                        <wps:cNvPr id="1941656581" name="直線單箭頭接點 6"/>
                        <wps:cNvCnPr/>
                        <wps:spPr>
                          <a:xfrm>
                            <a:off x="1341912" y="318407"/>
                            <a:ext cx="574024" cy="74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1396227" name="直線單箭頭接點 6"/>
                        <wps:cNvCnPr/>
                        <wps:spPr>
                          <a:xfrm>
                            <a:off x="3265714" y="318407"/>
                            <a:ext cx="574024" cy="74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4486450" name="直線單箭頭接點 6"/>
                        <wps:cNvCnPr/>
                        <wps:spPr>
                          <a:xfrm flipH="1">
                            <a:off x="1475014" y="617517"/>
                            <a:ext cx="3094714" cy="8237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8701504" name="直線單箭頭接點 6"/>
                        <wps:cNvCnPr/>
                        <wps:spPr>
                          <a:xfrm>
                            <a:off x="2327564" y="1743446"/>
                            <a:ext cx="574024" cy="74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A905E7D" id="群組 7" o:spid="_x0000_s1026" style="position:absolute;margin-left:47.2pt;margin-top:3.5pt;width:407.75pt;height:161.1pt;z-index:251674624" coordsize="51787,2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">
                <v:roundrect id="文字方塊 2" o:spid="_x0000_s1027" style="position:absolute;top:118;width:13430;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" filled="f" strokecolor="black [3213]" strokeweight="1pt">
                  <v:stroke joinstyle="miter"/>
                  <v:textbox>
                    <w:txbxContent>
                      <w:p w14:paraId="4C142509" w14:textId="0BECC088"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資料獲取</w:t>
                        </w:r>
                      </w:p>
                    </w:txbxContent>
                  </v:textbox>
                </v:roundrect>
                <v:roundrect id="文字方塊 2" o:spid="_x0000_s1028" style="position:absolute;left:19119;width:13430;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" filled="f" strokecolor="black [3213]" strokeweight="1pt">
                  <v:stroke joinstyle="miter"/>
                  <v:textbox>
                    <w:txbxContent>
                      <w:p w14:paraId="2E4CA52B" w14:textId="171D2234"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資料前處理</w:t>
                        </w:r>
                      </w:p>
                    </w:txbxContent>
                  </v:textbox>
                </v:roundrect>
                <v:roundrect id="文字方塊 2" o:spid="_x0000_s1029" style="position:absolute;left:6531;top:14369;width:16669;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" filled="f" strokecolor="black [3213]" strokeweight="1pt">
                  <v:stroke joinstyle="miter"/>
                  <v:textbox>
                    <w:txbxContent>
                      <w:p w14:paraId="3C4EE245" w14:textId="07E07B1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預測模型建構</w:t>
                        </w:r>
                      </w:p>
                    </w:txbxContent>
                  </v:textbox>
                </v:roundrect>
                <v:roundrect id="文字方塊 2" o:spid="_x0000_s1030" style="position:absolute;left:28975;top:14369;width:13431;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" filled="f" strokecolor="black [3213]" strokeweight="1pt">
                  <v:stroke joinstyle="miter"/>
                  <v:textbox>
                    <w:txbxContent>
                      <w:p w14:paraId="00075465" w14:textId="6564464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效能評估</w:t>
                        </w:r>
                      </w:p>
                    </w:txbxContent>
                  </v:textbox>
                </v:roundrect>
                <v:roundrect id="文字方塊 2" o:spid="_x0000_s1031" style="position:absolute;left:38357;width:13430;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" filled="f" strokecolor="black [3213]" strokeweight="1pt">
                  <v:stroke joinstyle="miter"/>
                  <v:textbox>
                    <w:txbxContent>
                      <w:p w14:paraId="5607150C" w14:textId="2685240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特徵工程</w:t>
                        </w:r>
                      </w:p>
                    </w:txbxContent>
                  </v:textbox>
                </v:roundrect>
                <v:shapetype id="_x0000_t32" coordsize="21600,21600" o:spt="32" o:oned="t" path="m,l21600,21600e" filled="f">
                  <v:path arrowok="t" fillok="f" o:connecttype="none"/>
                  <o:lock v:ext="edit" shapetype="t"/>
                </v:shapetype>
                <v:shape id="直線單箭頭接點 6" o:spid="_x0000_s1032" type="#_x0000_t32" style="position:absolute;left:13419;top:3184;width:5740;height: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" strokecolor="black [3213]" strokeweight=".5pt">
                  <v:stroke endarrow="block" joinstyle="miter"/>
                </v:shape>
                <v:shape id="直線單箭頭接點 6" o:spid="_x0000_s1033" type="#_x0000_t32" style="position:absolute;left:32657;top:3184;width:5740;height: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" strokecolor="black [3213]" strokeweight=".5pt">
                  <v:stroke endarrow="block" joinstyle="miter"/>
                </v:shape>
                <v:shape id="直線單箭頭接點 6" o:spid="_x0000_s1034" type="#_x0000_t32" style="position:absolute;left:14750;top:6175;width:30947;height:82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" strokecolor="black [3213]" strokeweight=".5pt">
                  <v:stroke endarrow="block" joinstyle="miter"/>
                </v:shape>
                <v:shape id="直線單箭頭接點 6" o:spid="_x0000_s1035" type="#_x0000_t32" style="position:absolute;left:23275;top:17434;width:5740;height: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" strokecolor="black [3213]" strokeweight=".5pt">
                  <v:stroke endarrow="block" joinstyle="miter"/>
                </v:shape>
              </v:group>
            </w:pict>
          </mc:Fallback>
        </mc:AlternateContent>
      </w:r>
    </w:p>
    <w:p w14:paraId="04A9BF1F" w14:textId="401C14B8" w:rsidR="002C6512" w:rsidRDefault="002C6512" w:rsidP="008613E4">
      <w:pPr>
        <w:outlineLvl w:val="0"/>
        <w:rPr>
          <w:rFonts w:ascii="Times New Roman" w:eastAsia="標楷體" w:hAnsi="Times New Roman" w:cs="Times New Roman"/>
          <w:sz w:val="28"/>
          <w:szCs w:val="28"/>
        </w:rPr>
      </w:pPr>
    </w:p>
    <w:p w14:paraId="0012305D" w14:textId="44299FA8" w:rsidR="002C6512" w:rsidRDefault="002C6512" w:rsidP="008613E4">
      <w:pPr>
        <w:outlineLvl w:val="0"/>
        <w:rPr>
          <w:rFonts w:ascii="Times New Roman" w:eastAsia="標楷體" w:hAnsi="Times New Roman" w:cs="Times New Roman"/>
          <w:sz w:val="28"/>
          <w:szCs w:val="28"/>
        </w:rPr>
      </w:pPr>
    </w:p>
    <w:p w14:paraId="30EAA2D4" w14:textId="175C4C1B" w:rsidR="002C6512" w:rsidRDefault="002C6512" w:rsidP="008613E4">
      <w:pPr>
        <w:outlineLvl w:val="0"/>
        <w:rPr>
          <w:rFonts w:ascii="Times New Roman" w:eastAsia="標楷體" w:hAnsi="Times New Roman" w:cs="Times New Roman"/>
          <w:sz w:val="28"/>
          <w:szCs w:val="28"/>
        </w:rPr>
      </w:pPr>
    </w:p>
    <w:p w14:paraId="18570A7E" w14:textId="4815063A" w:rsidR="002C6512" w:rsidRDefault="002C6512" w:rsidP="008613E4">
      <w:pPr>
        <w:outlineLvl w:val="0"/>
        <w:rPr>
          <w:rFonts w:ascii="Times New Roman" w:eastAsia="標楷體" w:hAnsi="Times New Roman" w:cs="Times New Roman"/>
          <w:sz w:val="28"/>
          <w:szCs w:val="28"/>
        </w:rPr>
      </w:pPr>
    </w:p>
    <w:p w14:paraId="18504C04" w14:textId="7B3E3031" w:rsidR="002C6512" w:rsidRDefault="002C6512" w:rsidP="008613E4">
      <w:pPr>
        <w:outlineLvl w:val="0"/>
        <w:rPr>
          <w:rFonts w:ascii="Times New Roman" w:eastAsia="標楷體" w:hAnsi="Times New Roman" w:cs="Times New Roman"/>
          <w:sz w:val="28"/>
          <w:szCs w:val="28"/>
        </w:rPr>
      </w:pPr>
    </w:p>
    <w:p w14:paraId="05089DA6" w14:textId="3BFC0C39" w:rsidR="002C6512" w:rsidRDefault="002C6512"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資料獲取</w:t>
      </w:r>
      <w:r w:rsidR="00130763">
        <w:rPr>
          <w:rFonts w:ascii="Times New Roman" w:eastAsia="標楷體" w:hAnsi="Times New Roman" w:cs="Times New Roman" w:hint="eastAsia"/>
          <w:sz w:val="28"/>
          <w:szCs w:val="28"/>
        </w:rPr>
        <w:t>及前處理</w:t>
      </w:r>
    </w:p>
    <w:p w14:paraId="58DE963D" w14:textId="416A65B4" w:rsidR="00772559" w:rsidRDefault="00B171A1"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資料來自司法院資料開放平台，使用</w:t>
      </w:r>
      <w:r>
        <w:rPr>
          <w:rFonts w:ascii="Times New Roman" w:eastAsia="標楷體" w:hAnsi="Times New Roman" w:cs="Times New Roman" w:hint="eastAsia"/>
          <w:sz w:val="28"/>
          <w:szCs w:val="28"/>
        </w:rPr>
        <w:t>python</w:t>
      </w:r>
      <w:r>
        <w:rPr>
          <w:rFonts w:ascii="Times New Roman" w:eastAsia="標楷體" w:hAnsi="Times New Roman" w:cs="Times New Roman" w:hint="eastAsia"/>
          <w:sz w:val="28"/>
          <w:szCs w:val="28"/>
        </w:rPr>
        <w:t>執行自動化操作，下載</w:t>
      </w:r>
      <w:r>
        <w:rPr>
          <w:rFonts w:ascii="Times New Roman" w:eastAsia="標楷體" w:hAnsi="Times New Roman" w:cs="Times New Roman" w:hint="eastAsia"/>
          <w:sz w:val="28"/>
          <w:szCs w:val="28"/>
        </w:rPr>
        <w:t>1996</w:t>
      </w:r>
      <w:r>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1</w:t>
      </w:r>
      <w:r>
        <w:rPr>
          <w:rFonts w:ascii="Times New Roman" w:eastAsia="標楷體" w:hAnsi="Times New Roman" w:cs="Times New Roman" w:hint="eastAsia"/>
          <w:sz w:val="28"/>
          <w:szCs w:val="28"/>
        </w:rPr>
        <w:t>月至</w:t>
      </w:r>
      <w:r>
        <w:rPr>
          <w:rFonts w:ascii="Times New Roman" w:eastAsia="標楷體" w:hAnsi="Times New Roman" w:cs="Times New Roman" w:hint="eastAsia"/>
          <w:sz w:val="28"/>
          <w:szCs w:val="28"/>
        </w:rPr>
        <w:t>2024</w:t>
      </w:r>
      <w:r>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12</w:t>
      </w:r>
      <w:r>
        <w:rPr>
          <w:rFonts w:ascii="Times New Roman" w:eastAsia="標楷體" w:hAnsi="Times New Roman" w:cs="Times New Roman" w:hint="eastAsia"/>
          <w:sz w:val="28"/>
          <w:szCs w:val="28"/>
        </w:rPr>
        <w:t>月之裁判書壓縮檔</w:t>
      </w:r>
      <w:r w:rsidR="004365B1">
        <w:rPr>
          <w:rFonts w:ascii="Times New Roman" w:eastAsia="標楷體" w:hAnsi="Times New Roman" w:cs="Times New Roman" w:hint="eastAsia"/>
          <w:sz w:val="28"/>
          <w:szCs w:val="28"/>
        </w:rPr>
        <w:t>，並呼叫</w:t>
      </w:r>
      <w:r w:rsidR="004365B1">
        <w:rPr>
          <w:rFonts w:ascii="Times New Roman" w:eastAsia="標楷體" w:hAnsi="Times New Roman" w:cs="Times New Roman" w:hint="eastAsia"/>
          <w:sz w:val="28"/>
          <w:szCs w:val="28"/>
        </w:rPr>
        <w:t>7-zip</w:t>
      </w:r>
      <w:r w:rsidR="004365B1">
        <w:rPr>
          <w:rFonts w:ascii="Times New Roman" w:eastAsia="標楷體" w:hAnsi="Times New Roman" w:cs="Times New Roman" w:hint="eastAsia"/>
          <w:sz w:val="28"/>
          <w:szCs w:val="28"/>
        </w:rPr>
        <w:t>執行解壓縮，獲得裁判書之</w:t>
      </w:r>
      <w:proofErr w:type="spellStart"/>
      <w:r w:rsidR="004365B1">
        <w:rPr>
          <w:rFonts w:ascii="Times New Roman" w:eastAsia="標楷體" w:hAnsi="Times New Roman" w:cs="Times New Roman" w:hint="eastAsia"/>
          <w:sz w:val="28"/>
          <w:szCs w:val="28"/>
        </w:rPr>
        <w:t>json</w:t>
      </w:r>
      <w:proofErr w:type="spellEnd"/>
      <w:r w:rsidR="004365B1">
        <w:rPr>
          <w:rFonts w:ascii="Times New Roman" w:eastAsia="標楷體" w:hAnsi="Times New Roman" w:cs="Times New Roman" w:hint="eastAsia"/>
          <w:sz w:val="28"/>
          <w:szCs w:val="28"/>
        </w:rPr>
        <w:t>檔</w:t>
      </w:r>
      <w:r w:rsidR="00130763">
        <w:rPr>
          <w:rFonts w:ascii="Times New Roman" w:eastAsia="標楷體" w:hAnsi="Times New Roman" w:cs="Times New Roman" w:hint="eastAsia"/>
          <w:sz w:val="28"/>
          <w:szCs w:val="28"/>
        </w:rPr>
        <w:t>共有</w:t>
      </w:r>
      <w:r w:rsidR="00130763">
        <w:rPr>
          <w:rFonts w:ascii="Times New Roman" w:eastAsia="標楷體" w:hAnsi="Times New Roman" w:cs="Times New Roman" w:hint="eastAsia"/>
          <w:sz w:val="28"/>
          <w:szCs w:val="28"/>
        </w:rPr>
        <w:t>90133</w:t>
      </w:r>
      <w:r w:rsidR="00130763">
        <w:rPr>
          <w:rFonts w:ascii="Times New Roman" w:eastAsia="標楷體" w:hAnsi="Times New Roman" w:cs="Times New Roman" w:hint="eastAsia"/>
          <w:sz w:val="28"/>
          <w:szCs w:val="28"/>
        </w:rPr>
        <w:t>筆檔案</w:t>
      </w:r>
      <w:r w:rsidR="00772559">
        <w:rPr>
          <w:rFonts w:ascii="Times New Roman" w:eastAsia="標楷體" w:hAnsi="Times New Roman" w:cs="Times New Roman" w:hint="eastAsia"/>
          <w:sz w:val="28"/>
          <w:szCs w:val="28"/>
        </w:rPr>
        <w:t>，並有以下欄位</w:t>
      </w:r>
    </w:p>
    <w:tbl>
      <w:tblPr>
        <w:tblStyle w:val="af3"/>
        <w:tblW w:w="0" w:type="auto"/>
        <w:jc w:val="center"/>
        <w:tblLook w:val="04A0" w:firstRow="1" w:lastRow="0" w:firstColumn="1" w:lastColumn="0" w:noHBand="0" w:noVBand="1"/>
      </w:tblPr>
      <w:tblGrid>
        <w:gridCol w:w="5228"/>
        <w:gridCol w:w="5228"/>
      </w:tblGrid>
      <w:tr w:rsidR="00772559" w14:paraId="4FB242FF" w14:textId="77777777" w:rsidTr="001E7DED">
        <w:trPr>
          <w:jc w:val="center"/>
        </w:trPr>
        <w:tc>
          <w:tcPr>
            <w:tcW w:w="5228" w:type="dxa"/>
          </w:tcPr>
          <w:p w14:paraId="22F1C23B" w14:textId="75D32C2B"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原始欄位</w:t>
            </w:r>
          </w:p>
        </w:tc>
        <w:tc>
          <w:tcPr>
            <w:tcW w:w="5228" w:type="dxa"/>
          </w:tcPr>
          <w:p w14:paraId="2FB50CA1" w14:textId="00D03C05"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欄位說明</w:t>
            </w:r>
          </w:p>
        </w:tc>
      </w:tr>
      <w:tr w:rsidR="00772559" w14:paraId="2B5E767A" w14:textId="77777777" w:rsidTr="001E7DED">
        <w:trPr>
          <w:jc w:val="center"/>
        </w:trPr>
        <w:tc>
          <w:tcPr>
            <w:tcW w:w="5228" w:type="dxa"/>
          </w:tcPr>
          <w:p w14:paraId="6BC9F539" w14:textId="5FAA19C9"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JID</w:t>
            </w:r>
          </w:p>
        </w:tc>
        <w:tc>
          <w:tcPr>
            <w:tcW w:w="5228" w:type="dxa"/>
          </w:tcPr>
          <w:p w14:paraId="3DD18EC2" w14:textId="56936851"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案號</w:t>
            </w:r>
          </w:p>
        </w:tc>
      </w:tr>
      <w:tr w:rsidR="00772559" w14:paraId="307E8F25" w14:textId="77777777" w:rsidTr="001E7DED">
        <w:trPr>
          <w:jc w:val="center"/>
        </w:trPr>
        <w:tc>
          <w:tcPr>
            <w:tcW w:w="5228" w:type="dxa"/>
          </w:tcPr>
          <w:p w14:paraId="61F40388" w14:textId="537671D0"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JYEAR</w:t>
            </w:r>
          </w:p>
        </w:tc>
        <w:tc>
          <w:tcPr>
            <w:tcW w:w="5228" w:type="dxa"/>
          </w:tcPr>
          <w:p w14:paraId="693850BF" w14:textId="48646110"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年度</w:t>
            </w:r>
          </w:p>
        </w:tc>
      </w:tr>
      <w:tr w:rsidR="00772559" w14:paraId="7B35F9C0" w14:textId="77777777" w:rsidTr="001E7DED">
        <w:trPr>
          <w:jc w:val="center"/>
        </w:trPr>
        <w:tc>
          <w:tcPr>
            <w:tcW w:w="5228" w:type="dxa"/>
          </w:tcPr>
          <w:p w14:paraId="02465D88" w14:textId="574F5F3B"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JCASE</w:t>
            </w:r>
          </w:p>
        </w:tc>
        <w:tc>
          <w:tcPr>
            <w:tcW w:w="5228" w:type="dxa"/>
          </w:tcPr>
          <w:p w14:paraId="607ECAC6" w14:textId="4E5515C7"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字別</w:t>
            </w:r>
          </w:p>
        </w:tc>
      </w:tr>
      <w:tr w:rsidR="00772559" w14:paraId="74AAB76A" w14:textId="77777777" w:rsidTr="001E7DED">
        <w:trPr>
          <w:jc w:val="center"/>
        </w:trPr>
        <w:tc>
          <w:tcPr>
            <w:tcW w:w="5228" w:type="dxa"/>
          </w:tcPr>
          <w:p w14:paraId="60BB3A34" w14:textId="5069D99A"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lastRenderedPageBreak/>
              <w:t>JNO</w:t>
            </w:r>
          </w:p>
        </w:tc>
        <w:tc>
          <w:tcPr>
            <w:tcW w:w="5228" w:type="dxa"/>
          </w:tcPr>
          <w:p w14:paraId="09B4B5AF" w14:textId="5644C267"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號碼</w:t>
            </w:r>
          </w:p>
        </w:tc>
      </w:tr>
      <w:tr w:rsidR="00772559" w14:paraId="2279D313" w14:textId="77777777" w:rsidTr="001E7DED">
        <w:trPr>
          <w:jc w:val="center"/>
        </w:trPr>
        <w:tc>
          <w:tcPr>
            <w:tcW w:w="5228" w:type="dxa"/>
          </w:tcPr>
          <w:p w14:paraId="544B4A3A" w14:textId="3BFF71A3"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JDATE</w:t>
            </w:r>
          </w:p>
        </w:tc>
        <w:tc>
          <w:tcPr>
            <w:tcW w:w="5228" w:type="dxa"/>
          </w:tcPr>
          <w:p w14:paraId="676B827D" w14:textId="4A3DEF90" w:rsidR="00772559" w:rsidRDefault="001E7DED"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裁判日期</w:t>
            </w:r>
          </w:p>
        </w:tc>
      </w:tr>
      <w:tr w:rsidR="00772559" w14:paraId="266C4231" w14:textId="77777777" w:rsidTr="001E7DED">
        <w:trPr>
          <w:jc w:val="center"/>
        </w:trPr>
        <w:tc>
          <w:tcPr>
            <w:tcW w:w="5228" w:type="dxa"/>
          </w:tcPr>
          <w:p w14:paraId="36A33554" w14:textId="57AE43E4"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JTITLE</w:t>
            </w:r>
          </w:p>
        </w:tc>
        <w:tc>
          <w:tcPr>
            <w:tcW w:w="5228" w:type="dxa"/>
          </w:tcPr>
          <w:p w14:paraId="2E419E8D" w14:textId="1665FF9C" w:rsidR="00772559" w:rsidRDefault="001E7DED"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案由</w:t>
            </w:r>
          </w:p>
        </w:tc>
      </w:tr>
      <w:tr w:rsidR="00772559" w14:paraId="337E8D60" w14:textId="77777777" w:rsidTr="001E7DED">
        <w:trPr>
          <w:trHeight w:val="212"/>
          <w:jc w:val="center"/>
        </w:trPr>
        <w:tc>
          <w:tcPr>
            <w:tcW w:w="5228" w:type="dxa"/>
          </w:tcPr>
          <w:p w14:paraId="223429C5" w14:textId="22ED5466"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JFULL</w:t>
            </w:r>
          </w:p>
        </w:tc>
        <w:tc>
          <w:tcPr>
            <w:tcW w:w="5228" w:type="dxa"/>
          </w:tcPr>
          <w:p w14:paraId="4633277C" w14:textId="11360FB2" w:rsidR="00772559" w:rsidRDefault="001E7DED"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全文</w:t>
            </w:r>
          </w:p>
        </w:tc>
      </w:tr>
      <w:tr w:rsidR="00772559" w14:paraId="1330432D" w14:textId="77777777" w:rsidTr="001E7DED">
        <w:trPr>
          <w:trHeight w:val="322"/>
          <w:jc w:val="center"/>
        </w:trPr>
        <w:tc>
          <w:tcPr>
            <w:tcW w:w="5228" w:type="dxa"/>
          </w:tcPr>
          <w:p w14:paraId="190260BD" w14:textId="26FBEBB2" w:rsidR="00772559" w:rsidRDefault="00744CBB"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JPDF</w:t>
            </w:r>
          </w:p>
        </w:tc>
        <w:tc>
          <w:tcPr>
            <w:tcW w:w="5228" w:type="dxa"/>
          </w:tcPr>
          <w:p w14:paraId="0B45E35E" w14:textId="233AC8F3" w:rsidR="00772559" w:rsidRDefault="001E7DED" w:rsidP="001E7DED">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裁判書</w:t>
            </w:r>
            <w:r>
              <w:rPr>
                <w:rFonts w:ascii="Times New Roman" w:eastAsia="標楷體" w:hAnsi="Times New Roman" w:cs="Times New Roman" w:hint="eastAsia"/>
                <w:sz w:val="28"/>
                <w:szCs w:val="28"/>
              </w:rPr>
              <w:t>PDF</w:t>
            </w:r>
            <w:r>
              <w:rPr>
                <w:rFonts w:ascii="Times New Roman" w:eastAsia="標楷體" w:hAnsi="Times New Roman" w:cs="Times New Roman" w:hint="eastAsia"/>
                <w:sz w:val="28"/>
                <w:szCs w:val="28"/>
              </w:rPr>
              <w:t>下載連結</w:t>
            </w:r>
          </w:p>
        </w:tc>
      </w:tr>
    </w:tbl>
    <w:p w14:paraId="26FC5178" w14:textId="77777777" w:rsidR="00772559" w:rsidRPr="00772559" w:rsidRDefault="00772559" w:rsidP="008613E4">
      <w:pPr>
        <w:outlineLvl w:val="0"/>
        <w:rPr>
          <w:rFonts w:ascii="Times New Roman" w:eastAsia="標楷體" w:hAnsi="Times New Roman" w:cs="Times New Roman"/>
          <w:sz w:val="28"/>
          <w:szCs w:val="28"/>
        </w:rPr>
      </w:pPr>
    </w:p>
    <w:p w14:paraId="3504C2AE" w14:textId="34152C5E" w:rsidR="002C6512" w:rsidRPr="00772559" w:rsidRDefault="001E7DED"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接著以</w:t>
      </w:r>
      <w:r w:rsidR="00130763">
        <w:rPr>
          <w:rFonts w:ascii="Times New Roman" w:eastAsia="標楷體" w:hAnsi="Times New Roman" w:cs="Times New Roman" w:hint="eastAsia"/>
          <w:sz w:val="28"/>
          <w:szCs w:val="28"/>
        </w:rPr>
        <w:t>regular expression</w:t>
      </w:r>
      <w:r w:rsidR="00772559">
        <w:rPr>
          <w:rFonts w:ascii="Times New Roman" w:eastAsia="標楷體" w:hAnsi="Times New Roman" w:cs="Times New Roman" w:hint="eastAsia"/>
          <w:sz w:val="28"/>
          <w:szCs w:val="28"/>
        </w:rPr>
        <w:t>進行以下操作</w:t>
      </w:r>
    </w:p>
    <w:p w14:paraId="17CF1AB2" w14:textId="7F238882" w:rsidR="00B9506F" w:rsidRDefault="000E2014" w:rsidP="00B9506F">
      <w:pPr>
        <w:numPr>
          <w:ilvl w:val="0"/>
          <w:numId w:val="2"/>
        </w:numPr>
        <w:outlineLvl w:val="0"/>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篩選智慧財產權案件</w:t>
      </w:r>
      <w:r w:rsidR="00B9506F" w:rsidRPr="00B9506F">
        <w:rPr>
          <w:rFonts w:ascii="Times New Roman" w:eastAsia="標楷體" w:hAnsi="Times New Roman" w:cs="Times New Roman"/>
          <w:sz w:val="28"/>
          <w:szCs w:val="28"/>
        </w:rPr>
        <w:t>：</w:t>
      </w:r>
      <w:r w:rsidR="001E7DED">
        <w:rPr>
          <w:rFonts w:ascii="Times New Roman" w:eastAsia="標楷體" w:hAnsi="Times New Roman" w:cs="Times New Roman" w:hint="eastAsia"/>
          <w:sz w:val="28"/>
          <w:szCs w:val="28"/>
        </w:rPr>
        <w:t>歸類</w:t>
      </w:r>
      <w:r w:rsidR="001E7DED">
        <w:rPr>
          <w:rFonts w:ascii="Times New Roman" w:eastAsia="標楷體" w:hAnsi="Times New Roman" w:cs="Times New Roman" w:hint="eastAsia"/>
          <w:sz w:val="28"/>
          <w:szCs w:val="28"/>
        </w:rPr>
        <w:t>JTITLE</w:t>
      </w:r>
      <w:r>
        <w:rPr>
          <w:rFonts w:ascii="Times New Roman" w:eastAsia="標楷體" w:hAnsi="Times New Roman" w:cs="Times New Roman" w:hint="eastAsia"/>
          <w:sz w:val="28"/>
          <w:szCs w:val="28"/>
        </w:rPr>
        <w:t>中</w:t>
      </w:r>
      <w:r w:rsidR="001E7DED">
        <w:rPr>
          <w:rFonts w:ascii="Times New Roman" w:eastAsia="標楷體" w:hAnsi="Times New Roman" w:cs="Times New Roman" w:hint="eastAsia"/>
          <w:sz w:val="28"/>
          <w:szCs w:val="28"/>
        </w:rPr>
        <w:t>有以下字詞或</w:t>
      </w:r>
      <w:r w:rsidR="001E7DED">
        <w:rPr>
          <w:rFonts w:ascii="Times New Roman" w:eastAsia="標楷體" w:hAnsi="Times New Roman" w:cs="Times New Roman" w:hint="eastAsia"/>
          <w:sz w:val="28"/>
          <w:szCs w:val="28"/>
        </w:rPr>
        <w:t>JCASE</w:t>
      </w:r>
      <w:r w:rsidR="001E7DED">
        <w:rPr>
          <w:rFonts w:ascii="Times New Roman" w:eastAsia="標楷體" w:hAnsi="Times New Roman" w:cs="Times New Roman" w:hint="eastAsia"/>
          <w:sz w:val="28"/>
          <w:szCs w:val="28"/>
        </w:rPr>
        <w:t>中有</w:t>
      </w:r>
      <w:r w:rsidR="001E7DED" w:rsidRPr="00523799">
        <w:rPr>
          <w:rFonts w:ascii="Times New Roman" w:eastAsia="標楷體" w:hAnsi="Times New Roman" w:cs="Times New Roman"/>
          <w:sz w:val="28"/>
          <w:szCs w:val="28"/>
        </w:rPr>
        <w:t>「</w:t>
      </w:r>
      <w:r w:rsidR="001E7DED">
        <w:rPr>
          <w:rFonts w:ascii="Times New Roman" w:eastAsia="標楷體" w:hAnsi="Times New Roman" w:cs="Times New Roman" w:hint="eastAsia"/>
          <w:sz w:val="28"/>
          <w:szCs w:val="28"/>
        </w:rPr>
        <w:t>智</w:t>
      </w:r>
      <w:r w:rsidR="001E7DED" w:rsidRPr="00523799">
        <w:rPr>
          <w:rFonts w:ascii="Times New Roman" w:eastAsia="標楷體" w:hAnsi="Times New Roman" w:cs="Times New Roman"/>
          <w:sz w:val="28"/>
          <w:szCs w:val="28"/>
        </w:rPr>
        <w:t>」</w:t>
      </w:r>
      <w:r w:rsidR="001E7DED">
        <w:rPr>
          <w:rFonts w:ascii="Times New Roman" w:eastAsia="標楷體" w:hAnsi="Times New Roman" w:cs="Times New Roman" w:hint="eastAsia"/>
          <w:sz w:val="28"/>
          <w:szCs w:val="28"/>
        </w:rPr>
        <w:t>的裁判書為智慧財產權相關，即為本次預測目標</w:t>
      </w:r>
    </w:p>
    <w:p w14:paraId="60354BD8" w14:textId="44F0720D" w:rsidR="001E7DED" w:rsidRDefault="00ED5371" w:rsidP="00ED5371">
      <w:pPr>
        <w:ind w:left="720"/>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字詞：</w:t>
      </w:r>
      <w:r w:rsidRPr="00ED5371">
        <w:rPr>
          <w:rFonts w:ascii="Times New Roman" w:eastAsia="標楷體" w:hAnsi="Times New Roman" w:cs="Times New Roman"/>
          <w:sz w:val="28"/>
          <w:szCs w:val="28"/>
        </w:rPr>
        <w:t>違反商標法</w:t>
      </w:r>
      <w:r>
        <w:rPr>
          <w:rFonts w:ascii="Times New Roman" w:eastAsia="標楷體" w:hAnsi="Times New Roman" w:cs="Times New Roman" w:hint="eastAsia"/>
          <w:sz w:val="28"/>
          <w:szCs w:val="28"/>
        </w:rPr>
        <w:t>、</w:t>
      </w:r>
      <w:r w:rsidRPr="00ED5371">
        <w:rPr>
          <w:rFonts w:ascii="Times New Roman" w:eastAsia="標楷體" w:hAnsi="Times New Roman" w:cs="Times New Roman"/>
          <w:sz w:val="28"/>
          <w:szCs w:val="28"/>
        </w:rPr>
        <w:t>違反著作權法</w:t>
      </w:r>
      <w:r>
        <w:rPr>
          <w:rFonts w:ascii="Times New Roman" w:eastAsia="標楷體" w:hAnsi="Times New Roman" w:cs="Times New Roman" w:hint="eastAsia"/>
          <w:sz w:val="28"/>
          <w:szCs w:val="28"/>
        </w:rPr>
        <w:t>、</w:t>
      </w:r>
      <w:r w:rsidRPr="00ED5371">
        <w:rPr>
          <w:rFonts w:ascii="Times New Roman" w:eastAsia="標楷體" w:hAnsi="Times New Roman" w:cs="Times New Roman"/>
          <w:sz w:val="28"/>
          <w:szCs w:val="28"/>
        </w:rPr>
        <w:t>商標異議</w:t>
      </w:r>
      <w:r>
        <w:rPr>
          <w:rFonts w:ascii="Times New Roman" w:eastAsia="標楷體" w:hAnsi="Times New Roman" w:cs="Times New Roman" w:hint="eastAsia"/>
          <w:sz w:val="28"/>
          <w:szCs w:val="28"/>
        </w:rPr>
        <w:t>、</w:t>
      </w:r>
      <w:r w:rsidRPr="00ED5371">
        <w:rPr>
          <w:rFonts w:ascii="Times New Roman" w:eastAsia="標楷體" w:hAnsi="Times New Roman" w:cs="Times New Roman"/>
          <w:sz w:val="28"/>
          <w:szCs w:val="28"/>
        </w:rPr>
        <w:t>新型專利舉發</w:t>
      </w:r>
      <w:r>
        <w:rPr>
          <w:rFonts w:ascii="Times New Roman" w:eastAsia="標楷體" w:hAnsi="Times New Roman" w:cs="Times New Roman" w:hint="eastAsia"/>
          <w:sz w:val="28"/>
          <w:szCs w:val="28"/>
        </w:rPr>
        <w:t>、</w:t>
      </w:r>
      <w:r w:rsidRPr="00ED5371">
        <w:rPr>
          <w:rFonts w:ascii="Times New Roman" w:eastAsia="標楷體" w:hAnsi="Times New Roman" w:cs="Times New Roman"/>
          <w:sz w:val="28"/>
          <w:szCs w:val="28"/>
        </w:rPr>
        <w:t>商標評定</w:t>
      </w:r>
      <w:r>
        <w:rPr>
          <w:rFonts w:ascii="Times New Roman" w:eastAsia="標楷體" w:hAnsi="Times New Roman" w:cs="Times New Roman" w:hint="eastAsia"/>
          <w:sz w:val="28"/>
          <w:szCs w:val="28"/>
        </w:rPr>
        <w:t>、</w:t>
      </w:r>
      <w:r w:rsidRPr="00ED5371">
        <w:rPr>
          <w:rFonts w:ascii="Times New Roman" w:eastAsia="標楷體" w:hAnsi="Times New Roman" w:cs="Times New Roman"/>
          <w:sz w:val="28"/>
          <w:szCs w:val="28"/>
        </w:rPr>
        <w:t>新型專利異議</w:t>
      </w:r>
      <w:r>
        <w:rPr>
          <w:rFonts w:ascii="Times New Roman" w:eastAsia="標楷體" w:hAnsi="Times New Roman" w:cs="Times New Roman" w:hint="eastAsia"/>
          <w:sz w:val="28"/>
          <w:szCs w:val="28"/>
        </w:rPr>
        <w:t>、</w:t>
      </w:r>
      <w:r w:rsidRPr="00ED5371">
        <w:rPr>
          <w:rFonts w:ascii="Times New Roman" w:eastAsia="標楷體" w:hAnsi="Times New Roman" w:cs="Times New Roman"/>
          <w:sz w:val="28"/>
          <w:szCs w:val="28"/>
        </w:rPr>
        <w:t>侵害專利權有關財產權爭議等</w:t>
      </w:r>
    </w:p>
    <w:p w14:paraId="7BA147E6" w14:textId="2B6F8094" w:rsidR="000E2014" w:rsidRPr="00ED5371" w:rsidRDefault="000E2014" w:rsidP="00ED5371">
      <w:pPr>
        <w:ind w:left="720"/>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得到智慧財產權案件共</w:t>
      </w:r>
      <w:r>
        <w:rPr>
          <w:rFonts w:ascii="Times New Roman" w:eastAsia="標楷體" w:hAnsi="Times New Roman" w:cs="Times New Roman" w:hint="eastAsia"/>
          <w:sz w:val="28"/>
          <w:szCs w:val="28"/>
        </w:rPr>
        <w:t>6544</w:t>
      </w:r>
      <w:r w:rsidR="002857D8">
        <w:rPr>
          <w:rFonts w:ascii="Times New Roman" w:eastAsia="標楷體" w:hAnsi="Times New Roman" w:cs="Times New Roman" w:hint="eastAsia"/>
          <w:sz w:val="28"/>
          <w:szCs w:val="28"/>
        </w:rPr>
        <w:t>0</w:t>
      </w:r>
      <w:r>
        <w:rPr>
          <w:rFonts w:ascii="Times New Roman" w:eastAsia="標楷體" w:hAnsi="Times New Roman" w:cs="Times New Roman" w:hint="eastAsia"/>
          <w:sz w:val="28"/>
          <w:szCs w:val="28"/>
        </w:rPr>
        <w:t>筆</w:t>
      </w:r>
    </w:p>
    <w:p w14:paraId="525253EF" w14:textId="26626889" w:rsidR="000E2014" w:rsidRDefault="000E2014" w:rsidP="008613E4">
      <w:pPr>
        <w:numPr>
          <w:ilvl w:val="0"/>
          <w:numId w:val="2"/>
        </w:num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歸類判決種類</w:t>
      </w:r>
      <w:r w:rsidR="009032E7">
        <w:rPr>
          <w:rFonts w:ascii="Times New Roman" w:eastAsia="標楷體" w:hAnsi="Times New Roman" w:cs="Times New Roman" w:hint="eastAsia"/>
          <w:sz w:val="28"/>
          <w:szCs w:val="28"/>
        </w:rPr>
        <w:t>及結果</w:t>
      </w:r>
      <w:r>
        <w:rPr>
          <w:rFonts w:ascii="Times New Roman" w:eastAsia="標楷體" w:hAnsi="Times New Roman" w:cs="Times New Roman" w:hint="eastAsia"/>
          <w:sz w:val="28"/>
          <w:szCs w:val="28"/>
        </w:rPr>
        <w:t>：從</w:t>
      </w:r>
      <w:r>
        <w:rPr>
          <w:rFonts w:ascii="Times New Roman" w:eastAsia="標楷體" w:hAnsi="Times New Roman" w:cs="Times New Roman" w:hint="eastAsia"/>
          <w:sz w:val="28"/>
          <w:szCs w:val="28"/>
        </w:rPr>
        <w:t>JFULL</w:t>
      </w:r>
      <w:r>
        <w:rPr>
          <w:rFonts w:ascii="Times New Roman" w:eastAsia="標楷體" w:hAnsi="Times New Roman" w:cs="Times New Roman" w:hint="eastAsia"/>
          <w:sz w:val="28"/>
          <w:szCs w:val="28"/>
        </w:rPr>
        <w:t>判斷</w:t>
      </w:r>
      <w:r w:rsidR="009032E7">
        <w:rPr>
          <w:rFonts w:ascii="Times New Roman" w:eastAsia="標楷體" w:hAnsi="Times New Roman" w:cs="Times New Roman" w:hint="eastAsia"/>
          <w:sz w:val="28"/>
          <w:szCs w:val="28"/>
        </w:rPr>
        <w:t>行政、</w:t>
      </w:r>
      <w:r>
        <w:rPr>
          <w:rFonts w:ascii="Times New Roman" w:eastAsia="標楷體" w:hAnsi="Times New Roman" w:cs="Times New Roman" w:hint="eastAsia"/>
          <w:sz w:val="28"/>
          <w:szCs w:val="28"/>
        </w:rPr>
        <w:t>民事、刑事、刑事附民事</w:t>
      </w:r>
      <w:r w:rsidR="009032E7">
        <w:rPr>
          <w:rFonts w:ascii="Times New Roman" w:eastAsia="標楷體" w:hAnsi="Times New Roman" w:cs="Times New Roman" w:hint="eastAsia"/>
          <w:sz w:val="28"/>
          <w:szCs w:val="28"/>
        </w:rPr>
        <w:t>、其他</w:t>
      </w:r>
      <w:r>
        <w:rPr>
          <w:rFonts w:ascii="Times New Roman" w:eastAsia="標楷體" w:hAnsi="Times New Roman" w:cs="Times New Roman" w:hint="eastAsia"/>
          <w:sz w:val="28"/>
          <w:szCs w:val="28"/>
        </w:rPr>
        <w:t>判決</w:t>
      </w:r>
      <w:r w:rsidR="00453630">
        <w:rPr>
          <w:rFonts w:ascii="Times New Roman" w:eastAsia="標楷體" w:hAnsi="Times New Roman" w:cs="Times New Roman"/>
          <w:sz w:val="28"/>
          <w:szCs w:val="28"/>
        </w:rPr>
        <w:br/>
      </w:r>
      <w:r w:rsidR="00453630">
        <w:rPr>
          <w:rFonts w:ascii="Times New Roman" w:eastAsia="標楷體" w:hAnsi="Times New Roman" w:cs="Times New Roman"/>
          <w:noProof/>
          <w:sz w:val="28"/>
          <w:szCs w:val="28"/>
        </w:rPr>
        <w:lastRenderedPageBreak/>
        <w:drawing>
          <wp:inline distT="0" distB="0" distL="0" distR="0" wp14:anchorId="741442EC" wp14:editId="48585C22">
            <wp:extent cx="5486400" cy="3200400"/>
            <wp:effectExtent l="0" t="0" r="0" b="0"/>
            <wp:docPr id="607032331" name="圖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bl>
      <w:tblPr>
        <w:tblStyle w:val="af3"/>
        <w:tblW w:w="0" w:type="auto"/>
        <w:jc w:val="center"/>
        <w:tblBorders>
          <w:top w:val="double" w:sz="4" w:space="0" w:color="auto"/>
          <w:left w:val="none" w:sz="0" w:space="0" w:color="auto"/>
          <w:right w:val="none" w:sz="0" w:space="0" w:color="auto"/>
          <w:insideV w:val="none" w:sz="0" w:space="0" w:color="auto"/>
        </w:tblBorders>
        <w:tblLook w:val="04A0" w:firstRow="1" w:lastRow="0" w:firstColumn="1" w:lastColumn="0" w:noHBand="0" w:noVBand="1"/>
      </w:tblPr>
      <w:tblGrid>
        <w:gridCol w:w="1816"/>
        <w:gridCol w:w="1584"/>
        <w:gridCol w:w="1584"/>
        <w:gridCol w:w="1584"/>
        <w:gridCol w:w="1584"/>
        <w:gridCol w:w="1584"/>
      </w:tblGrid>
      <w:tr w:rsidR="00FC111B" w14:paraId="576C0B08" w14:textId="5A7A0909" w:rsidTr="00FC111B">
        <w:trPr>
          <w:jc w:val="center"/>
        </w:trPr>
        <w:tc>
          <w:tcPr>
            <w:tcW w:w="1816" w:type="dxa"/>
            <w:vAlign w:val="bottom"/>
          </w:tcPr>
          <w:p w14:paraId="043DAC52" w14:textId="77777777" w:rsidR="00FC111B" w:rsidRDefault="00FC111B" w:rsidP="00FC111B">
            <w:pPr>
              <w:jc w:val="center"/>
              <w:outlineLvl w:val="0"/>
              <w:rPr>
                <w:color w:val="000000"/>
                <w:sz w:val="22"/>
                <w:szCs w:val="22"/>
              </w:rPr>
            </w:pPr>
          </w:p>
        </w:tc>
        <w:tc>
          <w:tcPr>
            <w:tcW w:w="1584" w:type="dxa"/>
            <w:vAlign w:val="center"/>
          </w:tcPr>
          <w:p w14:paraId="4D086DE0" w14:textId="4604C7A0" w:rsidR="00FC111B" w:rsidRDefault="00FC111B" w:rsidP="00FC111B">
            <w:pPr>
              <w:jc w:val="center"/>
              <w:outlineLvl w:val="0"/>
              <w:rPr>
                <w:rFonts w:ascii="Times New Roman" w:eastAsia="標楷體" w:hAnsi="Times New Roman" w:cs="Times New Roman"/>
                <w:sz w:val="28"/>
                <w:szCs w:val="28"/>
              </w:rPr>
            </w:pPr>
            <w:r>
              <w:rPr>
                <w:rFonts w:hint="eastAsia"/>
                <w:color w:val="000000"/>
              </w:rPr>
              <w:t>行政</w:t>
            </w:r>
          </w:p>
        </w:tc>
        <w:tc>
          <w:tcPr>
            <w:tcW w:w="1584" w:type="dxa"/>
            <w:vAlign w:val="center"/>
          </w:tcPr>
          <w:p w14:paraId="00DF9DB3" w14:textId="406B24E2" w:rsidR="00FC111B" w:rsidRDefault="00FC111B" w:rsidP="00FC111B">
            <w:pPr>
              <w:jc w:val="center"/>
              <w:outlineLvl w:val="0"/>
              <w:rPr>
                <w:rFonts w:ascii="Times New Roman" w:eastAsia="標楷體" w:hAnsi="Times New Roman" w:cs="Times New Roman"/>
                <w:sz w:val="28"/>
                <w:szCs w:val="28"/>
              </w:rPr>
            </w:pPr>
            <w:r>
              <w:rPr>
                <w:rFonts w:hint="eastAsia"/>
                <w:color w:val="000000"/>
              </w:rPr>
              <w:t>民事</w:t>
            </w:r>
          </w:p>
        </w:tc>
        <w:tc>
          <w:tcPr>
            <w:tcW w:w="1584" w:type="dxa"/>
            <w:vAlign w:val="center"/>
          </w:tcPr>
          <w:p w14:paraId="46E68AB8" w14:textId="6972D12F" w:rsidR="00FC111B" w:rsidRDefault="00FC111B" w:rsidP="00FC111B">
            <w:pPr>
              <w:jc w:val="center"/>
              <w:outlineLvl w:val="0"/>
              <w:rPr>
                <w:rFonts w:ascii="Times New Roman" w:eastAsia="標楷體" w:hAnsi="Times New Roman" w:cs="Times New Roman"/>
                <w:sz w:val="28"/>
                <w:szCs w:val="28"/>
              </w:rPr>
            </w:pPr>
            <w:r>
              <w:rPr>
                <w:rFonts w:hint="eastAsia"/>
                <w:color w:val="000000"/>
              </w:rPr>
              <w:t>刑事</w:t>
            </w:r>
          </w:p>
        </w:tc>
        <w:tc>
          <w:tcPr>
            <w:tcW w:w="1584" w:type="dxa"/>
            <w:vAlign w:val="center"/>
          </w:tcPr>
          <w:p w14:paraId="486F4ADC" w14:textId="74CFE52B" w:rsidR="00FC111B" w:rsidRDefault="00FC111B" w:rsidP="00FC111B">
            <w:pPr>
              <w:jc w:val="center"/>
              <w:outlineLvl w:val="0"/>
              <w:rPr>
                <w:rFonts w:ascii="Times New Roman" w:eastAsia="標楷體" w:hAnsi="Times New Roman" w:cs="Times New Roman"/>
                <w:sz w:val="28"/>
                <w:szCs w:val="28"/>
              </w:rPr>
            </w:pPr>
            <w:r>
              <w:rPr>
                <w:rFonts w:hint="eastAsia"/>
                <w:color w:val="000000"/>
              </w:rPr>
              <w:t>刑事附民事</w:t>
            </w:r>
          </w:p>
        </w:tc>
        <w:tc>
          <w:tcPr>
            <w:tcW w:w="1584" w:type="dxa"/>
            <w:vAlign w:val="center"/>
          </w:tcPr>
          <w:p w14:paraId="16B98333" w14:textId="66978E71" w:rsidR="00FC111B" w:rsidRDefault="00FC111B" w:rsidP="00FC111B">
            <w:pPr>
              <w:jc w:val="center"/>
              <w:outlineLvl w:val="0"/>
              <w:rPr>
                <w:rFonts w:ascii="Times New Roman" w:eastAsia="標楷體" w:hAnsi="Times New Roman" w:cs="Times New Roman"/>
                <w:sz w:val="28"/>
                <w:szCs w:val="28"/>
              </w:rPr>
            </w:pPr>
            <w:r>
              <w:rPr>
                <w:rFonts w:hint="eastAsia"/>
                <w:color w:val="000000"/>
              </w:rPr>
              <w:t>其他</w:t>
            </w:r>
          </w:p>
        </w:tc>
      </w:tr>
      <w:tr w:rsidR="00230EA7" w14:paraId="121F2B47" w14:textId="65EB08B4" w:rsidTr="00FC111B">
        <w:trPr>
          <w:jc w:val="center"/>
        </w:trPr>
        <w:tc>
          <w:tcPr>
            <w:tcW w:w="1816" w:type="dxa"/>
            <w:vAlign w:val="bottom"/>
          </w:tcPr>
          <w:p w14:paraId="03279EFB" w14:textId="5FD0049D"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 xml:space="preserve">80 ~ 85 </w:t>
            </w:r>
            <w:r>
              <w:rPr>
                <w:rFonts w:hint="eastAsia"/>
                <w:color w:val="000000"/>
                <w:sz w:val="22"/>
                <w:szCs w:val="22"/>
              </w:rPr>
              <w:t>年</w:t>
            </w:r>
          </w:p>
        </w:tc>
        <w:tc>
          <w:tcPr>
            <w:tcW w:w="1584" w:type="dxa"/>
            <w:vAlign w:val="bottom"/>
          </w:tcPr>
          <w:p w14:paraId="220AC473" w14:textId="5F406D93"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0</w:t>
            </w:r>
          </w:p>
        </w:tc>
        <w:tc>
          <w:tcPr>
            <w:tcW w:w="1584" w:type="dxa"/>
            <w:vAlign w:val="bottom"/>
          </w:tcPr>
          <w:p w14:paraId="3FEC58C3" w14:textId="45B88927"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0</w:t>
            </w:r>
          </w:p>
        </w:tc>
        <w:tc>
          <w:tcPr>
            <w:tcW w:w="1584" w:type="dxa"/>
            <w:vAlign w:val="bottom"/>
          </w:tcPr>
          <w:p w14:paraId="4D7F143F" w14:textId="53727475"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13</w:t>
            </w:r>
          </w:p>
        </w:tc>
        <w:tc>
          <w:tcPr>
            <w:tcW w:w="1584" w:type="dxa"/>
            <w:vAlign w:val="bottom"/>
          </w:tcPr>
          <w:p w14:paraId="0642983E" w14:textId="182FF85A" w:rsidR="00230EA7" w:rsidRDefault="00230EA7" w:rsidP="00230EA7">
            <w:pPr>
              <w:jc w:val="cente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0</w:t>
            </w:r>
          </w:p>
        </w:tc>
        <w:tc>
          <w:tcPr>
            <w:tcW w:w="1584" w:type="dxa"/>
            <w:vAlign w:val="bottom"/>
          </w:tcPr>
          <w:p w14:paraId="04B9BEAE" w14:textId="06ACD2D2"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w:t>
            </w:r>
          </w:p>
        </w:tc>
      </w:tr>
      <w:tr w:rsidR="00230EA7" w14:paraId="3E3D3600" w14:textId="64D4D228" w:rsidTr="00FC111B">
        <w:trPr>
          <w:jc w:val="center"/>
        </w:trPr>
        <w:tc>
          <w:tcPr>
            <w:tcW w:w="1816" w:type="dxa"/>
            <w:vAlign w:val="bottom"/>
          </w:tcPr>
          <w:p w14:paraId="50CBEF73" w14:textId="4A4DDFD0"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 xml:space="preserve">86 ~ 89 </w:t>
            </w:r>
            <w:r>
              <w:rPr>
                <w:rFonts w:hint="eastAsia"/>
                <w:color w:val="000000"/>
                <w:sz w:val="22"/>
                <w:szCs w:val="22"/>
              </w:rPr>
              <w:t>年</w:t>
            </w:r>
          </w:p>
        </w:tc>
        <w:tc>
          <w:tcPr>
            <w:tcW w:w="1584" w:type="dxa"/>
            <w:vAlign w:val="bottom"/>
          </w:tcPr>
          <w:p w14:paraId="3AADF282" w14:textId="22E677BF"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1004</w:t>
            </w:r>
          </w:p>
        </w:tc>
        <w:tc>
          <w:tcPr>
            <w:tcW w:w="1584" w:type="dxa"/>
            <w:vAlign w:val="bottom"/>
          </w:tcPr>
          <w:p w14:paraId="0B97EE87" w14:textId="7E8CAAC8"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10</w:t>
            </w:r>
          </w:p>
        </w:tc>
        <w:tc>
          <w:tcPr>
            <w:tcW w:w="1584" w:type="dxa"/>
            <w:vAlign w:val="bottom"/>
          </w:tcPr>
          <w:p w14:paraId="5A352B4E" w14:textId="7580B709"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1136</w:t>
            </w:r>
          </w:p>
        </w:tc>
        <w:tc>
          <w:tcPr>
            <w:tcW w:w="1584" w:type="dxa"/>
            <w:vAlign w:val="bottom"/>
          </w:tcPr>
          <w:p w14:paraId="2FD28B9C" w14:textId="64ACC939"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30</w:t>
            </w:r>
          </w:p>
        </w:tc>
        <w:tc>
          <w:tcPr>
            <w:tcW w:w="1584" w:type="dxa"/>
            <w:vAlign w:val="bottom"/>
          </w:tcPr>
          <w:p w14:paraId="538F242B" w14:textId="0CABA25C"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636</w:t>
            </w:r>
          </w:p>
        </w:tc>
      </w:tr>
      <w:tr w:rsidR="00230EA7" w14:paraId="1E95D666" w14:textId="356B6515" w:rsidTr="00FC111B">
        <w:trPr>
          <w:jc w:val="center"/>
        </w:trPr>
        <w:tc>
          <w:tcPr>
            <w:tcW w:w="1816" w:type="dxa"/>
            <w:vAlign w:val="bottom"/>
          </w:tcPr>
          <w:p w14:paraId="4D4D707F" w14:textId="2890142B"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 xml:space="preserve">90 ~ 95 </w:t>
            </w:r>
            <w:r>
              <w:rPr>
                <w:rFonts w:hint="eastAsia"/>
                <w:color w:val="000000"/>
                <w:sz w:val="22"/>
                <w:szCs w:val="22"/>
              </w:rPr>
              <w:t>年</w:t>
            </w:r>
          </w:p>
        </w:tc>
        <w:tc>
          <w:tcPr>
            <w:tcW w:w="1584" w:type="dxa"/>
            <w:vAlign w:val="bottom"/>
          </w:tcPr>
          <w:p w14:paraId="2EE19174" w14:textId="5ECFA76D"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3628</w:t>
            </w:r>
          </w:p>
        </w:tc>
        <w:tc>
          <w:tcPr>
            <w:tcW w:w="1584" w:type="dxa"/>
            <w:vAlign w:val="bottom"/>
          </w:tcPr>
          <w:p w14:paraId="2E9968F1" w14:textId="5F56E261"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801</w:t>
            </w:r>
          </w:p>
        </w:tc>
        <w:tc>
          <w:tcPr>
            <w:tcW w:w="1584" w:type="dxa"/>
            <w:vAlign w:val="bottom"/>
          </w:tcPr>
          <w:p w14:paraId="457B0108" w14:textId="23377EA7"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5525</w:t>
            </w:r>
          </w:p>
        </w:tc>
        <w:tc>
          <w:tcPr>
            <w:tcW w:w="1584" w:type="dxa"/>
            <w:vAlign w:val="bottom"/>
          </w:tcPr>
          <w:p w14:paraId="052D9DCE" w14:textId="374B924B"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44</w:t>
            </w:r>
          </w:p>
        </w:tc>
        <w:tc>
          <w:tcPr>
            <w:tcW w:w="1584" w:type="dxa"/>
            <w:vAlign w:val="bottom"/>
          </w:tcPr>
          <w:p w14:paraId="741199D6" w14:textId="6A2240C2"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5926</w:t>
            </w:r>
          </w:p>
        </w:tc>
      </w:tr>
      <w:tr w:rsidR="00230EA7" w14:paraId="26122E4B" w14:textId="6247A452" w:rsidTr="00FC111B">
        <w:trPr>
          <w:jc w:val="center"/>
        </w:trPr>
        <w:tc>
          <w:tcPr>
            <w:tcW w:w="1816" w:type="dxa"/>
            <w:vAlign w:val="bottom"/>
          </w:tcPr>
          <w:p w14:paraId="754ED6ED" w14:textId="3A6274C9"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 xml:space="preserve">96 ~ 101 </w:t>
            </w:r>
            <w:r>
              <w:rPr>
                <w:rFonts w:hint="eastAsia"/>
                <w:color w:val="000000"/>
                <w:sz w:val="22"/>
                <w:szCs w:val="22"/>
              </w:rPr>
              <w:t>年</w:t>
            </w:r>
          </w:p>
        </w:tc>
        <w:tc>
          <w:tcPr>
            <w:tcW w:w="1584" w:type="dxa"/>
            <w:vAlign w:val="bottom"/>
          </w:tcPr>
          <w:p w14:paraId="6C983410" w14:textId="2CB8E140"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2431</w:t>
            </w:r>
          </w:p>
        </w:tc>
        <w:tc>
          <w:tcPr>
            <w:tcW w:w="1584" w:type="dxa"/>
            <w:vAlign w:val="bottom"/>
          </w:tcPr>
          <w:p w14:paraId="2D49595A" w14:textId="4BA622C6"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1780</w:t>
            </w:r>
          </w:p>
        </w:tc>
        <w:tc>
          <w:tcPr>
            <w:tcW w:w="1584" w:type="dxa"/>
            <w:vAlign w:val="bottom"/>
          </w:tcPr>
          <w:p w14:paraId="203D22FE" w14:textId="3F90ED8E"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7140</w:t>
            </w:r>
          </w:p>
        </w:tc>
        <w:tc>
          <w:tcPr>
            <w:tcW w:w="1584" w:type="dxa"/>
            <w:vAlign w:val="bottom"/>
          </w:tcPr>
          <w:p w14:paraId="54F87F36" w14:textId="263DDE7D"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409</w:t>
            </w:r>
          </w:p>
        </w:tc>
        <w:tc>
          <w:tcPr>
            <w:tcW w:w="1584" w:type="dxa"/>
            <w:vAlign w:val="bottom"/>
          </w:tcPr>
          <w:p w14:paraId="7177C81C" w14:textId="140C483C"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6499</w:t>
            </w:r>
          </w:p>
        </w:tc>
      </w:tr>
      <w:tr w:rsidR="00230EA7" w14:paraId="39A24C8C" w14:textId="1B44D0B6" w:rsidTr="00FC111B">
        <w:trPr>
          <w:jc w:val="center"/>
        </w:trPr>
        <w:tc>
          <w:tcPr>
            <w:tcW w:w="1816" w:type="dxa"/>
            <w:vAlign w:val="bottom"/>
          </w:tcPr>
          <w:p w14:paraId="2286BD0D" w14:textId="6E272194"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 xml:space="preserve">102 ~ 107 </w:t>
            </w:r>
            <w:r>
              <w:rPr>
                <w:rFonts w:hint="eastAsia"/>
                <w:color w:val="000000"/>
                <w:sz w:val="22"/>
                <w:szCs w:val="22"/>
              </w:rPr>
              <w:t>年</w:t>
            </w:r>
          </w:p>
        </w:tc>
        <w:tc>
          <w:tcPr>
            <w:tcW w:w="1584" w:type="dxa"/>
            <w:vAlign w:val="bottom"/>
          </w:tcPr>
          <w:p w14:paraId="260F7257" w14:textId="4D0C27C2"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1298</w:t>
            </w:r>
          </w:p>
        </w:tc>
        <w:tc>
          <w:tcPr>
            <w:tcW w:w="1584" w:type="dxa"/>
            <w:vAlign w:val="bottom"/>
          </w:tcPr>
          <w:p w14:paraId="75E8594A" w14:textId="665E0D6C"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1784</w:t>
            </w:r>
          </w:p>
        </w:tc>
        <w:tc>
          <w:tcPr>
            <w:tcW w:w="1584" w:type="dxa"/>
            <w:vAlign w:val="bottom"/>
          </w:tcPr>
          <w:p w14:paraId="59D9300D" w14:textId="4135E12B"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5916</w:t>
            </w:r>
          </w:p>
        </w:tc>
        <w:tc>
          <w:tcPr>
            <w:tcW w:w="1584" w:type="dxa"/>
            <w:vAlign w:val="bottom"/>
          </w:tcPr>
          <w:p w14:paraId="7F07B403" w14:textId="79AE48DC" w:rsidR="00230EA7" w:rsidRPr="00D43F38" w:rsidRDefault="00230EA7" w:rsidP="00230EA7">
            <w:pPr>
              <w:jc w:val="center"/>
              <w:outlineLvl w:val="0"/>
              <w:rPr>
                <w:color w:val="000000"/>
                <w:sz w:val="22"/>
                <w:szCs w:val="22"/>
              </w:rPr>
            </w:pPr>
            <w:r>
              <w:rPr>
                <w:rFonts w:hint="eastAsia"/>
                <w:color w:val="000000"/>
                <w:sz w:val="22"/>
                <w:szCs w:val="22"/>
              </w:rPr>
              <w:t>686</w:t>
            </w:r>
          </w:p>
        </w:tc>
        <w:tc>
          <w:tcPr>
            <w:tcW w:w="1584" w:type="dxa"/>
            <w:vAlign w:val="bottom"/>
          </w:tcPr>
          <w:p w14:paraId="3A079761" w14:textId="314A6142" w:rsidR="00230EA7" w:rsidRPr="00D43F38" w:rsidRDefault="00230EA7" w:rsidP="00230EA7">
            <w:pPr>
              <w:jc w:val="center"/>
              <w:outlineLvl w:val="0"/>
              <w:rPr>
                <w:color w:val="000000"/>
                <w:sz w:val="22"/>
                <w:szCs w:val="22"/>
              </w:rPr>
            </w:pPr>
            <w:r>
              <w:rPr>
                <w:rFonts w:hint="eastAsia"/>
                <w:color w:val="000000"/>
                <w:sz w:val="22"/>
                <w:szCs w:val="22"/>
              </w:rPr>
              <w:t>6105</w:t>
            </w:r>
          </w:p>
        </w:tc>
      </w:tr>
      <w:tr w:rsidR="00230EA7" w14:paraId="483C0C65" w14:textId="50474618" w:rsidTr="004664AD">
        <w:trPr>
          <w:jc w:val="center"/>
        </w:trPr>
        <w:tc>
          <w:tcPr>
            <w:tcW w:w="1816" w:type="dxa"/>
            <w:vAlign w:val="bottom"/>
          </w:tcPr>
          <w:p w14:paraId="225F61A4" w14:textId="6E400D72"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 xml:space="preserve">108 ~ 113 </w:t>
            </w:r>
            <w:r>
              <w:rPr>
                <w:rFonts w:hint="eastAsia"/>
                <w:color w:val="000000"/>
                <w:sz w:val="22"/>
                <w:szCs w:val="22"/>
              </w:rPr>
              <w:t>年</w:t>
            </w:r>
          </w:p>
        </w:tc>
        <w:tc>
          <w:tcPr>
            <w:tcW w:w="1584" w:type="dxa"/>
            <w:vAlign w:val="bottom"/>
          </w:tcPr>
          <w:p w14:paraId="40318EB2" w14:textId="4E37E21E"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993</w:t>
            </w:r>
          </w:p>
        </w:tc>
        <w:tc>
          <w:tcPr>
            <w:tcW w:w="1584" w:type="dxa"/>
            <w:vAlign w:val="bottom"/>
          </w:tcPr>
          <w:p w14:paraId="063009DA" w14:textId="50EA8758"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1455</w:t>
            </w:r>
          </w:p>
        </w:tc>
        <w:tc>
          <w:tcPr>
            <w:tcW w:w="1584" w:type="dxa"/>
            <w:vAlign w:val="bottom"/>
          </w:tcPr>
          <w:p w14:paraId="5A6CFC2F" w14:textId="50570AC4" w:rsidR="00230EA7" w:rsidRDefault="00230EA7" w:rsidP="00230EA7">
            <w:pPr>
              <w:jc w:val="center"/>
              <w:outlineLvl w:val="0"/>
              <w:rPr>
                <w:rFonts w:ascii="Times New Roman" w:eastAsia="標楷體" w:hAnsi="Times New Roman" w:cs="Times New Roman"/>
                <w:sz w:val="28"/>
                <w:szCs w:val="28"/>
              </w:rPr>
            </w:pPr>
            <w:r>
              <w:rPr>
                <w:rFonts w:hint="eastAsia"/>
                <w:color w:val="000000"/>
                <w:sz w:val="22"/>
                <w:szCs w:val="22"/>
              </w:rPr>
              <w:t>4918</w:t>
            </w:r>
          </w:p>
        </w:tc>
        <w:tc>
          <w:tcPr>
            <w:tcW w:w="1584" w:type="dxa"/>
            <w:vAlign w:val="center"/>
          </w:tcPr>
          <w:p w14:paraId="26CF2C10" w14:textId="3AEC5970" w:rsidR="00230EA7" w:rsidRPr="00D43F38" w:rsidRDefault="00230EA7" w:rsidP="00230EA7">
            <w:pPr>
              <w:jc w:val="center"/>
              <w:outlineLvl w:val="0"/>
              <w:rPr>
                <w:color w:val="000000"/>
                <w:sz w:val="22"/>
                <w:szCs w:val="22"/>
              </w:rPr>
            </w:pPr>
            <w:r>
              <w:rPr>
                <w:rFonts w:hint="eastAsia"/>
                <w:color w:val="000000"/>
                <w:sz w:val="22"/>
                <w:szCs w:val="22"/>
              </w:rPr>
              <w:t>638</w:t>
            </w:r>
          </w:p>
        </w:tc>
        <w:tc>
          <w:tcPr>
            <w:tcW w:w="1584" w:type="dxa"/>
            <w:vAlign w:val="center"/>
          </w:tcPr>
          <w:p w14:paraId="5958E919" w14:textId="4C580E6E" w:rsidR="00230EA7" w:rsidRPr="00D43F38" w:rsidRDefault="00230EA7" w:rsidP="00230EA7">
            <w:pPr>
              <w:jc w:val="center"/>
              <w:outlineLvl w:val="0"/>
              <w:rPr>
                <w:color w:val="000000"/>
                <w:sz w:val="22"/>
                <w:szCs w:val="22"/>
              </w:rPr>
            </w:pPr>
            <w:r>
              <w:rPr>
                <w:rFonts w:hint="eastAsia"/>
                <w:color w:val="000000"/>
                <w:sz w:val="22"/>
                <w:szCs w:val="22"/>
              </w:rPr>
              <w:t>4634</w:t>
            </w:r>
          </w:p>
        </w:tc>
      </w:tr>
    </w:tbl>
    <w:p w14:paraId="2B189FF8" w14:textId="77777777" w:rsidR="00001A1A" w:rsidRDefault="00001A1A" w:rsidP="00FC111B">
      <w:pPr>
        <w:ind w:left="720"/>
        <w:outlineLvl w:val="0"/>
        <w:rPr>
          <w:rFonts w:ascii="Times New Roman" w:eastAsia="標楷體" w:hAnsi="Times New Roman" w:cs="Times New Roman"/>
          <w:sz w:val="28"/>
          <w:szCs w:val="28"/>
        </w:rPr>
      </w:pPr>
    </w:p>
    <w:p w14:paraId="697402B2" w14:textId="3E1FA8A5" w:rsidR="00453630" w:rsidRDefault="00B5577A" w:rsidP="00FC111B">
      <w:pPr>
        <w:ind w:left="720"/>
        <w:outlineLvl w:val="0"/>
        <w:rPr>
          <w:rFonts w:ascii="Times New Roman" w:eastAsia="標楷體" w:hAnsi="Times New Roman" w:cs="Times New Roman" w:hint="eastAsia"/>
          <w:sz w:val="28"/>
          <w:szCs w:val="28"/>
        </w:rPr>
      </w:pPr>
      <w:r w:rsidRPr="00F25D14">
        <w:rPr>
          <w:rFonts w:ascii="Times New Roman" w:eastAsia="標楷體" w:hAnsi="Times New Roman" w:cs="Times New Roman" w:hint="eastAsia"/>
          <w:sz w:val="28"/>
          <w:szCs w:val="28"/>
          <w:highlight w:val="yellow"/>
        </w:rPr>
        <w:t>再</w:t>
      </w:r>
      <w:r w:rsidR="009C2031" w:rsidRPr="00F25D14">
        <w:rPr>
          <w:rFonts w:ascii="Times New Roman" w:eastAsia="標楷體" w:hAnsi="Times New Roman" w:cs="Times New Roman" w:hint="eastAsia"/>
          <w:sz w:val="28"/>
          <w:szCs w:val="28"/>
          <w:highlight w:val="yellow"/>
        </w:rPr>
        <w:t>看每年的判決結果比例，可以發現從敗訴較多到勝訴</w:t>
      </w:r>
      <w:r w:rsidR="00F25D14" w:rsidRPr="00F25D14">
        <w:rPr>
          <w:rFonts w:ascii="Times New Roman" w:eastAsia="標楷體" w:hAnsi="Times New Roman" w:cs="Times New Roman" w:hint="eastAsia"/>
          <w:sz w:val="28"/>
          <w:szCs w:val="28"/>
          <w:highlight w:val="yellow"/>
        </w:rPr>
        <w:t>漸漸開始多</w:t>
      </w:r>
    </w:p>
    <w:p w14:paraId="3BD5F8AA" w14:textId="4FE796D3" w:rsidR="00FC111B" w:rsidRDefault="00453630" w:rsidP="00FC111B">
      <w:pPr>
        <w:ind w:left="720"/>
        <w:outlineLvl w:val="0"/>
        <w:rPr>
          <w:rFonts w:ascii="Times New Roman" w:eastAsia="標楷體" w:hAnsi="Times New Roman" w:cs="Times New Roman"/>
          <w:sz w:val="28"/>
          <w:szCs w:val="28"/>
        </w:rPr>
      </w:pPr>
      <w:r>
        <w:rPr>
          <w:rFonts w:ascii="Times New Roman" w:eastAsia="標楷體" w:hAnsi="Times New Roman" w:cs="Times New Roman"/>
          <w:noProof/>
          <w:sz w:val="28"/>
          <w:szCs w:val="28"/>
        </w:rPr>
        <w:drawing>
          <wp:inline distT="0" distB="0" distL="0" distR="0" wp14:anchorId="0292093A" wp14:editId="76BB4E6E">
            <wp:extent cx="5486400" cy="3200400"/>
            <wp:effectExtent l="0" t="0" r="0" b="0"/>
            <wp:docPr id="1113897011" name="圖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bl>
      <w:tblPr>
        <w:tblStyle w:val="af3"/>
        <w:tblW w:w="0" w:type="auto"/>
        <w:tblInd w:w="720" w:type="dxa"/>
        <w:tblBorders>
          <w:top w:val="double" w:sz="4" w:space="0" w:color="auto"/>
          <w:left w:val="none" w:sz="0" w:space="0" w:color="auto"/>
          <w:right w:val="none" w:sz="0" w:space="0" w:color="auto"/>
          <w:insideV w:val="none" w:sz="0" w:space="0" w:color="auto"/>
        </w:tblBorders>
        <w:tblLook w:val="04A0" w:firstRow="1" w:lastRow="0" w:firstColumn="1" w:lastColumn="0" w:noHBand="0" w:noVBand="1"/>
      </w:tblPr>
      <w:tblGrid>
        <w:gridCol w:w="1954"/>
        <w:gridCol w:w="1983"/>
        <w:gridCol w:w="1983"/>
        <w:gridCol w:w="1955"/>
        <w:gridCol w:w="1871"/>
      </w:tblGrid>
      <w:tr w:rsidR="00453630" w14:paraId="4DADEEF8" w14:textId="1590EF4D" w:rsidTr="00453630">
        <w:tc>
          <w:tcPr>
            <w:tcW w:w="1954" w:type="dxa"/>
            <w:vAlign w:val="center"/>
          </w:tcPr>
          <w:p w14:paraId="30E358F4" w14:textId="77777777" w:rsidR="00453630" w:rsidRDefault="00453630" w:rsidP="00453630">
            <w:pPr>
              <w:jc w:val="center"/>
              <w:outlineLvl w:val="0"/>
              <w:rPr>
                <w:color w:val="000000"/>
              </w:rPr>
            </w:pPr>
          </w:p>
        </w:tc>
        <w:tc>
          <w:tcPr>
            <w:tcW w:w="1983" w:type="dxa"/>
            <w:vAlign w:val="bottom"/>
          </w:tcPr>
          <w:p w14:paraId="1CD85C30" w14:textId="470886FC"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勝訴</w:t>
            </w:r>
          </w:p>
        </w:tc>
        <w:tc>
          <w:tcPr>
            <w:tcW w:w="1983" w:type="dxa"/>
            <w:vAlign w:val="bottom"/>
          </w:tcPr>
          <w:p w14:paraId="33556538" w14:textId="2D2F4026"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敗訴</w:t>
            </w:r>
          </w:p>
        </w:tc>
        <w:tc>
          <w:tcPr>
            <w:tcW w:w="1955" w:type="dxa"/>
            <w:vAlign w:val="bottom"/>
          </w:tcPr>
          <w:p w14:paraId="6E18EFA1" w14:textId="08BCBA0A"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部分勝訴</w:t>
            </w:r>
          </w:p>
        </w:tc>
        <w:tc>
          <w:tcPr>
            <w:tcW w:w="1871" w:type="dxa"/>
          </w:tcPr>
          <w:p w14:paraId="743912EB" w14:textId="741B2D3B" w:rsidR="00453630" w:rsidRDefault="00453630" w:rsidP="00453630">
            <w:pPr>
              <w:jc w:val="center"/>
              <w:outlineLvl w:val="0"/>
              <w:rPr>
                <w:rFonts w:hint="eastAsia"/>
                <w:color w:val="000000"/>
                <w:sz w:val="22"/>
                <w:szCs w:val="22"/>
              </w:rPr>
            </w:pPr>
            <w:r>
              <w:rPr>
                <w:rFonts w:ascii="新細明體" w:eastAsia="新細明體" w:cs="新細明體" w:hint="eastAsia"/>
                <w:color w:val="000000"/>
                <w:kern w:val="0"/>
              </w:rPr>
              <w:t>其他</w:t>
            </w:r>
          </w:p>
        </w:tc>
      </w:tr>
      <w:tr w:rsidR="00453630" w14:paraId="4BD46914" w14:textId="4C97B92E" w:rsidTr="00453630">
        <w:tc>
          <w:tcPr>
            <w:tcW w:w="1954" w:type="dxa"/>
            <w:vAlign w:val="center"/>
          </w:tcPr>
          <w:p w14:paraId="2E1BAB21" w14:textId="5E41EC9D" w:rsidR="00453630" w:rsidRDefault="00453630" w:rsidP="00453630">
            <w:pPr>
              <w:jc w:val="center"/>
              <w:outlineLvl w:val="0"/>
              <w:rPr>
                <w:rFonts w:ascii="Times New Roman" w:eastAsia="標楷體" w:hAnsi="Times New Roman" w:cs="Times New Roman"/>
                <w:sz w:val="28"/>
                <w:szCs w:val="28"/>
              </w:rPr>
            </w:pPr>
            <w:r>
              <w:rPr>
                <w:rFonts w:hint="eastAsia"/>
                <w:color w:val="000000"/>
              </w:rPr>
              <w:t xml:space="preserve">80 ~ 85 </w:t>
            </w:r>
            <w:r>
              <w:rPr>
                <w:rFonts w:hint="eastAsia"/>
                <w:color w:val="000000"/>
              </w:rPr>
              <w:t>年</w:t>
            </w:r>
          </w:p>
        </w:tc>
        <w:tc>
          <w:tcPr>
            <w:tcW w:w="1983" w:type="dxa"/>
            <w:vAlign w:val="center"/>
          </w:tcPr>
          <w:p w14:paraId="7680E1C2" w14:textId="4B39C901" w:rsidR="00453630" w:rsidRDefault="00453630" w:rsidP="00453630">
            <w:pPr>
              <w:jc w:val="center"/>
              <w:outlineLvl w:val="0"/>
              <w:rPr>
                <w:rFonts w:ascii="Times New Roman" w:eastAsia="標楷體" w:hAnsi="Times New Roman" w:cs="Times New Roman"/>
                <w:sz w:val="28"/>
                <w:szCs w:val="28"/>
              </w:rPr>
            </w:pPr>
            <w:r>
              <w:rPr>
                <w:rFonts w:hint="eastAsia"/>
                <w:color w:val="000000"/>
              </w:rPr>
              <w:t>2</w:t>
            </w:r>
          </w:p>
        </w:tc>
        <w:tc>
          <w:tcPr>
            <w:tcW w:w="1983" w:type="dxa"/>
            <w:vAlign w:val="center"/>
          </w:tcPr>
          <w:p w14:paraId="4961C856" w14:textId="02E10E1F" w:rsidR="00453630" w:rsidRDefault="00453630" w:rsidP="00453630">
            <w:pPr>
              <w:jc w:val="center"/>
              <w:outlineLvl w:val="0"/>
              <w:rPr>
                <w:rFonts w:ascii="Times New Roman" w:eastAsia="標楷體" w:hAnsi="Times New Roman" w:cs="Times New Roman"/>
                <w:sz w:val="28"/>
                <w:szCs w:val="28"/>
              </w:rPr>
            </w:pPr>
            <w:r>
              <w:rPr>
                <w:rFonts w:hint="eastAsia"/>
                <w:color w:val="000000"/>
              </w:rPr>
              <w:t>10</w:t>
            </w:r>
          </w:p>
        </w:tc>
        <w:tc>
          <w:tcPr>
            <w:tcW w:w="1955" w:type="dxa"/>
            <w:vAlign w:val="center"/>
          </w:tcPr>
          <w:p w14:paraId="474F64A2" w14:textId="0EE77E2D" w:rsidR="00453630" w:rsidRDefault="00453630" w:rsidP="00453630">
            <w:pPr>
              <w:jc w:val="center"/>
              <w:outlineLvl w:val="0"/>
              <w:rPr>
                <w:rFonts w:ascii="Times New Roman" w:eastAsia="標楷體" w:hAnsi="Times New Roman" w:cs="Times New Roman"/>
                <w:sz w:val="28"/>
                <w:szCs w:val="28"/>
              </w:rPr>
            </w:pPr>
            <w:r>
              <w:rPr>
                <w:rFonts w:hint="eastAsia"/>
                <w:color w:val="000000"/>
              </w:rPr>
              <w:t>0</w:t>
            </w:r>
          </w:p>
        </w:tc>
        <w:tc>
          <w:tcPr>
            <w:tcW w:w="1871" w:type="dxa"/>
          </w:tcPr>
          <w:p w14:paraId="73A804A1" w14:textId="01A31BCE" w:rsidR="00453630" w:rsidRDefault="00BA11B0" w:rsidP="00453630">
            <w:pPr>
              <w:jc w:val="center"/>
              <w:outlineLvl w:val="0"/>
              <w:rPr>
                <w:rFonts w:hint="eastAsia"/>
                <w:color w:val="000000"/>
              </w:rPr>
            </w:pPr>
            <w:r>
              <w:rPr>
                <w:rFonts w:hint="eastAsia"/>
                <w:color w:val="000000"/>
              </w:rPr>
              <w:t>1</w:t>
            </w:r>
          </w:p>
        </w:tc>
      </w:tr>
      <w:tr w:rsidR="00453630" w14:paraId="0224563F" w14:textId="0FC69C69" w:rsidTr="00453630">
        <w:tc>
          <w:tcPr>
            <w:tcW w:w="1954" w:type="dxa"/>
            <w:vAlign w:val="bottom"/>
          </w:tcPr>
          <w:p w14:paraId="2ECFF005" w14:textId="221F21BF"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lastRenderedPageBreak/>
              <w:t xml:space="preserve">86 ~ 89 </w:t>
            </w:r>
            <w:r>
              <w:rPr>
                <w:rFonts w:hint="eastAsia"/>
                <w:color w:val="000000"/>
                <w:sz w:val="22"/>
                <w:szCs w:val="22"/>
              </w:rPr>
              <w:t>年</w:t>
            </w:r>
          </w:p>
        </w:tc>
        <w:tc>
          <w:tcPr>
            <w:tcW w:w="1983" w:type="dxa"/>
            <w:vAlign w:val="bottom"/>
          </w:tcPr>
          <w:p w14:paraId="7A37BBCA" w14:textId="61E03FB1"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904</w:t>
            </w:r>
          </w:p>
        </w:tc>
        <w:tc>
          <w:tcPr>
            <w:tcW w:w="1983" w:type="dxa"/>
            <w:vAlign w:val="bottom"/>
          </w:tcPr>
          <w:p w14:paraId="472C3BA1" w14:textId="72F854BF"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1174</w:t>
            </w:r>
          </w:p>
        </w:tc>
        <w:tc>
          <w:tcPr>
            <w:tcW w:w="1955" w:type="dxa"/>
            <w:vAlign w:val="bottom"/>
          </w:tcPr>
          <w:p w14:paraId="06F86416" w14:textId="3BD80F5C"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2</w:t>
            </w:r>
          </w:p>
        </w:tc>
        <w:tc>
          <w:tcPr>
            <w:tcW w:w="1871" w:type="dxa"/>
          </w:tcPr>
          <w:p w14:paraId="516B2ECD" w14:textId="7C850F45" w:rsidR="00453630" w:rsidRDefault="00453630" w:rsidP="00453630">
            <w:pPr>
              <w:jc w:val="center"/>
              <w:outlineLvl w:val="0"/>
              <w:rPr>
                <w:rFonts w:hint="eastAsia"/>
                <w:color w:val="000000"/>
                <w:sz w:val="22"/>
                <w:szCs w:val="22"/>
              </w:rPr>
            </w:pPr>
            <w:r>
              <w:rPr>
                <w:rFonts w:ascii="新細明體" w:eastAsia="新細明體" w:cs="新細明體"/>
                <w:color w:val="000000"/>
                <w:kern w:val="0"/>
              </w:rPr>
              <w:t>100</w:t>
            </w:r>
          </w:p>
        </w:tc>
      </w:tr>
      <w:tr w:rsidR="00453630" w14:paraId="6F120311" w14:textId="17EF5354" w:rsidTr="00453630">
        <w:tc>
          <w:tcPr>
            <w:tcW w:w="1954" w:type="dxa"/>
            <w:vAlign w:val="bottom"/>
          </w:tcPr>
          <w:p w14:paraId="470D4F7B" w14:textId="1F5E66A5"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 xml:space="preserve">90 ~ 95 </w:t>
            </w:r>
            <w:r>
              <w:rPr>
                <w:rFonts w:hint="eastAsia"/>
                <w:color w:val="000000"/>
                <w:sz w:val="22"/>
                <w:szCs w:val="22"/>
              </w:rPr>
              <w:t>年</w:t>
            </w:r>
          </w:p>
        </w:tc>
        <w:tc>
          <w:tcPr>
            <w:tcW w:w="1983" w:type="dxa"/>
            <w:vAlign w:val="bottom"/>
          </w:tcPr>
          <w:p w14:paraId="64AEFC0C" w14:textId="6AD20C85"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4846</w:t>
            </w:r>
          </w:p>
        </w:tc>
        <w:tc>
          <w:tcPr>
            <w:tcW w:w="1983" w:type="dxa"/>
            <w:vAlign w:val="bottom"/>
          </w:tcPr>
          <w:p w14:paraId="28084B73" w14:textId="17372AD4"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4687</w:t>
            </w:r>
          </w:p>
        </w:tc>
        <w:tc>
          <w:tcPr>
            <w:tcW w:w="1955" w:type="dxa"/>
            <w:vAlign w:val="bottom"/>
          </w:tcPr>
          <w:p w14:paraId="6143549D" w14:textId="3A72B8B2"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77</w:t>
            </w:r>
          </w:p>
        </w:tc>
        <w:tc>
          <w:tcPr>
            <w:tcW w:w="1871" w:type="dxa"/>
          </w:tcPr>
          <w:p w14:paraId="535C83B9" w14:textId="17A7D62F" w:rsidR="00453630" w:rsidRDefault="00453630" w:rsidP="00453630">
            <w:pPr>
              <w:jc w:val="center"/>
              <w:outlineLvl w:val="0"/>
              <w:rPr>
                <w:rFonts w:hint="eastAsia"/>
                <w:color w:val="000000"/>
                <w:sz w:val="22"/>
                <w:szCs w:val="22"/>
              </w:rPr>
            </w:pPr>
            <w:r>
              <w:rPr>
                <w:rFonts w:ascii="新細明體" w:eastAsia="新細明體" w:cs="新細明體"/>
                <w:color w:val="000000"/>
                <w:kern w:val="0"/>
              </w:rPr>
              <w:t>388</w:t>
            </w:r>
          </w:p>
        </w:tc>
      </w:tr>
      <w:tr w:rsidR="00453630" w14:paraId="4188FBE1" w14:textId="1F36319E" w:rsidTr="00453630">
        <w:tc>
          <w:tcPr>
            <w:tcW w:w="1954" w:type="dxa"/>
            <w:vAlign w:val="bottom"/>
          </w:tcPr>
          <w:p w14:paraId="210CA2EE" w14:textId="03947BA5"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 xml:space="preserve">96 ~ 101 </w:t>
            </w:r>
            <w:r>
              <w:rPr>
                <w:rFonts w:hint="eastAsia"/>
                <w:color w:val="000000"/>
                <w:sz w:val="22"/>
                <w:szCs w:val="22"/>
              </w:rPr>
              <w:t>年</w:t>
            </w:r>
          </w:p>
        </w:tc>
        <w:tc>
          <w:tcPr>
            <w:tcW w:w="1983" w:type="dxa"/>
            <w:vAlign w:val="bottom"/>
          </w:tcPr>
          <w:p w14:paraId="7CD352C2" w14:textId="5E24488C"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6421</w:t>
            </w:r>
          </w:p>
        </w:tc>
        <w:tc>
          <w:tcPr>
            <w:tcW w:w="1983" w:type="dxa"/>
            <w:vAlign w:val="bottom"/>
          </w:tcPr>
          <w:p w14:paraId="521AD58F" w14:textId="3100126E"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4728</w:t>
            </w:r>
          </w:p>
        </w:tc>
        <w:tc>
          <w:tcPr>
            <w:tcW w:w="1955" w:type="dxa"/>
            <w:vAlign w:val="bottom"/>
          </w:tcPr>
          <w:p w14:paraId="6A7FBD2B" w14:textId="6ACFCB31"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115</w:t>
            </w:r>
          </w:p>
        </w:tc>
        <w:tc>
          <w:tcPr>
            <w:tcW w:w="1871" w:type="dxa"/>
          </w:tcPr>
          <w:p w14:paraId="7D1A32F7" w14:textId="1CD09654" w:rsidR="00453630" w:rsidRDefault="00453630" w:rsidP="00453630">
            <w:pPr>
              <w:jc w:val="center"/>
              <w:outlineLvl w:val="0"/>
              <w:rPr>
                <w:rFonts w:hint="eastAsia"/>
                <w:color w:val="000000"/>
                <w:sz w:val="22"/>
                <w:szCs w:val="22"/>
              </w:rPr>
            </w:pPr>
            <w:r>
              <w:rPr>
                <w:rFonts w:ascii="新細明體" w:eastAsia="新細明體" w:cs="新細明體"/>
                <w:color w:val="000000"/>
                <w:kern w:val="0"/>
              </w:rPr>
              <w:t>496</w:t>
            </w:r>
          </w:p>
        </w:tc>
      </w:tr>
      <w:tr w:rsidR="00453630" w14:paraId="3A6CCDFC" w14:textId="71223340" w:rsidTr="00453630">
        <w:tc>
          <w:tcPr>
            <w:tcW w:w="1954" w:type="dxa"/>
            <w:vAlign w:val="bottom"/>
          </w:tcPr>
          <w:p w14:paraId="3F33B7BC" w14:textId="72582927"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 xml:space="preserve">102 ~ 107 </w:t>
            </w:r>
            <w:r>
              <w:rPr>
                <w:rFonts w:hint="eastAsia"/>
                <w:color w:val="000000"/>
                <w:sz w:val="22"/>
                <w:szCs w:val="22"/>
              </w:rPr>
              <w:t>年</w:t>
            </w:r>
          </w:p>
        </w:tc>
        <w:tc>
          <w:tcPr>
            <w:tcW w:w="1983" w:type="dxa"/>
            <w:vAlign w:val="bottom"/>
          </w:tcPr>
          <w:p w14:paraId="3E1C8EB3" w14:textId="40B310B6"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5529</w:t>
            </w:r>
          </w:p>
        </w:tc>
        <w:tc>
          <w:tcPr>
            <w:tcW w:w="1983" w:type="dxa"/>
            <w:vAlign w:val="bottom"/>
          </w:tcPr>
          <w:p w14:paraId="689B35FA" w14:textId="3094DDFA"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3598</w:t>
            </w:r>
          </w:p>
        </w:tc>
        <w:tc>
          <w:tcPr>
            <w:tcW w:w="1955" w:type="dxa"/>
            <w:vAlign w:val="bottom"/>
          </w:tcPr>
          <w:p w14:paraId="2572A691" w14:textId="5A147AB6"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104</w:t>
            </w:r>
          </w:p>
        </w:tc>
        <w:tc>
          <w:tcPr>
            <w:tcW w:w="1871" w:type="dxa"/>
          </w:tcPr>
          <w:p w14:paraId="48151277" w14:textId="0923D269" w:rsidR="00453630" w:rsidRDefault="00453630" w:rsidP="00453630">
            <w:pPr>
              <w:jc w:val="center"/>
              <w:outlineLvl w:val="0"/>
              <w:rPr>
                <w:rFonts w:hint="eastAsia"/>
                <w:color w:val="000000"/>
                <w:sz w:val="22"/>
                <w:szCs w:val="22"/>
              </w:rPr>
            </w:pPr>
            <w:r>
              <w:rPr>
                <w:rFonts w:ascii="新細明體" w:eastAsia="新細明體" w:cs="新細明體"/>
                <w:color w:val="000000"/>
                <w:kern w:val="0"/>
              </w:rPr>
              <w:t>453</w:t>
            </w:r>
          </w:p>
        </w:tc>
      </w:tr>
      <w:tr w:rsidR="00453630" w14:paraId="550D66BC" w14:textId="6B722E94" w:rsidTr="00453630">
        <w:tc>
          <w:tcPr>
            <w:tcW w:w="1954" w:type="dxa"/>
            <w:vAlign w:val="bottom"/>
          </w:tcPr>
          <w:p w14:paraId="7B27170F" w14:textId="3B2FB08F"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 xml:space="preserve">108 ~ 113 </w:t>
            </w:r>
            <w:r>
              <w:rPr>
                <w:rFonts w:hint="eastAsia"/>
                <w:color w:val="000000"/>
                <w:sz w:val="22"/>
                <w:szCs w:val="22"/>
              </w:rPr>
              <w:t>年</w:t>
            </w:r>
          </w:p>
        </w:tc>
        <w:tc>
          <w:tcPr>
            <w:tcW w:w="1983" w:type="dxa"/>
            <w:vAlign w:val="bottom"/>
          </w:tcPr>
          <w:p w14:paraId="25AC847A" w14:textId="5EB48F7A"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4802</w:t>
            </w:r>
          </w:p>
        </w:tc>
        <w:tc>
          <w:tcPr>
            <w:tcW w:w="1983" w:type="dxa"/>
            <w:vAlign w:val="bottom"/>
          </w:tcPr>
          <w:p w14:paraId="6662F0B1" w14:textId="4FF122B9"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2691</w:t>
            </w:r>
          </w:p>
        </w:tc>
        <w:tc>
          <w:tcPr>
            <w:tcW w:w="1955" w:type="dxa"/>
            <w:vAlign w:val="bottom"/>
          </w:tcPr>
          <w:p w14:paraId="7CB8B53A" w14:textId="70CDE028" w:rsidR="00453630" w:rsidRDefault="00453630" w:rsidP="00453630">
            <w:pPr>
              <w:jc w:val="center"/>
              <w:outlineLvl w:val="0"/>
              <w:rPr>
                <w:rFonts w:ascii="Times New Roman" w:eastAsia="標楷體" w:hAnsi="Times New Roman" w:cs="Times New Roman"/>
                <w:sz w:val="28"/>
                <w:szCs w:val="28"/>
              </w:rPr>
            </w:pPr>
            <w:r>
              <w:rPr>
                <w:rFonts w:hint="eastAsia"/>
                <w:color w:val="000000"/>
                <w:sz w:val="22"/>
                <w:szCs w:val="22"/>
              </w:rPr>
              <w:t>77</w:t>
            </w:r>
          </w:p>
        </w:tc>
        <w:tc>
          <w:tcPr>
            <w:tcW w:w="1871" w:type="dxa"/>
          </w:tcPr>
          <w:p w14:paraId="1671CB52" w14:textId="0F92BA26" w:rsidR="00453630" w:rsidRDefault="00453630" w:rsidP="00453630">
            <w:pPr>
              <w:jc w:val="center"/>
              <w:outlineLvl w:val="0"/>
              <w:rPr>
                <w:rFonts w:hint="eastAsia"/>
                <w:color w:val="000000"/>
                <w:sz w:val="22"/>
                <w:szCs w:val="22"/>
              </w:rPr>
            </w:pPr>
            <w:r>
              <w:rPr>
                <w:rFonts w:ascii="新細明體" w:eastAsia="新細明體" w:cs="新細明體"/>
                <w:color w:val="000000"/>
                <w:kern w:val="0"/>
              </w:rPr>
              <w:t>4</w:t>
            </w:r>
            <w:r w:rsidR="00BA11B0">
              <w:rPr>
                <w:rFonts w:ascii="新細明體" w:eastAsia="新細明體" w:cs="新細明體" w:hint="eastAsia"/>
                <w:color w:val="000000"/>
                <w:kern w:val="0"/>
              </w:rPr>
              <w:t>34</w:t>
            </w:r>
          </w:p>
        </w:tc>
      </w:tr>
    </w:tbl>
    <w:p w14:paraId="474BD0EA" w14:textId="035F6032" w:rsidR="000E2014" w:rsidRDefault="00F25D14" w:rsidP="00B5577A">
      <w:pPr>
        <w:outlineLvl w:val="0"/>
        <w:rPr>
          <w:rFonts w:ascii="Times New Roman" w:eastAsia="標楷體" w:hAnsi="Times New Roman" w:cs="Times New Roman" w:hint="eastAsia"/>
          <w:sz w:val="28"/>
          <w:szCs w:val="28"/>
        </w:rPr>
      </w:pPr>
      <w:r>
        <w:rPr>
          <w:rFonts w:ascii="Times New Roman" w:eastAsia="標楷體" w:hAnsi="Times New Roman" w:cs="Times New Roman" w:hint="eastAsia"/>
          <w:sz w:val="28"/>
          <w:szCs w:val="28"/>
        </w:rPr>
        <w:t>判決以刑事為大宗</w:t>
      </w:r>
    </w:p>
    <w:p w14:paraId="3D99CC80" w14:textId="55A5BFA1" w:rsidR="009032E7" w:rsidRDefault="009032E7" w:rsidP="00B5577A">
      <w:pPr>
        <w:ind w:left="720"/>
        <w:outlineLvl w:val="0"/>
        <w:rPr>
          <w:rFonts w:ascii="Times New Roman" w:eastAsia="標楷體" w:hAnsi="Times New Roman" w:cs="Times New Roman"/>
          <w:sz w:val="28"/>
          <w:szCs w:val="28"/>
        </w:rPr>
      </w:pPr>
      <w:r>
        <w:rPr>
          <w:rFonts w:ascii="Times New Roman" w:eastAsia="標楷體" w:hAnsi="Times New Roman" w:cs="Times New Roman"/>
          <w:noProof/>
          <w:sz w:val="28"/>
          <w:szCs w:val="28"/>
        </w:rPr>
        <w:drawing>
          <wp:inline distT="0" distB="0" distL="0" distR="0" wp14:anchorId="52B55CF4" wp14:editId="6F04B2AF">
            <wp:extent cx="5486400" cy="3200400"/>
            <wp:effectExtent l="0" t="0" r="0" b="0"/>
            <wp:docPr id="16465336" name="圖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bl>
      <w:tblPr>
        <w:tblStyle w:val="af3"/>
        <w:tblW w:w="0" w:type="auto"/>
        <w:jc w:val="center"/>
        <w:tblBorders>
          <w:top w:val="double" w:sz="4" w:space="0" w:color="auto"/>
          <w:left w:val="none" w:sz="0" w:space="0" w:color="auto"/>
          <w:right w:val="none" w:sz="0" w:space="0" w:color="auto"/>
          <w:insideV w:val="none" w:sz="0" w:space="0" w:color="auto"/>
        </w:tblBorders>
        <w:tblLook w:val="04A0" w:firstRow="1" w:lastRow="0" w:firstColumn="1" w:lastColumn="0" w:noHBand="0" w:noVBand="1"/>
      </w:tblPr>
      <w:tblGrid>
        <w:gridCol w:w="2077"/>
        <w:gridCol w:w="2137"/>
        <w:gridCol w:w="2117"/>
        <w:gridCol w:w="2097"/>
        <w:gridCol w:w="2038"/>
      </w:tblGrid>
      <w:tr w:rsidR="00B5577A" w14:paraId="08960560" w14:textId="11186567" w:rsidTr="00755CE5">
        <w:trPr>
          <w:jc w:val="center"/>
        </w:trPr>
        <w:tc>
          <w:tcPr>
            <w:tcW w:w="2077" w:type="dxa"/>
            <w:vAlign w:val="bottom"/>
          </w:tcPr>
          <w:p w14:paraId="73E75122" w14:textId="74E986EF"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 xml:space="preserve"> </w:t>
            </w:r>
          </w:p>
        </w:tc>
        <w:tc>
          <w:tcPr>
            <w:tcW w:w="2137" w:type="dxa"/>
            <w:vAlign w:val="bottom"/>
          </w:tcPr>
          <w:p w14:paraId="0C207C61" w14:textId="661E180D"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勝訴</w:t>
            </w:r>
          </w:p>
        </w:tc>
        <w:tc>
          <w:tcPr>
            <w:tcW w:w="2117" w:type="dxa"/>
            <w:vAlign w:val="bottom"/>
          </w:tcPr>
          <w:p w14:paraId="55504A36" w14:textId="6F9374F0"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敗訴</w:t>
            </w:r>
          </w:p>
        </w:tc>
        <w:tc>
          <w:tcPr>
            <w:tcW w:w="2097" w:type="dxa"/>
            <w:vAlign w:val="bottom"/>
          </w:tcPr>
          <w:p w14:paraId="043BE392" w14:textId="42D18A52"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部分勝訴</w:t>
            </w:r>
          </w:p>
        </w:tc>
        <w:tc>
          <w:tcPr>
            <w:tcW w:w="2038" w:type="dxa"/>
            <w:vAlign w:val="bottom"/>
          </w:tcPr>
          <w:p w14:paraId="6FF6CB6D" w14:textId="7BB447A6" w:rsidR="00B5577A" w:rsidRDefault="00B5577A" w:rsidP="00B5577A">
            <w:pPr>
              <w:jc w:val="center"/>
              <w:outlineLvl w:val="0"/>
              <w:rPr>
                <w:rFonts w:hint="eastAsia"/>
                <w:color w:val="000000"/>
                <w:sz w:val="22"/>
                <w:szCs w:val="22"/>
              </w:rPr>
            </w:pPr>
            <w:r>
              <w:rPr>
                <w:rFonts w:hint="eastAsia"/>
                <w:color w:val="000000"/>
                <w:sz w:val="22"/>
                <w:szCs w:val="22"/>
              </w:rPr>
              <w:t>其他</w:t>
            </w:r>
          </w:p>
        </w:tc>
      </w:tr>
      <w:tr w:rsidR="00B5577A" w14:paraId="15F689C6" w14:textId="69E6F87A" w:rsidTr="00755CE5">
        <w:trPr>
          <w:jc w:val="center"/>
        </w:trPr>
        <w:tc>
          <w:tcPr>
            <w:tcW w:w="2077" w:type="dxa"/>
            <w:vAlign w:val="bottom"/>
          </w:tcPr>
          <w:p w14:paraId="7E58E33A" w14:textId="47534068"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行政</w:t>
            </w:r>
          </w:p>
        </w:tc>
        <w:tc>
          <w:tcPr>
            <w:tcW w:w="2137" w:type="dxa"/>
            <w:vAlign w:val="bottom"/>
          </w:tcPr>
          <w:p w14:paraId="3312207B" w14:textId="64620EFE"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987</w:t>
            </w:r>
          </w:p>
        </w:tc>
        <w:tc>
          <w:tcPr>
            <w:tcW w:w="2117" w:type="dxa"/>
            <w:vAlign w:val="bottom"/>
          </w:tcPr>
          <w:p w14:paraId="5974E4A0" w14:textId="3376C082"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8064</w:t>
            </w:r>
          </w:p>
        </w:tc>
        <w:tc>
          <w:tcPr>
            <w:tcW w:w="2097" w:type="dxa"/>
            <w:vAlign w:val="bottom"/>
          </w:tcPr>
          <w:p w14:paraId="7473B513" w14:textId="16046360"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40</w:t>
            </w:r>
          </w:p>
        </w:tc>
        <w:tc>
          <w:tcPr>
            <w:tcW w:w="2038" w:type="dxa"/>
            <w:vAlign w:val="bottom"/>
          </w:tcPr>
          <w:p w14:paraId="5CD73F1A" w14:textId="41652A20" w:rsidR="00B5577A" w:rsidRDefault="00B5577A" w:rsidP="00B5577A">
            <w:pPr>
              <w:jc w:val="center"/>
              <w:outlineLvl w:val="0"/>
              <w:rPr>
                <w:rFonts w:hint="eastAsia"/>
                <w:color w:val="000000"/>
                <w:sz w:val="22"/>
                <w:szCs w:val="22"/>
              </w:rPr>
            </w:pPr>
            <w:r>
              <w:rPr>
                <w:rFonts w:hint="eastAsia"/>
                <w:color w:val="000000"/>
                <w:sz w:val="22"/>
                <w:szCs w:val="22"/>
              </w:rPr>
              <w:t>263</w:t>
            </w:r>
          </w:p>
        </w:tc>
      </w:tr>
      <w:tr w:rsidR="00B5577A" w14:paraId="44BA51C4" w14:textId="489CC008" w:rsidTr="00755CE5">
        <w:trPr>
          <w:jc w:val="center"/>
        </w:trPr>
        <w:tc>
          <w:tcPr>
            <w:tcW w:w="2077" w:type="dxa"/>
            <w:vAlign w:val="bottom"/>
          </w:tcPr>
          <w:p w14:paraId="2E102BC0" w14:textId="6ACC508D"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民事</w:t>
            </w:r>
          </w:p>
        </w:tc>
        <w:tc>
          <w:tcPr>
            <w:tcW w:w="2137" w:type="dxa"/>
            <w:vAlign w:val="bottom"/>
          </w:tcPr>
          <w:p w14:paraId="3D6B2EC8" w14:textId="65B678DE"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1312</w:t>
            </w:r>
          </w:p>
        </w:tc>
        <w:tc>
          <w:tcPr>
            <w:tcW w:w="2117" w:type="dxa"/>
            <w:vAlign w:val="bottom"/>
          </w:tcPr>
          <w:p w14:paraId="53EE73D0" w14:textId="706CB158"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3965</w:t>
            </w:r>
          </w:p>
        </w:tc>
        <w:tc>
          <w:tcPr>
            <w:tcW w:w="2097" w:type="dxa"/>
            <w:vAlign w:val="bottom"/>
          </w:tcPr>
          <w:p w14:paraId="7DDDE580" w14:textId="677ECC64"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257</w:t>
            </w:r>
          </w:p>
        </w:tc>
        <w:tc>
          <w:tcPr>
            <w:tcW w:w="2038" w:type="dxa"/>
            <w:vAlign w:val="bottom"/>
          </w:tcPr>
          <w:p w14:paraId="407FC8D9" w14:textId="0674002F" w:rsidR="00B5577A" w:rsidRDefault="00B5577A" w:rsidP="00B5577A">
            <w:pPr>
              <w:jc w:val="center"/>
              <w:outlineLvl w:val="0"/>
              <w:rPr>
                <w:rFonts w:hint="eastAsia"/>
                <w:color w:val="000000"/>
                <w:sz w:val="22"/>
                <w:szCs w:val="22"/>
              </w:rPr>
            </w:pPr>
            <w:r>
              <w:rPr>
                <w:rFonts w:hint="eastAsia"/>
                <w:color w:val="000000"/>
                <w:sz w:val="22"/>
                <w:szCs w:val="22"/>
              </w:rPr>
              <w:t>296</w:t>
            </w:r>
          </w:p>
        </w:tc>
      </w:tr>
      <w:tr w:rsidR="00B5577A" w14:paraId="08DAF96C" w14:textId="014913CA" w:rsidTr="00755CE5">
        <w:trPr>
          <w:jc w:val="center"/>
        </w:trPr>
        <w:tc>
          <w:tcPr>
            <w:tcW w:w="2077" w:type="dxa"/>
            <w:vAlign w:val="bottom"/>
          </w:tcPr>
          <w:p w14:paraId="3ADFA631" w14:textId="132BC931"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刑事</w:t>
            </w:r>
          </w:p>
        </w:tc>
        <w:tc>
          <w:tcPr>
            <w:tcW w:w="2137" w:type="dxa"/>
            <w:vAlign w:val="bottom"/>
          </w:tcPr>
          <w:p w14:paraId="30F78569" w14:textId="45C9A2CE"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19166</w:t>
            </w:r>
          </w:p>
        </w:tc>
        <w:tc>
          <w:tcPr>
            <w:tcW w:w="2117" w:type="dxa"/>
            <w:vAlign w:val="bottom"/>
          </w:tcPr>
          <w:p w14:paraId="22C5DE4B" w14:textId="7E67FB53"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4114</w:t>
            </w:r>
          </w:p>
        </w:tc>
        <w:tc>
          <w:tcPr>
            <w:tcW w:w="2097" w:type="dxa"/>
            <w:vAlign w:val="bottom"/>
          </w:tcPr>
          <w:p w14:paraId="1BEDB239" w14:textId="031935BD" w:rsidR="00B5577A" w:rsidRDefault="00B5577A" w:rsidP="00B5577A">
            <w:pPr>
              <w:jc w:val="center"/>
              <w:outlineLvl w:val="0"/>
              <w:rPr>
                <w:rFonts w:ascii="Times New Roman" w:eastAsia="標楷體" w:hAnsi="Times New Roman" w:cs="Times New Roman" w:hint="eastAsia"/>
                <w:sz w:val="28"/>
                <w:szCs w:val="28"/>
              </w:rPr>
            </w:pPr>
            <w:r>
              <w:rPr>
                <w:rFonts w:hint="eastAsia"/>
                <w:color w:val="000000"/>
                <w:sz w:val="22"/>
                <w:szCs w:val="22"/>
              </w:rPr>
              <w:t>78</w:t>
            </w:r>
          </w:p>
        </w:tc>
        <w:tc>
          <w:tcPr>
            <w:tcW w:w="2038" w:type="dxa"/>
            <w:vAlign w:val="bottom"/>
          </w:tcPr>
          <w:p w14:paraId="6B88CF86" w14:textId="792F5884" w:rsidR="00B5577A" w:rsidRDefault="00B5577A" w:rsidP="00B5577A">
            <w:pPr>
              <w:jc w:val="center"/>
              <w:outlineLvl w:val="0"/>
              <w:rPr>
                <w:rFonts w:hint="eastAsia"/>
                <w:color w:val="000000"/>
                <w:sz w:val="22"/>
                <w:szCs w:val="22"/>
              </w:rPr>
            </w:pPr>
            <w:r>
              <w:rPr>
                <w:rFonts w:hint="eastAsia"/>
                <w:color w:val="000000"/>
                <w:sz w:val="22"/>
                <w:szCs w:val="22"/>
              </w:rPr>
              <w:t>1290</w:t>
            </w:r>
          </w:p>
        </w:tc>
      </w:tr>
      <w:tr w:rsidR="00B5577A" w14:paraId="64CA713A" w14:textId="7A8E28C9" w:rsidTr="00755CE5">
        <w:trPr>
          <w:jc w:val="center"/>
        </w:trPr>
        <w:tc>
          <w:tcPr>
            <w:tcW w:w="2077" w:type="dxa"/>
            <w:vAlign w:val="bottom"/>
          </w:tcPr>
          <w:p w14:paraId="33C6D7D5" w14:textId="15654C12" w:rsidR="00B5577A" w:rsidRDefault="00B5577A" w:rsidP="00B5577A">
            <w:pPr>
              <w:jc w:val="center"/>
              <w:outlineLvl w:val="0"/>
              <w:rPr>
                <w:rFonts w:ascii="新細明體" w:eastAsia="新細明體" w:cs="新細明體" w:hint="eastAsia"/>
                <w:color w:val="000000"/>
                <w:kern w:val="0"/>
              </w:rPr>
            </w:pPr>
            <w:r>
              <w:rPr>
                <w:rFonts w:hint="eastAsia"/>
                <w:color w:val="000000"/>
                <w:sz w:val="22"/>
                <w:szCs w:val="22"/>
              </w:rPr>
              <w:t>刑事附民事</w:t>
            </w:r>
          </w:p>
        </w:tc>
        <w:tc>
          <w:tcPr>
            <w:tcW w:w="2137" w:type="dxa"/>
            <w:vAlign w:val="bottom"/>
          </w:tcPr>
          <w:p w14:paraId="6E52CA43" w14:textId="01E70B35" w:rsidR="00B5577A" w:rsidRDefault="00B5577A" w:rsidP="00B5577A">
            <w:pPr>
              <w:jc w:val="center"/>
              <w:outlineLvl w:val="0"/>
              <w:rPr>
                <w:rFonts w:ascii="新細明體" w:eastAsia="新細明體" w:cs="新細明體"/>
                <w:color w:val="000000"/>
                <w:kern w:val="0"/>
              </w:rPr>
            </w:pPr>
            <w:r>
              <w:rPr>
                <w:rFonts w:hint="eastAsia"/>
                <w:color w:val="000000"/>
                <w:sz w:val="22"/>
                <w:szCs w:val="22"/>
              </w:rPr>
              <w:t>1039</w:t>
            </w:r>
          </w:p>
        </w:tc>
        <w:tc>
          <w:tcPr>
            <w:tcW w:w="2117" w:type="dxa"/>
            <w:vAlign w:val="bottom"/>
          </w:tcPr>
          <w:p w14:paraId="79265BE8" w14:textId="48BDAC26" w:rsidR="00B5577A" w:rsidRDefault="00B5577A" w:rsidP="00B5577A">
            <w:pPr>
              <w:jc w:val="center"/>
              <w:outlineLvl w:val="0"/>
              <w:rPr>
                <w:rFonts w:ascii="新細明體" w:eastAsia="新細明體" w:cs="新細明體"/>
                <w:color w:val="000000"/>
                <w:kern w:val="0"/>
              </w:rPr>
            </w:pPr>
            <w:r>
              <w:rPr>
                <w:rFonts w:hint="eastAsia"/>
                <w:color w:val="000000"/>
                <w:sz w:val="22"/>
                <w:szCs w:val="22"/>
              </w:rPr>
              <w:t>745</w:t>
            </w:r>
          </w:p>
        </w:tc>
        <w:tc>
          <w:tcPr>
            <w:tcW w:w="2097" w:type="dxa"/>
            <w:vAlign w:val="bottom"/>
          </w:tcPr>
          <w:p w14:paraId="4FA0BEF4" w14:textId="2D90F267" w:rsidR="00B5577A" w:rsidRDefault="00B5577A" w:rsidP="00B5577A">
            <w:pPr>
              <w:jc w:val="center"/>
              <w:outlineLvl w:val="0"/>
              <w:rPr>
                <w:rFonts w:ascii="新細明體" w:eastAsia="新細明體" w:cs="新細明體"/>
                <w:color w:val="000000"/>
                <w:kern w:val="0"/>
              </w:rPr>
            </w:pPr>
            <w:r>
              <w:rPr>
                <w:rFonts w:hint="eastAsia"/>
                <w:color w:val="000000"/>
                <w:sz w:val="22"/>
                <w:szCs w:val="22"/>
              </w:rPr>
              <w:t>0</w:t>
            </w:r>
          </w:p>
        </w:tc>
        <w:tc>
          <w:tcPr>
            <w:tcW w:w="2038" w:type="dxa"/>
            <w:vAlign w:val="bottom"/>
          </w:tcPr>
          <w:p w14:paraId="3ABF9BFC" w14:textId="0929E27B" w:rsidR="00B5577A" w:rsidRDefault="00B5577A" w:rsidP="00B5577A">
            <w:pPr>
              <w:jc w:val="center"/>
              <w:outlineLvl w:val="0"/>
              <w:rPr>
                <w:rFonts w:hint="eastAsia"/>
                <w:color w:val="000000"/>
                <w:sz w:val="22"/>
                <w:szCs w:val="22"/>
              </w:rPr>
            </w:pPr>
            <w:r>
              <w:rPr>
                <w:rFonts w:hint="eastAsia"/>
                <w:color w:val="000000"/>
                <w:sz w:val="22"/>
                <w:szCs w:val="22"/>
              </w:rPr>
              <w:t>23</w:t>
            </w:r>
          </w:p>
        </w:tc>
      </w:tr>
    </w:tbl>
    <w:p w14:paraId="110CF5A4" w14:textId="6A801802" w:rsidR="00132BEE" w:rsidRPr="00F25D14" w:rsidRDefault="00132BEE" w:rsidP="00F25D14">
      <w:pPr>
        <w:outlineLvl w:val="0"/>
        <w:rPr>
          <w:rFonts w:ascii="Times New Roman" w:eastAsia="標楷體" w:hAnsi="Times New Roman" w:cs="Times New Roman" w:hint="eastAsia"/>
          <w:sz w:val="28"/>
          <w:szCs w:val="28"/>
        </w:rPr>
      </w:pPr>
    </w:p>
    <w:p w14:paraId="426B592B" w14:textId="20364C41" w:rsidR="00772559" w:rsidRPr="00317561" w:rsidRDefault="00B9506F" w:rsidP="00317561">
      <w:pPr>
        <w:numPr>
          <w:ilvl w:val="0"/>
          <w:numId w:val="2"/>
        </w:numPr>
        <w:outlineLvl w:val="0"/>
        <w:rPr>
          <w:rFonts w:ascii="Times New Roman" w:eastAsia="標楷體" w:hAnsi="Times New Roman" w:cs="Times New Roman"/>
          <w:sz w:val="28"/>
          <w:szCs w:val="28"/>
        </w:rPr>
      </w:pPr>
      <w:r w:rsidRPr="00B9506F">
        <w:rPr>
          <w:rFonts w:ascii="Times New Roman" w:eastAsia="標楷體" w:hAnsi="Times New Roman" w:cs="Times New Roman"/>
          <w:b/>
          <w:bCs/>
          <w:sz w:val="28"/>
          <w:szCs w:val="28"/>
        </w:rPr>
        <w:t>資料清理</w:t>
      </w:r>
      <w:r w:rsidRPr="00B9506F">
        <w:rPr>
          <w:rFonts w:ascii="Times New Roman" w:eastAsia="標楷體" w:hAnsi="Times New Roman" w:cs="Times New Roman"/>
          <w:sz w:val="28"/>
          <w:szCs w:val="28"/>
        </w:rPr>
        <w:t>：針對符合篩選條件之判決書，提取其案號（</w:t>
      </w:r>
      <w:r w:rsidRPr="00B9506F">
        <w:rPr>
          <w:rFonts w:ascii="Times New Roman" w:eastAsia="標楷體" w:hAnsi="Times New Roman" w:cs="Times New Roman"/>
          <w:sz w:val="28"/>
          <w:szCs w:val="28"/>
        </w:rPr>
        <w:t>JCASE</w:t>
      </w:r>
      <w:r w:rsidRPr="00B9506F">
        <w:rPr>
          <w:rFonts w:ascii="Times New Roman" w:eastAsia="標楷體" w:hAnsi="Times New Roman" w:cs="Times New Roman"/>
          <w:sz w:val="28"/>
          <w:szCs w:val="28"/>
        </w:rPr>
        <w:t>）、主文（</w:t>
      </w:r>
      <w:r w:rsidRPr="00B9506F">
        <w:rPr>
          <w:rFonts w:ascii="Times New Roman" w:eastAsia="標楷體" w:hAnsi="Times New Roman" w:cs="Times New Roman"/>
          <w:sz w:val="28"/>
          <w:szCs w:val="28"/>
        </w:rPr>
        <w:t>JTITLE</w:t>
      </w:r>
      <w:r w:rsidRPr="00B9506F">
        <w:rPr>
          <w:rFonts w:ascii="Times New Roman" w:eastAsia="標楷體" w:hAnsi="Times New Roman" w:cs="Times New Roman"/>
          <w:sz w:val="28"/>
          <w:szCs w:val="28"/>
        </w:rPr>
        <w:t>）及全文（</w:t>
      </w:r>
      <w:r w:rsidRPr="00B9506F">
        <w:rPr>
          <w:rFonts w:ascii="Times New Roman" w:eastAsia="標楷體" w:hAnsi="Times New Roman" w:cs="Times New Roman"/>
          <w:sz w:val="28"/>
          <w:szCs w:val="28"/>
        </w:rPr>
        <w:t>JFULL</w:t>
      </w:r>
      <w:r w:rsidRPr="00B9506F">
        <w:rPr>
          <w:rFonts w:ascii="Times New Roman" w:eastAsia="標楷體" w:hAnsi="Times New Roman" w:cs="Times New Roman"/>
          <w:sz w:val="28"/>
          <w:szCs w:val="28"/>
        </w:rPr>
        <w:t>）</w:t>
      </w:r>
      <w:r w:rsidR="00317561">
        <w:rPr>
          <w:rFonts w:ascii="Times New Roman" w:eastAsia="標楷體" w:hAnsi="Times New Roman" w:cs="Times New Roman"/>
          <w:sz w:val="28"/>
          <w:szCs w:val="28"/>
        </w:rPr>
        <w:br/>
      </w:r>
      <w:r w:rsidRPr="00B9506F">
        <w:rPr>
          <w:rFonts w:ascii="Times New Roman" w:eastAsia="標楷體" w:hAnsi="Times New Roman" w:cs="Times New Roman"/>
          <w:sz w:val="28"/>
          <w:szCs w:val="28"/>
        </w:rPr>
        <w:t>並移除文本中的換行符號（</w:t>
      </w:r>
      <w:r w:rsidRPr="00B9506F">
        <w:rPr>
          <w:rFonts w:ascii="Times New Roman" w:eastAsia="標楷體" w:hAnsi="Times New Roman" w:cs="Times New Roman"/>
          <w:sz w:val="28"/>
          <w:szCs w:val="28"/>
        </w:rPr>
        <w:t>\r\n</w:t>
      </w:r>
      <w:r w:rsidRPr="00B9506F">
        <w:rPr>
          <w:rFonts w:ascii="Times New Roman" w:eastAsia="標楷體" w:hAnsi="Times New Roman" w:cs="Times New Roman"/>
          <w:sz w:val="28"/>
          <w:szCs w:val="28"/>
        </w:rPr>
        <w:t>）與多餘空白</w:t>
      </w:r>
      <w:r w:rsidR="00317561">
        <w:rPr>
          <w:rFonts w:ascii="Times New Roman" w:eastAsia="標楷體" w:hAnsi="Times New Roman" w:cs="Times New Roman" w:hint="eastAsia"/>
          <w:sz w:val="28"/>
          <w:szCs w:val="28"/>
        </w:rPr>
        <w:t>，</w:t>
      </w:r>
      <w:r w:rsidR="00742163">
        <w:rPr>
          <w:rFonts w:ascii="Times New Roman" w:eastAsia="標楷體" w:hAnsi="Times New Roman" w:cs="Times New Roman" w:hint="eastAsia"/>
          <w:sz w:val="28"/>
          <w:szCs w:val="28"/>
        </w:rPr>
        <w:t>使用</w:t>
      </w:r>
      <w:proofErr w:type="spellStart"/>
      <w:r w:rsidR="00633AF3">
        <w:rPr>
          <w:rFonts w:ascii="Times New Roman" w:eastAsia="標楷體" w:hAnsi="Times New Roman" w:cs="Times New Roman" w:hint="eastAsia"/>
          <w:sz w:val="28"/>
          <w:szCs w:val="28"/>
        </w:rPr>
        <w:t>Jieba</w:t>
      </w:r>
      <w:proofErr w:type="spellEnd"/>
      <w:r w:rsidR="00317561">
        <w:rPr>
          <w:rFonts w:ascii="Times New Roman" w:eastAsia="標楷體" w:hAnsi="Times New Roman" w:cs="Times New Roman" w:hint="eastAsia"/>
          <w:sz w:val="28"/>
          <w:szCs w:val="28"/>
        </w:rPr>
        <w:t>的</w:t>
      </w:r>
      <w:r w:rsidR="00317561">
        <w:rPr>
          <w:rFonts w:ascii="Times New Roman" w:eastAsia="標楷體" w:hAnsi="Times New Roman" w:cs="Times New Roman" w:hint="eastAsia"/>
          <w:sz w:val="28"/>
          <w:szCs w:val="28"/>
        </w:rPr>
        <w:t>stop words</w:t>
      </w:r>
      <w:r w:rsidR="00317561">
        <w:rPr>
          <w:rFonts w:ascii="Times New Roman" w:eastAsia="標楷體" w:hAnsi="Times New Roman" w:cs="Times New Roman" w:hint="eastAsia"/>
          <w:sz w:val="28"/>
          <w:szCs w:val="28"/>
        </w:rPr>
        <w:t>字典去除</w:t>
      </w:r>
      <w:r w:rsidR="00317561">
        <w:rPr>
          <w:rFonts w:ascii="Times New Roman" w:eastAsia="標楷體" w:hAnsi="Times New Roman" w:cs="Times New Roman" w:hint="eastAsia"/>
          <w:sz w:val="28"/>
          <w:szCs w:val="28"/>
        </w:rPr>
        <w:t>stop word</w:t>
      </w:r>
      <w:r w:rsidR="00317561">
        <w:rPr>
          <w:rFonts w:ascii="Times New Roman" w:eastAsia="標楷體" w:hAnsi="Times New Roman" w:cs="Times New Roman"/>
          <w:sz w:val="28"/>
          <w:szCs w:val="28"/>
        </w:rPr>
        <w:br/>
      </w:r>
      <w:r w:rsidR="00317561">
        <w:rPr>
          <w:rFonts w:ascii="Times New Roman" w:eastAsia="標楷體" w:hAnsi="Times New Roman" w:cs="Times New Roman" w:hint="eastAsia"/>
          <w:sz w:val="28"/>
          <w:szCs w:val="28"/>
        </w:rPr>
        <w:t>最後下載司法院的裁判書用語辭典資料庫</w:t>
      </w:r>
      <w:r w:rsidR="000F5B10">
        <w:rPr>
          <w:rFonts w:ascii="Times New Roman" w:eastAsia="標楷體" w:hAnsi="Times New Roman" w:cs="Times New Roman" w:hint="eastAsia"/>
          <w:sz w:val="28"/>
          <w:szCs w:val="28"/>
        </w:rPr>
        <w:t>，與中研院中文詞知識庫小組</w:t>
      </w:r>
      <w:r w:rsidR="00E53D0F">
        <w:rPr>
          <w:rFonts w:ascii="Times New Roman" w:eastAsia="標楷體" w:hAnsi="Times New Roman" w:cs="Times New Roman" w:hint="eastAsia"/>
          <w:sz w:val="28"/>
          <w:szCs w:val="28"/>
        </w:rPr>
        <w:t>開發的</w:t>
      </w:r>
      <w:r w:rsidR="00E53D0F" w:rsidRPr="00B9506F">
        <w:rPr>
          <w:rFonts w:ascii="Times New Roman" w:eastAsia="標楷體" w:hAnsi="Times New Roman" w:cs="Times New Roman"/>
          <w:b/>
          <w:bCs/>
          <w:sz w:val="28"/>
          <w:szCs w:val="28"/>
        </w:rPr>
        <w:t>CKIP Transformers</w:t>
      </w:r>
      <w:r w:rsidR="00E53D0F" w:rsidRPr="00B9506F">
        <w:rPr>
          <w:rFonts w:ascii="Times New Roman" w:eastAsia="標楷體" w:hAnsi="Times New Roman" w:cs="Times New Roman"/>
          <w:sz w:val="28"/>
          <w:szCs w:val="28"/>
        </w:rPr>
        <w:t> </w:t>
      </w:r>
      <w:r w:rsidR="00E53D0F">
        <w:rPr>
          <w:rFonts w:ascii="Times New Roman" w:eastAsia="標楷體" w:hAnsi="Times New Roman" w:cs="Times New Roman" w:hint="eastAsia"/>
          <w:sz w:val="28"/>
          <w:szCs w:val="28"/>
        </w:rPr>
        <w:t>結合</w:t>
      </w:r>
      <w:r w:rsidR="00E53D0F" w:rsidRPr="00B9506F">
        <w:rPr>
          <w:rFonts w:ascii="Times New Roman" w:eastAsia="標楷體" w:hAnsi="Times New Roman" w:cs="Times New Roman"/>
          <w:sz w:val="28"/>
          <w:szCs w:val="28"/>
        </w:rPr>
        <w:t>進行斷詞</w:t>
      </w:r>
    </w:p>
    <w:p w14:paraId="2A915225" w14:textId="5F4A3408" w:rsidR="00B9506F" w:rsidRPr="00E53D0F" w:rsidRDefault="00B9506F" w:rsidP="00E53D0F">
      <w:pPr>
        <w:outlineLvl w:val="0"/>
        <w:rPr>
          <w:rFonts w:ascii="Times New Roman" w:eastAsia="標楷體" w:hAnsi="Times New Roman" w:cs="Times New Roman"/>
          <w:sz w:val="28"/>
          <w:szCs w:val="28"/>
        </w:rPr>
      </w:pPr>
    </w:p>
    <w:p w14:paraId="7EE5000D" w14:textId="0337BBC5" w:rsidR="00B9506F" w:rsidRDefault="00B9506F"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lastRenderedPageBreak/>
        <w:t>特徵工程</w:t>
      </w:r>
    </w:p>
    <w:p w14:paraId="751B2C42" w14:textId="6DC0F73D" w:rsidR="00523799" w:rsidRDefault="00523799" w:rsidP="008613E4">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本研究將非結構化的文本數據轉換為機器可讀的數值特徵向量：</w:t>
      </w:r>
    </w:p>
    <w:p w14:paraId="14FC9664" w14:textId="2DA1922C" w:rsidR="00523799" w:rsidRDefault="00523799" w:rsidP="00523799">
      <w:pPr>
        <w:numPr>
          <w:ilvl w:val="0"/>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b/>
          <w:bCs/>
          <w:sz w:val="28"/>
          <w:szCs w:val="28"/>
        </w:rPr>
        <w:t>詞袋模型</w:t>
      </w:r>
      <w:r w:rsidRPr="00523799">
        <w:rPr>
          <w:rFonts w:ascii="Times New Roman" w:eastAsia="標楷體" w:hAnsi="Times New Roman" w:cs="Times New Roman"/>
          <w:b/>
          <w:bCs/>
          <w:sz w:val="28"/>
          <w:szCs w:val="28"/>
        </w:rPr>
        <w:t xml:space="preserve"> </w:t>
      </w:r>
      <w:r w:rsidR="000E2DE2">
        <w:rPr>
          <w:rFonts w:ascii="Times New Roman" w:eastAsia="標楷體" w:hAnsi="Times New Roman" w:cs="Times New Roman"/>
          <w:b/>
          <w:bCs/>
          <w:sz w:val="28"/>
          <w:szCs w:val="28"/>
        </w:rPr>
        <w:t>（</w:t>
      </w:r>
      <w:r w:rsidRPr="00523799">
        <w:rPr>
          <w:rFonts w:ascii="Times New Roman" w:eastAsia="標楷體" w:hAnsi="Times New Roman" w:cs="Times New Roman"/>
          <w:b/>
          <w:bCs/>
          <w:sz w:val="28"/>
          <w:szCs w:val="28"/>
        </w:rPr>
        <w:t>Bag-of-Words, BoW</w:t>
      </w:r>
      <w:r w:rsidR="000E2DE2">
        <w:rPr>
          <w:rFonts w:ascii="Times New Roman" w:eastAsia="標楷體" w:hAnsi="Times New Roman" w:cs="Times New Roman"/>
          <w:b/>
          <w:bCs/>
          <w:sz w:val="28"/>
          <w:szCs w:val="28"/>
        </w:rPr>
        <w:t>）</w:t>
      </w:r>
      <w:r w:rsidRPr="00523799">
        <w:rPr>
          <w:rFonts w:ascii="Times New Roman" w:eastAsia="標楷體" w:hAnsi="Times New Roman" w:cs="Times New Roman"/>
          <w:sz w:val="28"/>
          <w:szCs w:val="28"/>
        </w:rPr>
        <w:t>：</w:t>
      </w:r>
    </w:p>
    <w:p w14:paraId="14785F43" w14:textId="5C6FD5C9" w:rsidR="00523799" w:rsidRDefault="00523799" w:rsidP="00523799">
      <w:pPr>
        <w:numPr>
          <w:ilvl w:val="1"/>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本研究主要採用詞袋模型建構「文件</w:t>
      </w:r>
      <w:r w:rsidRPr="00523799">
        <w:rPr>
          <w:rFonts w:ascii="Times New Roman" w:eastAsia="標楷體" w:hAnsi="Times New Roman" w:cs="Times New Roman"/>
          <w:sz w:val="28"/>
          <w:szCs w:val="28"/>
        </w:rPr>
        <w:t>-</w:t>
      </w:r>
      <w:r w:rsidRPr="00523799">
        <w:rPr>
          <w:rFonts w:ascii="Times New Roman" w:eastAsia="標楷體" w:hAnsi="Times New Roman" w:cs="Times New Roman"/>
          <w:sz w:val="28"/>
          <w:szCs w:val="28"/>
        </w:rPr>
        <w:t>詞彙矩陣」（</w:t>
      </w:r>
      <w:r w:rsidRPr="00523799">
        <w:rPr>
          <w:rFonts w:ascii="Times New Roman" w:eastAsia="標楷體" w:hAnsi="Times New Roman" w:cs="Times New Roman"/>
          <w:sz w:val="28"/>
          <w:szCs w:val="28"/>
        </w:rPr>
        <w:t>Document-Term Matrix, DTM</w:t>
      </w:r>
      <w:r w:rsidRPr="00523799">
        <w:rPr>
          <w:rFonts w:ascii="Times New Roman" w:eastAsia="標楷體" w:hAnsi="Times New Roman" w:cs="Times New Roman"/>
          <w:sz w:val="28"/>
          <w:szCs w:val="28"/>
        </w:rPr>
        <w:t>）。該技術將每篇判決書視為詞彙的集合，忽略語法與詞序，僅計算每個詞彙在文本中出現的頻率（</w:t>
      </w:r>
      <w:r w:rsidRPr="00523799">
        <w:rPr>
          <w:rFonts w:ascii="Times New Roman" w:eastAsia="標楷體" w:hAnsi="Times New Roman" w:cs="Times New Roman"/>
          <w:sz w:val="28"/>
          <w:szCs w:val="28"/>
        </w:rPr>
        <w:t>Term Frequency</w:t>
      </w:r>
      <w:r w:rsidRPr="00523799">
        <w:rPr>
          <w:rFonts w:ascii="Times New Roman" w:eastAsia="標楷體" w:hAnsi="Times New Roman" w:cs="Times New Roman"/>
          <w:sz w:val="28"/>
          <w:szCs w:val="28"/>
        </w:rPr>
        <w:t>）。由於智財判決書篇幅冗長且詞彙量龐大，本研究透過高維度的稀疏矩陣（</w:t>
      </w:r>
      <w:r w:rsidRPr="00523799">
        <w:rPr>
          <w:rFonts w:ascii="Times New Roman" w:eastAsia="標楷體" w:hAnsi="Times New Roman" w:cs="Times New Roman"/>
          <w:sz w:val="28"/>
          <w:szCs w:val="28"/>
        </w:rPr>
        <w:t>Sparse Matrix</w:t>
      </w:r>
      <w:r w:rsidRPr="00523799">
        <w:rPr>
          <w:rFonts w:ascii="Times New Roman" w:eastAsia="標楷體" w:hAnsi="Times New Roman" w:cs="Times New Roman"/>
          <w:sz w:val="28"/>
          <w:szCs w:val="28"/>
        </w:rPr>
        <w:t>）進行表徵，藉此保留法律術語在不同判決結果中的分佈特徵，作為模型判別勝敗訴之基礎。</w:t>
      </w:r>
    </w:p>
    <w:p w14:paraId="51855976" w14:textId="5A3E7226" w:rsidR="00523799" w:rsidRDefault="00523799" w:rsidP="00523799">
      <w:pPr>
        <w:numPr>
          <w:ilvl w:val="0"/>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 xml:space="preserve">TF-IDF </w:t>
      </w:r>
      <w:r w:rsidR="000E2DE2">
        <w:rPr>
          <w:rFonts w:ascii="Times New Roman" w:eastAsia="標楷體" w:hAnsi="Times New Roman" w:cs="Times New Roman"/>
          <w:sz w:val="28"/>
          <w:szCs w:val="28"/>
        </w:rPr>
        <w:t>（</w:t>
      </w:r>
      <w:r w:rsidRPr="00523799">
        <w:rPr>
          <w:rFonts w:ascii="Times New Roman" w:eastAsia="標楷體" w:hAnsi="Times New Roman" w:cs="Times New Roman"/>
          <w:sz w:val="28"/>
          <w:szCs w:val="28"/>
        </w:rPr>
        <w:t>Term Frequency-Inverse Document Frequency</w:t>
      </w:r>
      <w:r w:rsidR="000E2DE2">
        <w:rPr>
          <w:rFonts w:ascii="Times New Roman" w:eastAsia="標楷體" w:hAnsi="Times New Roman" w:cs="Times New Roman"/>
          <w:sz w:val="28"/>
          <w:szCs w:val="28"/>
        </w:rPr>
        <w:t>）</w:t>
      </w:r>
      <w:r w:rsidRPr="00523799">
        <w:rPr>
          <w:rFonts w:ascii="Times New Roman" w:eastAsia="標楷體" w:hAnsi="Times New Roman" w:cs="Times New Roman"/>
          <w:sz w:val="28"/>
          <w:szCs w:val="28"/>
        </w:rPr>
        <w:t xml:space="preserve"> </w:t>
      </w:r>
      <w:r>
        <w:rPr>
          <w:rFonts w:ascii="Times New Roman" w:eastAsia="標楷體" w:hAnsi="Times New Roman" w:cs="Times New Roman" w:hint="eastAsia"/>
          <w:sz w:val="28"/>
          <w:szCs w:val="28"/>
        </w:rPr>
        <w:t>：</w:t>
      </w:r>
    </w:p>
    <w:p w14:paraId="3191987F" w14:textId="631FAEE4" w:rsidR="00523799" w:rsidRPr="00523799" w:rsidRDefault="00523799" w:rsidP="00523799">
      <w:pPr>
        <w:ind w:left="1440"/>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為了進一步優化特徵的辨識度，本研究亦導入</w:t>
      </w:r>
      <w:r w:rsidRPr="00523799">
        <w:rPr>
          <w:rFonts w:ascii="Times New Roman" w:eastAsia="標楷體" w:hAnsi="Times New Roman" w:cs="Times New Roman"/>
          <w:sz w:val="28"/>
          <w:szCs w:val="28"/>
        </w:rPr>
        <w:t xml:space="preserve"> TF-IDF </w:t>
      </w:r>
      <w:r w:rsidRPr="00523799">
        <w:rPr>
          <w:rFonts w:ascii="Times New Roman" w:eastAsia="標楷體" w:hAnsi="Times New Roman" w:cs="Times New Roman"/>
          <w:sz w:val="28"/>
          <w:szCs w:val="28"/>
        </w:rPr>
        <w:t>加權技術進行對照。該指標旨在衡量一個詞彙對於特定判決書的重要性：透過計算詞頻（</w:t>
      </w:r>
      <w:r w:rsidRPr="00523799">
        <w:rPr>
          <w:rFonts w:ascii="Times New Roman" w:eastAsia="標楷體" w:hAnsi="Times New Roman" w:cs="Times New Roman"/>
          <w:sz w:val="28"/>
          <w:szCs w:val="28"/>
        </w:rPr>
        <w:t>TF</w:t>
      </w:r>
      <w:r w:rsidRPr="00523799">
        <w:rPr>
          <w:rFonts w:ascii="Times New Roman" w:eastAsia="標楷體" w:hAnsi="Times New Roman" w:cs="Times New Roman"/>
          <w:sz w:val="28"/>
          <w:szCs w:val="28"/>
        </w:rPr>
        <w:t>）與逆文件頻率（</w:t>
      </w:r>
      <w:r w:rsidRPr="00523799">
        <w:rPr>
          <w:rFonts w:ascii="Times New Roman" w:eastAsia="標楷體" w:hAnsi="Times New Roman" w:cs="Times New Roman"/>
          <w:sz w:val="28"/>
          <w:szCs w:val="28"/>
        </w:rPr>
        <w:t>IDF</w:t>
      </w:r>
      <w:r w:rsidRPr="00523799">
        <w:rPr>
          <w:rFonts w:ascii="Times New Roman" w:eastAsia="標楷體" w:hAnsi="Times New Roman" w:cs="Times New Roman"/>
          <w:sz w:val="28"/>
          <w:szCs w:val="28"/>
        </w:rPr>
        <w:t>），有效降低如「當事人」、「法院」等在所有判決中高頻出現但缺乏鑑別力之詞彙權重，並提升具備特定法律爭點意義之關鍵字權重。本研究藉此技術平衡長文本導致的噪訊，提升模型捕捉核心法律特徵的能力。</w:t>
      </w:r>
    </w:p>
    <w:p w14:paraId="39941B1A" w14:textId="42479640" w:rsidR="00523799" w:rsidRPr="00523799" w:rsidRDefault="00523799" w:rsidP="00523799">
      <w:pPr>
        <w:numPr>
          <w:ilvl w:val="0"/>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b/>
          <w:bCs/>
          <w:sz w:val="28"/>
          <w:szCs w:val="28"/>
        </w:rPr>
        <w:t>資料集劃分</w:t>
      </w:r>
      <w:r w:rsidRPr="00523799">
        <w:rPr>
          <w:rFonts w:ascii="Times New Roman" w:eastAsia="標楷體" w:hAnsi="Times New Roman" w:cs="Times New Roman"/>
          <w:sz w:val="28"/>
          <w:szCs w:val="28"/>
        </w:rPr>
        <w:t>：</w:t>
      </w:r>
      <w:r w:rsidR="00B435C1" w:rsidRPr="00B435C1">
        <w:rPr>
          <w:rFonts w:ascii="Times New Roman" w:eastAsia="標楷體" w:hAnsi="Times New Roman" w:cs="Times New Roman"/>
          <w:sz w:val="28"/>
          <w:szCs w:val="28"/>
        </w:rPr>
        <w:t>本研究將資料集依</w:t>
      </w:r>
      <w:r w:rsidR="00B435C1" w:rsidRPr="00B435C1">
        <w:rPr>
          <w:rFonts w:ascii="Times New Roman" w:eastAsia="標楷體" w:hAnsi="Times New Roman" w:cs="Times New Roman"/>
          <w:sz w:val="28"/>
          <w:szCs w:val="28"/>
        </w:rPr>
        <w:t xml:space="preserve"> </w:t>
      </w:r>
      <w:r w:rsidR="00453630">
        <w:rPr>
          <w:rFonts w:ascii="Times New Roman" w:eastAsia="標楷體" w:hAnsi="Times New Roman" w:cs="Times New Roman" w:hint="eastAsia"/>
          <w:sz w:val="28"/>
          <w:szCs w:val="28"/>
        </w:rPr>
        <w:t>7</w:t>
      </w:r>
      <w:r w:rsidR="00B435C1" w:rsidRPr="00B435C1">
        <w:rPr>
          <w:rFonts w:ascii="Times New Roman" w:eastAsia="標楷體" w:hAnsi="Times New Roman" w:cs="Times New Roman"/>
          <w:sz w:val="28"/>
          <w:szCs w:val="28"/>
        </w:rPr>
        <w:t>0:10:</w:t>
      </w:r>
      <w:r w:rsidR="00453630">
        <w:rPr>
          <w:rFonts w:ascii="Times New Roman" w:eastAsia="標楷體" w:hAnsi="Times New Roman" w:cs="Times New Roman" w:hint="eastAsia"/>
          <w:sz w:val="28"/>
          <w:szCs w:val="28"/>
        </w:rPr>
        <w:t>2</w:t>
      </w:r>
      <w:r w:rsidR="00B435C1" w:rsidRPr="00B435C1">
        <w:rPr>
          <w:rFonts w:ascii="Times New Roman" w:eastAsia="標楷體" w:hAnsi="Times New Roman" w:cs="Times New Roman"/>
          <w:sz w:val="28"/>
          <w:szCs w:val="28"/>
        </w:rPr>
        <w:t xml:space="preserve">0 </w:t>
      </w:r>
      <w:r w:rsidR="00B435C1" w:rsidRPr="00B435C1">
        <w:rPr>
          <w:rFonts w:ascii="Times New Roman" w:eastAsia="標楷體" w:hAnsi="Times New Roman" w:cs="Times New Roman"/>
          <w:sz w:val="28"/>
          <w:szCs w:val="28"/>
        </w:rPr>
        <w:t>的比例劃分為訓練集（</w:t>
      </w:r>
      <w:r w:rsidR="00B435C1" w:rsidRPr="00B435C1">
        <w:rPr>
          <w:rFonts w:ascii="Times New Roman" w:eastAsia="標楷體" w:hAnsi="Times New Roman" w:cs="Times New Roman"/>
          <w:sz w:val="28"/>
          <w:szCs w:val="28"/>
        </w:rPr>
        <w:t>Training Set</w:t>
      </w:r>
      <w:r w:rsidR="00B435C1" w:rsidRPr="00B435C1">
        <w:rPr>
          <w:rFonts w:ascii="Times New Roman" w:eastAsia="標楷體" w:hAnsi="Times New Roman" w:cs="Times New Roman"/>
          <w:sz w:val="28"/>
          <w:szCs w:val="28"/>
        </w:rPr>
        <w:t>）、驗證集（</w:t>
      </w:r>
      <w:r w:rsidR="00B435C1" w:rsidRPr="00B435C1">
        <w:rPr>
          <w:rFonts w:ascii="Times New Roman" w:eastAsia="標楷體" w:hAnsi="Times New Roman" w:cs="Times New Roman"/>
          <w:sz w:val="28"/>
          <w:szCs w:val="28"/>
        </w:rPr>
        <w:t>Validation Set</w:t>
      </w:r>
      <w:r w:rsidR="00B435C1" w:rsidRPr="00B435C1">
        <w:rPr>
          <w:rFonts w:ascii="Times New Roman" w:eastAsia="標楷體" w:hAnsi="Times New Roman" w:cs="Times New Roman"/>
          <w:sz w:val="28"/>
          <w:szCs w:val="28"/>
        </w:rPr>
        <w:t>）與測試集（</w:t>
      </w:r>
      <w:r w:rsidR="00B435C1" w:rsidRPr="00B435C1">
        <w:rPr>
          <w:rFonts w:ascii="Times New Roman" w:eastAsia="標楷體" w:hAnsi="Times New Roman" w:cs="Times New Roman"/>
          <w:sz w:val="28"/>
          <w:szCs w:val="28"/>
        </w:rPr>
        <w:t>Test Set</w:t>
      </w:r>
      <w:r w:rsidR="00B435C1" w:rsidRPr="00B435C1">
        <w:rPr>
          <w:rFonts w:ascii="Times New Roman" w:eastAsia="標楷體" w:hAnsi="Times New Roman" w:cs="Times New Roman"/>
          <w:sz w:val="28"/>
          <w:szCs w:val="28"/>
        </w:rPr>
        <w:t>）。訓練集用於模型參數學習，驗證集用於模型選擇與超參數調整，測試集則用於最終模型效能評估，以檢驗模型對未見資料之泛化能力。</w:t>
      </w:r>
    </w:p>
    <w:p w14:paraId="6D530F30" w14:textId="01EC53DC" w:rsidR="00B9506F" w:rsidRDefault="00512832"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lastRenderedPageBreak/>
        <w:t>基於多項</w:t>
      </w:r>
      <w:r w:rsidR="00453630">
        <w:rPr>
          <w:rFonts w:ascii="Times New Roman" w:eastAsia="標楷體" w:hAnsi="Times New Roman" w:cs="Times New Roman" w:hint="eastAsia"/>
          <w:sz w:val="28"/>
          <w:szCs w:val="28"/>
        </w:rPr>
        <w:t>式</w:t>
      </w:r>
      <w:r>
        <w:rPr>
          <w:rFonts w:ascii="Times New Roman" w:eastAsia="標楷體" w:hAnsi="Times New Roman" w:cs="Times New Roman" w:hint="eastAsia"/>
          <w:sz w:val="28"/>
          <w:szCs w:val="28"/>
        </w:rPr>
        <w:t>逆回歸之</w:t>
      </w:r>
      <w:r w:rsidR="00523799">
        <w:rPr>
          <w:rFonts w:ascii="Times New Roman" w:eastAsia="標楷體" w:hAnsi="Times New Roman" w:cs="Times New Roman" w:hint="eastAsia"/>
          <w:sz w:val="28"/>
          <w:szCs w:val="28"/>
        </w:rPr>
        <w:t>預測模型建構</w:t>
      </w:r>
    </w:p>
    <w:p w14:paraId="75442492" w14:textId="77777777" w:rsidR="00512832" w:rsidRPr="00512832" w:rsidRDefault="00512832" w:rsidP="00512832">
      <w:pPr>
        <w:outlineLvl w:val="0"/>
        <w:rPr>
          <w:rFonts w:ascii="Times New Roman" w:eastAsia="標楷體" w:hAnsi="Times New Roman" w:cs="Times New Roman"/>
          <w:sz w:val="28"/>
          <w:szCs w:val="28"/>
        </w:rPr>
      </w:pPr>
      <w:r w:rsidRPr="00512832">
        <w:rPr>
          <w:rFonts w:ascii="Times New Roman" w:eastAsia="標楷體" w:hAnsi="Times New Roman" w:cs="Times New Roman" w:hint="eastAsia"/>
          <w:sz w:val="28"/>
          <w:szCs w:val="28"/>
        </w:rPr>
        <w:t>多項式逆迴歸（</w:t>
      </w:r>
      <w:r w:rsidRPr="00512832">
        <w:rPr>
          <w:rFonts w:ascii="Times New Roman" w:eastAsia="標楷體" w:hAnsi="Times New Roman" w:cs="Times New Roman" w:hint="eastAsia"/>
          <w:sz w:val="28"/>
          <w:szCs w:val="28"/>
        </w:rPr>
        <w:t>MNIR</w:t>
      </w:r>
      <w:r w:rsidRPr="00512832">
        <w:rPr>
          <w:rFonts w:ascii="Times New Roman" w:eastAsia="標楷體" w:hAnsi="Times New Roman" w:cs="Times New Roman" w:hint="eastAsia"/>
          <w:sz w:val="28"/>
          <w:szCs w:val="28"/>
        </w:rPr>
        <w:t>）之理論基礎與建模動機</w:t>
      </w:r>
    </w:p>
    <w:p w14:paraId="523BE13D" w14:textId="6EA65BFC" w:rsidR="00512832" w:rsidRPr="00310DD0" w:rsidRDefault="00512832" w:rsidP="00512832">
      <w:pPr>
        <w:outlineLvl w:val="0"/>
        <w:rPr>
          <w:rFonts w:ascii="Times New Roman" w:eastAsia="標楷體" w:hAnsi="Times New Roman" w:cs="Times New Roman"/>
          <w:sz w:val="28"/>
          <w:szCs w:val="28"/>
        </w:rPr>
      </w:pPr>
      <w:r w:rsidRPr="00512832">
        <w:rPr>
          <w:rFonts w:ascii="Times New Roman" w:eastAsia="標楷體" w:hAnsi="Times New Roman" w:cs="Times New Roman" w:hint="eastAsia"/>
          <w:sz w:val="28"/>
          <w:szCs w:val="28"/>
        </w:rPr>
        <w:t>在高維度文本數據的統計建模中，研究者常面臨嚴峻的「維度災難」。當詞彙表規模達數萬維度時，傳統的前向迴歸路徑（將情感變量</w:t>
      </w:r>
      <m:oMath>
        <m:r>
          <w:rPr>
            <w:rFonts w:ascii="Cambria Math" w:eastAsia="標楷體" w:hAnsi="Cambria Math" w:cs="Times New Roman"/>
            <w:sz w:val="28"/>
            <w:szCs w:val="28"/>
          </w:rPr>
          <m:t xml:space="preserve"> y </m:t>
        </m:r>
      </m:oMath>
      <w:r w:rsidRPr="00512832">
        <w:rPr>
          <w:rFonts w:ascii="Times New Roman" w:eastAsia="標楷體" w:hAnsi="Times New Roman" w:cs="Times New Roman" w:hint="eastAsia"/>
          <w:sz w:val="28"/>
          <w:szCs w:val="28"/>
        </w:rPr>
        <w:t>直接對高維詞頻向量</w:t>
      </w:r>
      <m:oMath>
        <m:r>
          <w:rPr>
            <w:rFonts w:ascii="Cambria Math" w:eastAsia="標楷體" w:hAnsi="Cambria Math" w:cs="Times New Roman"/>
            <w:sz w:val="28"/>
            <w:szCs w:val="28"/>
          </w:rPr>
          <m:t xml:space="preserve"> x </m:t>
        </m:r>
      </m:oMath>
      <w:r w:rsidRPr="00512832">
        <w:rPr>
          <w:rFonts w:ascii="Times New Roman" w:eastAsia="標楷體" w:hAnsi="Times New Roman" w:cs="Times New Roman" w:hint="eastAsia"/>
          <w:sz w:val="28"/>
          <w:szCs w:val="28"/>
        </w:rPr>
        <w:t>建模）往往因參數空間過大，導致模型估計極端不穩定。本研究採用的多項式逆迴歸（</w:t>
      </w:r>
      <w:r w:rsidRPr="00512832">
        <w:rPr>
          <w:rFonts w:ascii="Times New Roman" w:eastAsia="標楷體" w:hAnsi="Times New Roman" w:cs="Times New Roman" w:hint="eastAsia"/>
          <w:sz w:val="28"/>
          <w:szCs w:val="28"/>
        </w:rPr>
        <w:t>Multinomial Inverse Regression, MNIR</w:t>
      </w:r>
      <w:r w:rsidRPr="00512832">
        <w:rPr>
          <w:rFonts w:ascii="Times New Roman" w:eastAsia="標楷體" w:hAnsi="Times New Roman" w:cs="Times New Roman" w:hint="eastAsia"/>
          <w:sz w:val="28"/>
          <w:szCs w:val="28"/>
        </w:rPr>
        <w:t>）架構，其核心策略在於反轉預測邏輯：透過分析給定目標變量條件下文本的生成分佈</w:t>
      </w:r>
      <w:r w:rsidR="00310DD0">
        <w:rPr>
          <w:rFonts w:ascii="Times New Roman" w:eastAsia="標楷體" w:hAnsi="Times New Roman" w:cs="Times New Roman" w:hint="eastAsia"/>
          <w:sz w:val="28"/>
          <w:szCs w:val="28"/>
        </w:rPr>
        <w:t xml:space="preserve"> </w:t>
      </w:r>
      <m:oMath>
        <m:r>
          <w:rPr>
            <w:rFonts w:ascii="Cambria Math" w:eastAsia="標楷體" w:hAnsi="Cambria Math" w:cs="Times New Roman"/>
            <w:sz w:val="28"/>
            <w:szCs w:val="28"/>
          </w:rPr>
          <m:t xml:space="preserve">x|y </m:t>
        </m:r>
      </m:oMath>
      <w:r w:rsidRPr="00512832">
        <w:rPr>
          <w:rFonts w:ascii="Times New Roman" w:eastAsia="標楷體" w:hAnsi="Times New Roman" w:cs="Times New Roman" w:hint="eastAsia"/>
          <w:sz w:val="28"/>
          <w:szCs w:val="28"/>
        </w:rPr>
        <w:t>，將高維度的詞彙特徵投射至低維的情感空間。這種「逆向路徑」的優勢在於，它能精確捕捉文本中與目標變量</w:t>
      </w:r>
      <m:oMath>
        <m:r>
          <w:rPr>
            <w:rFonts w:ascii="Cambria Math" w:eastAsia="標楷體" w:hAnsi="Cambria Math" w:cs="Times New Roman"/>
            <w:sz w:val="28"/>
            <w:szCs w:val="28"/>
          </w:rPr>
          <m:t xml:space="preserve"> y </m:t>
        </m:r>
      </m:oMath>
      <w:r w:rsidRPr="00512832">
        <w:rPr>
          <w:rFonts w:ascii="Times New Roman" w:eastAsia="標楷體" w:hAnsi="Times New Roman" w:cs="Times New Roman" w:hint="eastAsia"/>
          <w:sz w:val="28"/>
          <w:szCs w:val="28"/>
        </w:rPr>
        <w:t>相關的變異，而非僅僅是描述文本自身的隨機特徵。</w:t>
      </w:r>
    </w:p>
    <w:p w14:paraId="67387087" w14:textId="047683B4" w:rsidR="00512832" w:rsidRPr="00084D5A" w:rsidRDefault="00512832" w:rsidP="00512832">
      <w:pPr>
        <w:outlineLvl w:val="0"/>
        <w:rPr>
          <w:rFonts w:ascii="Times New Roman" w:eastAsia="標楷體" w:hAnsi="Times New Roman" w:cs="Times New Roman"/>
          <w:sz w:val="28"/>
          <w:szCs w:val="28"/>
        </w:rPr>
      </w:pPr>
      <w:r w:rsidRPr="00512832">
        <w:rPr>
          <w:rFonts w:ascii="Times New Roman" w:eastAsia="標楷體" w:hAnsi="Times New Roman" w:cs="Times New Roman" w:hint="eastAsia"/>
          <w:sz w:val="28"/>
          <w:szCs w:val="28"/>
        </w:rPr>
        <w:t>在數學定義上，</w:t>
      </w:r>
      <w:r w:rsidRPr="00512832">
        <w:rPr>
          <w:rFonts w:ascii="Times New Roman" w:eastAsia="標楷體" w:hAnsi="Times New Roman" w:cs="Times New Roman" w:hint="eastAsia"/>
          <w:sz w:val="28"/>
          <w:szCs w:val="28"/>
        </w:rPr>
        <w:t xml:space="preserve">MNIR </w:t>
      </w:r>
      <w:r w:rsidRPr="00512832">
        <w:rPr>
          <w:rFonts w:ascii="Times New Roman" w:eastAsia="標楷體" w:hAnsi="Times New Roman" w:cs="Times New Roman" w:hint="eastAsia"/>
          <w:sz w:val="28"/>
          <w:szCs w:val="28"/>
        </w:rPr>
        <w:t>將每一份文件</w:t>
      </w:r>
      <w:r w:rsidRPr="00512832">
        <w:rPr>
          <w:rFonts w:ascii="Times New Roman" w:eastAsia="標楷體" w:hAnsi="Times New Roman" w:cs="Times New Roman" w:hint="eastAsia"/>
          <w:sz w:val="28"/>
          <w:szCs w:val="28"/>
        </w:rPr>
        <w:t xml:space="preserve"> </w:t>
      </w:r>
      <m:oMath>
        <m:r>
          <w:rPr>
            <w:rFonts w:ascii="Cambria Math" w:eastAsia="標楷體" w:hAnsi="Cambria Math" w:cs="Times New Roman"/>
            <w:sz w:val="28"/>
            <w:szCs w:val="28"/>
          </w:rPr>
          <m:t>i</m:t>
        </m:r>
      </m:oMath>
      <w:r w:rsidRPr="00512832">
        <w:rPr>
          <w:rFonts w:ascii="Times New Roman" w:eastAsia="標楷體" w:hAnsi="Times New Roman" w:cs="Times New Roman" w:hint="eastAsia"/>
          <w:sz w:val="28"/>
          <w:szCs w:val="28"/>
        </w:rPr>
        <w:t xml:space="preserve"> </w:t>
      </w:r>
      <w:r w:rsidRPr="00512832">
        <w:rPr>
          <w:rFonts w:ascii="Times New Roman" w:eastAsia="標楷體" w:hAnsi="Times New Roman" w:cs="Times New Roman" w:hint="eastAsia"/>
          <w:sz w:val="28"/>
          <w:szCs w:val="28"/>
        </w:rPr>
        <w:t>視為從多項式分佈中提取的標記（</w:t>
      </w:r>
      <w:r w:rsidRPr="00512832">
        <w:rPr>
          <w:rFonts w:ascii="Times New Roman" w:eastAsia="標楷體" w:hAnsi="Times New Roman" w:cs="Times New Roman" w:hint="eastAsia"/>
          <w:sz w:val="28"/>
          <w:szCs w:val="28"/>
        </w:rPr>
        <w:t>tokens</w:t>
      </w:r>
      <w:r w:rsidRPr="00512832">
        <w:rPr>
          <w:rFonts w:ascii="Times New Roman" w:eastAsia="標楷體" w:hAnsi="Times New Roman" w:cs="Times New Roman" w:hint="eastAsia"/>
          <w:sz w:val="28"/>
          <w:szCs w:val="28"/>
        </w:rPr>
        <w:t>）集合。根據</w:t>
      </w:r>
      <w:r w:rsidRPr="00512832">
        <w:rPr>
          <w:rFonts w:ascii="Times New Roman" w:eastAsia="標楷體" w:hAnsi="Times New Roman" w:cs="Times New Roman" w:hint="eastAsia"/>
          <w:sz w:val="28"/>
          <w:szCs w:val="28"/>
        </w:rPr>
        <w:t xml:space="preserve"> Taddy (2013) </w:t>
      </w:r>
      <w:r w:rsidRPr="00512832">
        <w:rPr>
          <w:rFonts w:ascii="Times New Roman" w:eastAsia="標楷體" w:hAnsi="Times New Roman" w:cs="Times New Roman" w:hint="eastAsia"/>
          <w:sz w:val="28"/>
          <w:szCs w:val="28"/>
        </w:rPr>
        <w:t>的框架，模型基本架構如下：</w:t>
      </w:r>
    </w:p>
    <w:p w14:paraId="21757C38" w14:textId="7F339537" w:rsidR="00512832" w:rsidRPr="00310DD0" w:rsidRDefault="00000000" w:rsidP="00512832">
      <w:pPr>
        <w:outlineLvl w:val="0"/>
        <w:rPr>
          <w:rFonts w:ascii="Times New Roman" w:eastAsia="標楷體" w:hAnsi="Times New Roman" w:cs="Times New Roman"/>
          <w:sz w:val="28"/>
          <w:szCs w:val="28"/>
        </w:rPr>
      </w:pPr>
      <m:oMathPara>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x</m:t>
              </m:r>
            </m:e>
            <m:sub>
              <m:r>
                <w:rPr>
                  <w:rFonts w:ascii="Cambria Math" w:eastAsia="標楷體" w:hAnsi="Cambria Math" w:cs="Times New Roman"/>
                  <w:sz w:val="28"/>
                  <w:szCs w:val="28"/>
                </w:rPr>
                <m:t>i</m:t>
              </m:r>
            </m:sub>
          </m:sSub>
          <m:r>
            <w:rPr>
              <w:rFonts w:ascii="Cambria Math" w:eastAsia="標楷體" w:hAnsi="Cambria Math" w:cs="Times New Roman"/>
              <w:sz w:val="28"/>
              <w:szCs w:val="28"/>
            </w:rPr>
            <m:t>~MN</m:t>
          </m:r>
          <m:d>
            <m:dPr>
              <m:ctrlPr>
                <w:rPr>
                  <w:rFonts w:ascii="Cambria Math" w:eastAsia="標楷體" w:hAnsi="Cambria Math" w:cs="Times New Roman"/>
                  <w:i/>
                  <w:sz w:val="28"/>
                  <w:szCs w:val="28"/>
                </w:rPr>
              </m:ctrlPr>
            </m:dPr>
            <m:e>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q</m:t>
                  </m:r>
                </m:e>
                <m:sub>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y</m:t>
                      </m:r>
                    </m:e>
                    <m:sub>
                      <m:r>
                        <w:rPr>
                          <w:rFonts w:ascii="Cambria Math" w:eastAsia="標楷體" w:hAnsi="Cambria Math" w:cs="Times New Roman"/>
                          <w:sz w:val="28"/>
                          <w:szCs w:val="28"/>
                        </w:rPr>
                        <m:t>i</m:t>
                      </m:r>
                    </m:sub>
                  </m:sSub>
                </m:sub>
              </m:sSub>
              <m:r>
                <w:rPr>
                  <w:rFonts w:ascii="Cambria Math" w:eastAsia="標楷體" w:hAnsi="Cambria Math" w:cs="Times New Roman"/>
                  <w:sz w:val="28"/>
                  <w:szCs w:val="28"/>
                </w:rPr>
                <m:t>,</m:t>
              </m:r>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m</m:t>
                  </m:r>
                </m:e>
                <m:sub>
                  <m:r>
                    <w:rPr>
                      <w:rFonts w:ascii="Cambria Math" w:eastAsia="標楷體" w:hAnsi="Cambria Math" w:cs="Times New Roman"/>
                      <w:sz w:val="28"/>
                      <w:szCs w:val="28"/>
                    </w:rPr>
                    <m:t>i</m:t>
                  </m:r>
                </m:sub>
              </m:sSub>
            </m:e>
          </m:d>
        </m:oMath>
      </m:oMathPara>
    </w:p>
    <w:p w14:paraId="6534BB28" w14:textId="70BE9735" w:rsidR="00310DD0" w:rsidRPr="00310DD0" w:rsidRDefault="00310DD0" w:rsidP="00512832">
      <w:pPr>
        <w:outlineLvl w:val="0"/>
        <w:rPr>
          <w:rFonts w:ascii="Times New Roman" w:eastAsia="標楷體" w:hAnsi="Times New Roman" w:cs="Times New Roman"/>
          <w:sz w:val="28"/>
          <w:szCs w:val="28"/>
        </w:rPr>
      </w:pPr>
      <w:r w:rsidRPr="00310DD0">
        <w:rPr>
          <w:rFonts w:ascii="Times New Roman" w:eastAsia="標楷體" w:hAnsi="Times New Roman" w:cs="Times New Roman"/>
          <w:sz w:val="28"/>
          <w:szCs w:val="28"/>
        </w:rPr>
        <w:t>其中，</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x</m:t>
            </m:r>
          </m:e>
          <m:sub>
            <m:r>
              <w:rPr>
                <w:rFonts w:ascii="Cambria Math" w:eastAsia="標楷體" w:hAnsi="Cambria Math" w:cs="Times New Roman"/>
                <w:sz w:val="28"/>
                <w:szCs w:val="28"/>
              </w:rPr>
              <m:t>i</m:t>
            </m:r>
          </m:sub>
        </m:sSub>
      </m:oMath>
      <w:r w:rsidR="00084D5A">
        <w:rPr>
          <w:rFonts w:ascii="Times New Roman" w:eastAsia="標楷體" w:hAnsi="Times New Roman" w:cs="Times New Roman" w:hint="eastAsia"/>
          <w:sz w:val="28"/>
          <w:szCs w:val="28"/>
        </w:rPr>
        <w:t xml:space="preserve"> </w:t>
      </w:r>
      <w:r w:rsidRPr="00310DD0">
        <w:rPr>
          <w:rFonts w:ascii="Times New Roman" w:eastAsia="標楷體" w:hAnsi="Times New Roman" w:cs="Times New Roman"/>
          <w:sz w:val="28"/>
          <w:szCs w:val="28"/>
        </w:rPr>
        <w:t>為</w:t>
      </w:r>
      <w:r w:rsidR="00084D5A">
        <w:rPr>
          <w:rFonts w:ascii="Times New Roman" w:eastAsia="標楷體" w:hAnsi="Times New Roman" w:cs="Times New Roman" w:hint="eastAsia"/>
          <w:sz w:val="28"/>
          <w:szCs w:val="28"/>
        </w:rPr>
        <w:t xml:space="preserve"> </w:t>
      </w:r>
      <m:oMath>
        <m:r>
          <w:rPr>
            <w:rFonts w:ascii="Cambria Math" w:eastAsia="標楷體" w:hAnsi="Cambria Math" w:cs="Times New Roman"/>
            <w:sz w:val="28"/>
            <w:szCs w:val="28"/>
          </w:rPr>
          <m:t>p</m:t>
        </m:r>
      </m:oMath>
      <w:r w:rsidR="00084D5A">
        <w:rPr>
          <w:rFonts w:ascii="Times New Roman" w:eastAsia="標楷體" w:hAnsi="Times New Roman" w:cs="Times New Roman" w:hint="eastAsia"/>
          <w:sz w:val="28"/>
          <w:szCs w:val="28"/>
        </w:rPr>
        <w:t xml:space="preserve"> </w:t>
      </w:r>
      <w:r w:rsidRPr="00310DD0">
        <w:rPr>
          <w:rFonts w:ascii="Times New Roman" w:eastAsia="標楷體" w:hAnsi="Times New Roman" w:cs="Times New Roman"/>
          <w:sz w:val="28"/>
          <w:szCs w:val="28"/>
        </w:rPr>
        <w:t>維詞頻計數向量，</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m</m:t>
            </m:r>
          </m:e>
          <m:sub>
            <m:r>
              <w:rPr>
                <w:rFonts w:ascii="Cambria Math" w:eastAsia="標楷體" w:hAnsi="Cambria Math" w:cs="Times New Roman"/>
                <w:sz w:val="28"/>
                <w:szCs w:val="28"/>
              </w:rPr>
              <m:t>i</m:t>
            </m:r>
          </m:sub>
        </m:sSub>
      </m:oMath>
      <w:r w:rsidR="00084D5A">
        <w:rPr>
          <w:rFonts w:ascii="Times New Roman" w:eastAsia="標楷體" w:hAnsi="Times New Roman" w:cs="Times New Roman" w:hint="eastAsia"/>
          <w:sz w:val="28"/>
          <w:szCs w:val="28"/>
        </w:rPr>
        <w:t xml:space="preserve"> </w:t>
      </w:r>
      <w:r w:rsidRPr="00310DD0">
        <w:rPr>
          <w:rFonts w:ascii="Times New Roman" w:eastAsia="標楷體" w:hAnsi="Times New Roman" w:cs="Times New Roman"/>
          <w:sz w:val="28"/>
          <w:szCs w:val="28"/>
        </w:rPr>
        <w:t>為文件總詞數。模型關鍵在於機率向量</w:t>
      </w:r>
      <w:r w:rsidR="00084D5A">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q</m:t>
            </m:r>
          </m:e>
          <m:sub>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y</m:t>
                </m:r>
              </m:e>
              <m:sub>
                <m:r>
                  <w:rPr>
                    <w:rFonts w:ascii="Cambria Math" w:eastAsia="標楷體" w:hAnsi="Cambria Math" w:cs="Times New Roman"/>
                    <w:sz w:val="28"/>
                    <w:szCs w:val="28"/>
                  </w:rPr>
                  <m:t>i</m:t>
                </m:r>
              </m:sub>
            </m:sSub>
          </m:sub>
        </m:sSub>
      </m:oMath>
      <w:r w:rsidR="00084D5A">
        <w:rPr>
          <w:rFonts w:ascii="Times New Roman" w:eastAsia="標楷體" w:hAnsi="Times New Roman" w:cs="Times New Roman" w:hint="eastAsia"/>
          <w:sz w:val="28"/>
          <w:szCs w:val="28"/>
        </w:rPr>
        <w:t xml:space="preserve"> </w:t>
      </w:r>
      <w:r w:rsidRPr="00310DD0">
        <w:rPr>
          <w:rFonts w:ascii="Times New Roman" w:eastAsia="標楷體" w:hAnsi="Times New Roman" w:cs="Times New Roman"/>
          <w:sz w:val="28"/>
          <w:szCs w:val="28"/>
        </w:rPr>
        <w:t>透過邏輯連結函數（</w:t>
      </w:r>
      <w:r w:rsidRPr="00310DD0">
        <w:rPr>
          <w:rFonts w:ascii="Times New Roman" w:eastAsia="標楷體" w:hAnsi="Times New Roman" w:cs="Times New Roman"/>
          <w:sz w:val="28"/>
          <w:szCs w:val="28"/>
        </w:rPr>
        <w:t>logistic link</w:t>
      </w:r>
      <w:r w:rsidRPr="00310DD0">
        <w:rPr>
          <w:rFonts w:ascii="Times New Roman" w:eastAsia="標楷體" w:hAnsi="Times New Roman" w:cs="Times New Roman"/>
          <w:sz w:val="28"/>
          <w:szCs w:val="28"/>
        </w:rPr>
        <w:t>）與</w:t>
      </w:r>
      <w:r w:rsidR="00084D5A">
        <w:rPr>
          <w:rFonts w:ascii="Times New Roman" w:eastAsia="標楷體" w:hAnsi="Times New Roman" w:cs="Times New Roman" w:hint="eastAsia"/>
          <w:sz w:val="28"/>
          <w:szCs w:val="28"/>
        </w:rPr>
        <w:t xml:space="preserve"> </w:t>
      </w:r>
      <m:oMath>
        <m:r>
          <w:rPr>
            <w:rFonts w:ascii="Cambria Math" w:eastAsia="標楷體" w:hAnsi="Cambria Math" w:cs="Times New Roman"/>
            <w:sz w:val="28"/>
            <w:szCs w:val="28"/>
          </w:rPr>
          <m:t>K</m:t>
        </m:r>
      </m:oMath>
      <w:r w:rsidR="00084D5A">
        <w:rPr>
          <w:rFonts w:ascii="Times New Roman" w:eastAsia="標楷體" w:hAnsi="Times New Roman" w:cs="Times New Roman" w:hint="eastAsia"/>
          <w:sz w:val="28"/>
          <w:szCs w:val="28"/>
        </w:rPr>
        <w:t xml:space="preserve"> </w:t>
      </w:r>
      <w:r w:rsidRPr="00310DD0">
        <w:rPr>
          <w:rFonts w:ascii="Times New Roman" w:eastAsia="標楷體" w:hAnsi="Times New Roman" w:cs="Times New Roman"/>
          <w:sz w:val="28"/>
          <w:szCs w:val="28"/>
        </w:rPr>
        <w:t>維響應因子</w:t>
      </w:r>
      <w:r w:rsidR="00084D5A">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v</m:t>
            </m:r>
          </m:e>
          <m:sub>
            <m:r>
              <w:rPr>
                <w:rFonts w:ascii="Cambria Math" w:eastAsia="標楷體" w:hAnsi="Cambria Math" w:cs="Times New Roman"/>
                <w:sz w:val="28"/>
                <w:szCs w:val="28"/>
              </w:rPr>
              <m:t>i</m:t>
            </m:r>
          </m:sub>
        </m:sSub>
      </m:oMath>
      <w:r w:rsidR="00084D5A">
        <w:rPr>
          <w:rFonts w:ascii="Times New Roman" w:eastAsia="標楷體" w:hAnsi="Times New Roman" w:cs="Times New Roman" w:hint="eastAsia"/>
          <w:sz w:val="28"/>
          <w:szCs w:val="28"/>
        </w:rPr>
        <w:t xml:space="preserve"> </w:t>
      </w:r>
      <w:r w:rsidRPr="00310DD0">
        <w:rPr>
          <w:rFonts w:ascii="Times New Roman" w:eastAsia="標楷體" w:hAnsi="Times New Roman" w:cs="Times New Roman"/>
          <w:sz w:val="28"/>
          <w:szCs w:val="28"/>
        </w:rPr>
        <w:t>（對應於單變量或多變量情感變量</w:t>
      </w:r>
      <w:r w:rsidR="00084D5A">
        <w:rPr>
          <w:rFonts w:ascii="Times New Roman" w:eastAsia="標楷體" w:hAnsi="Times New Roman" w:cs="Times New Roman" w:hint="eastAsia"/>
          <w:sz w:val="28"/>
          <w:szCs w:val="28"/>
        </w:rPr>
        <w:t xml:space="preserve"> </w:t>
      </w:r>
      <m:oMath>
        <m:r>
          <w:rPr>
            <w:rFonts w:ascii="Cambria Math" w:eastAsia="標楷體" w:hAnsi="Cambria Math" w:cs="Times New Roman"/>
            <w:sz w:val="28"/>
            <w:szCs w:val="28"/>
          </w:rPr>
          <m:t>y</m:t>
        </m:r>
      </m:oMath>
      <w:r w:rsidR="00084D5A">
        <w:rPr>
          <w:rFonts w:ascii="Times New Roman" w:eastAsia="標楷體" w:hAnsi="Times New Roman" w:cs="Times New Roman" w:hint="eastAsia"/>
          <w:sz w:val="28"/>
          <w:szCs w:val="28"/>
        </w:rPr>
        <w:t xml:space="preserve"> </w:t>
      </w:r>
      <w:r w:rsidRPr="00310DD0">
        <w:rPr>
          <w:rFonts w:ascii="Times New Roman" w:eastAsia="標楷體" w:hAnsi="Times New Roman" w:cs="Times New Roman"/>
          <w:sz w:val="28"/>
          <w:szCs w:val="28"/>
        </w:rPr>
        <w:t>的函數）建立線性關係：</w:t>
      </w:r>
    </w:p>
    <w:p w14:paraId="05C960BE" w14:textId="3184155A" w:rsidR="00084D5A" w:rsidRPr="00084D5A" w:rsidRDefault="00000000" w:rsidP="00084D5A">
      <w:pPr>
        <w:jc w:val="center"/>
        <w:outlineLvl w:val="0"/>
        <w:rPr>
          <w:rFonts w:ascii="Times New Roman" w:eastAsia="標楷體" w:hAnsi="Times New Roman" w:cs="Times New Roman"/>
          <w:sz w:val="28"/>
          <w:szCs w:val="28"/>
        </w:rPr>
      </w:pP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q</m:t>
            </m:r>
          </m:e>
          <m:sub>
            <m:r>
              <w:rPr>
                <w:rFonts w:ascii="Cambria Math" w:eastAsia="標楷體" w:hAnsi="Cambria Math" w:cs="Times New Roman"/>
                <w:sz w:val="28"/>
                <w:szCs w:val="28"/>
              </w:rPr>
              <m:t>ij</m:t>
            </m:r>
          </m:sub>
        </m:sSub>
        <m:r>
          <w:rPr>
            <w:rFonts w:ascii="Cambria Math" w:eastAsia="標楷體" w:hAnsi="Cambria Math" w:cs="Times New Roman"/>
            <w:sz w:val="28"/>
            <w:szCs w:val="28"/>
          </w:rPr>
          <m:t>=</m:t>
        </m:r>
        <m:f>
          <m:fPr>
            <m:ctrlPr>
              <w:rPr>
                <w:rFonts w:ascii="Cambria Math" w:eastAsia="標楷體" w:hAnsi="Cambria Math" w:cs="Times New Roman"/>
                <w:i/>
                <w:sz w:val="28"/>
                <w:szCs w:val="28"/>
              </w:rPr>
            </m:ctrlPr>
          </m:fPr>
          <m:num>
            <m:sSup>
              <m:sSupPr>
                <m:ctrlPr>
                  <w:rPr>
                    <w:rFonts w:ascii="Cambria Math" w:eastAsia="標楷體" w:hAnsi="Cambria Math" w:cs="Times New Roman"/>
                    <w:i/>
                    <w:sz w:val="28"/>
                    <w:szCs w:val="28"/>
                  </w:rPr>
                </m:ctrlPr>
              </m:sSupPr>
              <m:e>
                <m:r>
                  <w:rPr>
                    <w:rFonts w:ascii="Cambria Math" w:eastAsia="標楷體" w:hAnsi="Cambria Math" w:cs="Times New Roman"/>
                    <w:sz w:val="28"/>
                    <w:szCs w:val="28"/>
                  </w:rPr>
                  <m:t>e</m:t>
                </m:r>
              </m:e>
              <m:sup>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η</m:t>
                    </m:r>
                  </m:e>
                  <m:sub>
                    <m:r>
                      <w:rPr>
                        <w:rFonts w:ascii="Cambria Math" w:eastAsia="標楷體" w:hAnsi="Cambria Math" w:cs="Times New Roman"/>
                        <w:sz w:val="28"/>
                        <w:szCs w:val="28"/>
                      </w:rPr>
                      <m:t>ij</m:t>
                    </m:r>
                  </m:sub>
                </m:sSub>
              </m:sup>
            </m:sSup>
          </m:num>
          <m:den>
            <m:nary>
              <m:naryPr>
                <m:chr m:val="∑"/>
                <m:limLoc m:val="undOvr"/>
                <m:ctrlPr>
                  <w:rPr>
                    <w:rFonts w:ascii="Cambria Math" w:eastAsia="標楷體" w:hAnsi="Cambria Math" w:cs="Times New Roman"/>
                    <w:i/>
                    <w:sz w:val="28"/>
                    <w:szCs w:val="28"/>
                  </w:rPr>
                </m:ctrlPr>
              </m:naryPr>
              <m:sub>
                <m:r>
                  <w:rPr>
                    <w:rFonts w:ascii="Cambria Math" w:eastAsia="標楷體" w:hAnsi="Cambria Math" w:cs="Times New Roman"/>
                    <w:sz w:val="28"/>
                    <w:szCs w:val="28"/>
                  </w:rPr>
                  <m:t>l=1</m:t>
                </m:r>
              </m:sub>
              <m:sup>
                <m:r>
                  <w:rPr>
                    <w:rFonts w:ascii="Cambria Math" w:eastAsia="標楷體" w:hAnsi="Cambria Math" w:cs="Times New Roman"/>
                    <w:sz w:val="28"/>
                    <w:szCs w:val="28"/>
                  </w:rPr>
                  <m:t>p</m:t>
                </m:r>
              </m:sup>
              <m:e>
                <m:sSup>
                  <m:sSupPr>
                    <m:ctrlPr>
                      <w:rPr>
                        <w:rFonts w:ascii="Cambria Math" w:eastAsia="標楷體" w:hAnsi="Cambria Math" w:cs="Times New Roman"/>
                        <w:i/>
                        <w:sz w:val="28"/>
                        <w:szCs w:val="28"/>
                      </w:rPr>
                    </m:ctrlPr>
                  </m:sSupPr>
                  <m:e>
                    <m:r>
                      <w:rPr>
                        <w:rFonts w:ascii="Cambria Math" w:eastAsia="標楷體" w:hAnsi="Cambria Math" w:cs="Times New Roman"/>
                        <w:sz w:val="28"/>
                        <w:szCs w:val="28"/>
                      </w:rPr>
                      <m:t>e</m:t>
                    </m:r>
                  </m:e>
                  <m:sup>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η</m:t>
                        </m:r>
                      </m:e>
                      <m:sub>
                        <m:r>
                          <w:rPr>
                            <w:rFonts w:ascii="Cambria Math" w:eastAsia="標楷體" w:hAnsi="Cambria Math" w:cs="Times New Roman"/>
                            <w:sz w:val="28"/>
                            <w:szCs w:val="28"/>
                          </w:rPr>
                          <m:t>ij</m:t>
                        </m:r>
                      </m:sub>
                    </m:sSub>
                  </m:sup>
                </m:sSup>
              </m:e>
            </m:nary>
          </m:den>
        </m:f>
      </m:oMath>
      <w:r w:rsidR="00084D5A">
        <w:rPr>
          <w:rFonts w:ascii="Times New Roman" w:eastAsia="標楷體" w:hAnsi="Times New Roman" w:cs="Times New Roman" w:hint="eastAsia"/>
          <w:sz w:val="28"/>
          <w:szCs w:val="28"/>
        </w:rPr>
        <w:t xml:space="preserve"> </w:t>
      </w:r>
      <w:r w:rsidR="00084D5A">
        <w:rPr>
          <w:rFonts w:ascii="Times New Roman" w:eastAsia="標楷體" w:hAnsi="Times New Roman" w:cs="Times New Roman" w:hint="eastAsia"/>
          <w:sz w:val="28"/>
          <w:szCs w:val="28"/>
        </w:rPr>
        <w:t>，其中</w:t>
      </w:r>
      <w:r w:rsidR="00084D5A">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η</m:t>
            </m:r>
          </m:e>
          <m:sub>
            <m:r>
              <w:rPr>
                <w:rFonts w:ascii="Cambria Math" w:eastAsia="標楷體" w:hAnsi="Cambria Math" w:cs="Times New Roman"/>
                <w:sz w:val="28"/>
                <w:szCs w:val="28"/>
              </w:rPr>
              <m:t>ij</m:t>
            </m:r>
          </m:sub>
        </m:sSub>
        <m:r>
          <w:rPr>
            <w:rFonts w:ascii="Cambria Math" w:eastAsia="標楷體" w:hAnsi="Cambria Math" w:cs="Times New Roman"/>
            <w:sz w:val="28"/>
            <w:szCs w:val="28"/>
          </w:rPr>
          <m:t>=</m:t>
        </m:r>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α</m:t>
            </m:r>
          </m:e>
          <m:sub>
            <m:r>
              <w:rPr>
                <w:rFonts w:ascii="Cambria Math" w:eastAsia="標楷體" w:hAnsi="Cambria Math" w:cs="Times New Roman"/>
                <w:sz w:val="28"/>
                <w:szCs w:val="28"/>
              </w:rPr>
              <m:t>j</m:t>
            </m:r>
          </m:sub>
        </m:sSub>
        <m:r>
          <w:rPr>
            <w:rFonts w:ascii="Cambria Math" w:eastAsia="標楷體" w:hAnsi="Cambria Math" w:cs="Times New Roman"/>
            <w:sz w:val="28"/>
            <w:szCs w:val="28"/>
          </w:rPr>
          <m:t>+</m:t>
        </m:r>
        <m:sSubSup>
          <m:sSubSupPr>
            <m:ctrlPr>
              <w:rPr>
                <w:rFonts w:ascii="Cambria Math" w:eastAsia="標楷體" w:hAnsi="Cambria Math" w:cs="Times New Roman"/>
                <w:i/>
                <w:sz w:val="28"/>
                <w:szCs w:val="28"/>
              </w:rPr>
            </m:ctrlPr>
          </m:sSubSupPr>
          <m:e>
            <m:r>
              <w:rPr>
                <w:rFonts w:ascii="Cambria Math" w:eastAsia="標楷體" w:hAnsi="Cambria Math" w:cs="Times New Roman"/>
                <w:sz w:val="28"/>
                <w:szCs w:val="28"/>
              </w:rPr>
              <m:t>v</m:t>
            </m:r>
          </m:e>
          <m:sub>
            <m:r>
              <w:rPr>
                <w:rFonts w:ascii="Cambria Math" w:eastAsia="標楷體" w:hAnsi="Cambria Math" w:cs="Times New Roman"/>
                <w:sz w:val="28"/>
                <w:szCs w:val="28"/>
              </w:rPr>
              <m:t>i</m:t>
            </m:r>
          </m:sub>
          <m:sup>
            <m:r>
              <w:rPr>
                <w:rFonts w:ascii="Cambria Math" w:eastAsia="標楷體" w:hAnsi="Cambria Math" w:cs="Times New Roman"/>
                <w:sz w:val="28"/>
                <w:szCs w:val="28"/>
              </w:rPr>
              <m:t>'</m:t>
            </m:r>
          </m:sup>
        </m:sSubSup>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ϕ</m:t>
            </m:r>
          </m:e>
          <m:sub>
            <m:r>
              <w:rPr>
                <w:rFonts w:ascii="Cambria Math" w:eastAsia="標楷體" w:hAnsi="Cambria Math" w:cs="Times New Roman"/>
                <w:sz w:val="28"/>
                <w:szCs w:val="28"/>
              </w:rPr>
              <m:t>j</m:t>
            </m:r>
          </m:sub>
        </m:sSub>
      </m:oMath>
    </w:p>
    <w:p w14:paraId="4940421D" w14:textId="4211F041" w:rsidR="00084D5A" w:rsidRPr="006A1E73" w:rsidRDefault="00E86906" w:rsidP="00512832">
      <w:pPr>
        <w:outlineLvl w:val="0"/>
        <w:rPr>
          <w:rFonts w:ascii="Times New Roman" w:eastAsia="標楷體" w:hAnsi="Times New Roman" w:cs="Times New Roman"/>
          <w:sz w:val="28"/>
          <w:szCs w:val="28"/>
        </w:rPr>
      </w:pPr>
      <w:r w:rsidRPr="00E86906">
        <w:rPr>
          <w:rFonts w:ascii="Times New Roman" w:eastAsia="標楷體" w:hAnsi="Times New Roman" w:cs="Times New Roman"/>
          <w:sz w:val="28"/>
          <w:szCs w:val="28"/>
        </w:rPr>
        <w:t>在此公式中，</w:t>
      </w:r>
      <w:r w:rsidRPr="00E86906">
        <w:rPr>
          <w:rFonts w:ascii="Times New Roman" w:eastAsia="標楷體" w:hAnsi="Times New Roman" w:cs="Times New Roman"/>
          <w:sz w:val="28"/>
          <w:szCs w:val="28"/>
        </w:rPr>
        <w:t> </w:t>
      </w:r>
      <w:r w:rsidRPr="00E86906">
        <w:rPr>
          <w:rFonts w:ascii="Times New Roman" w:eastAsia="標楷體" w:hAnsi="Times New Roman" w:cs="Times New Roman"/>
          <w:sz w:val="28"/>
          <w:szCs w:val="28"/>
        </w:rPr>
        <w:t>為詞彙</w:t>
      </w:r>
      <w:r w:rsidRPr="00E86906">
        <w:rPr>
          <w:rFonts w:ascii="Times New Roman" w:eastAsia="標楷體" w:hAnsi="Times New Roman" w:cs="Times New Roman"/>
          <w:sz w:val="28"/>
          <w:szCs w:val="28"/>
        </w:rPr>
        <w:t>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α</m:t>
            </m:r>
          </m:e>
          <m:sub>
            <m:r>
              <w:rPr>
                <w:rFonts w:ascii="Cambria Math" w:eastAsia="標楷體" w:hAnsi="Cambria Math" w:cs="Times New Roman"/>
                <w:sz w:val="28"/>
                <w:szCs w:val="28"/>
              </w:rPr>
              <m:t>j</m:t>
            </m:r>
          </m:sub>
        </m:sSub>
      </m:oMath>
      <w:r w:rsidRPr="00E86906">
        <w:rPr>
          <w:rFonts w:ascii="Times New Roman" w:eastAsia="標楷體" w:hAnsi="Times New Roman" w:cs="Times New Roman"/>
          <w:sz w:val="28"/>
          <w:szCs w:val="28"/>
        </w:rPr>
        <w:t> </w:t>
      </w:r>
      <w:r w:rsidRPr="00E86906">
        <w:rPr>
          <w:rFonts w:ascii="Times New Roman" w:eastAsia="標楷體" w:hAnsi="Times New Roman" w:cs="Times New Roman"/>
          <w:sz w:val="28"/>
          <w:szCs w:val="28"/>
        </w:rPr>
        <w:t>的基礎攔截項，而</w:t>
      </w:r>
      <w:r w:rsidRPr="00E86906">
        <w:rPr>
          <w:rFonts w:ascii="Times New Roman" w:eastAsia="標楷體" w:hAnsi="Times New Roman" w:cs="Times New Roman"/>
          <w:sz w:val="28"/>
          <w:szCs w:val="28"/>
        </w:rPr>
        <w:t>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ϕ</m:t>
            </m:r>
          </m:e>
          <m:sub>
            <m:r>
              <w:rPr>
                <w:rFonts w:ascii="Cambria Math" w:eastAsia="標楷體" w:hAnsi="Cambria Math" w:cs="Times New Roman"/>
                <w:sz w:val="28"/>
                <w:szCs w:val="28"/>
              </w:rPr>
              <m:t>j</m:t>
            </m:r>
          </m:sub>
        </m:sSub>
      </m:oMath>
      <w:r w:rsidRPr="00E86906">
        <w:rPr>
          <w:rFonts w:ascii="Times New Roman" w:eastAsia="標楷體" w:hAnsi="Times New Roman" w:cs="Times New Roman"/>
          <w:sz w:val="28"/>
          <w:szCs w:val="28"/>
        </w:rPr>
        <w:t> </w:t>
      </w:r>
      <w:r w:rsidRPr="00E86906">
        <w:rPr>
          <w:rFonts w:ascii="Times New Roman" w:eastAsia="標楷體" w:hAnsi="Times New Roman" w:cs="Times New Roman"/>
          <w:sz w:val="28"/>
          <w:szCs w:val="28"/>
        </w:rPr>
        <w:t>則是對應於情感因子</w:t>
      </w:r>
      <w:r w:rsidRPr="00E86906">
        <w:rPr>
          <w:rFonts w:ascii="Times New Roman" w:eastAsia="標楷體" w:hAnsi="Times New Roman" w:cs="Times New Roman"/>
          <w:sz w:val="28"/>
          <w:szCs w:val="28"/>
        </w:rPr>
        <w:t>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v</m:t>
            </m:r>
          </m:e>
          <m:sub>
            <m:r>
              <w:rPr>
                <w:rFonts w:ascii="Cambria Math" w:eastAsia="標楷體" w:hAnsi="Cambria Math" w:cs="Times New Roman"/>
                <w:sz w:val="28"/>
                <w:szCs w:val="28"/>
              </w:rPr>
              <m:t>i</m:t>
            </m:r>
          </m:sub>
        </m:sSub>
      </m:oMath>
      <w:r w:rsidRPr="00E86906">
        <w:rPr>
          <w:rFonts w:ascii="Times New Roman" w:eastAsia="標楷體" w:hAnsi="Times New Roman" w:cs="Times New Roman"/>
          <w:sz w:val="28"/>
          <w:szCs w:val="28"/>
        </w:rPr>
        <w:t> </w:t>
      </w:r>
      <w:r w:rsidRPr="00E86906">
        <w:rPr>
          <w:rFonts w:ascii="Times New Roman" w:eastAsia="標楷體" w:hAnsi="Times New Roman" w:cs="Times New Roman"/>
          <w:sz w:val="28"/>
          <w:szCs w:val="28"/>
        </w:rPr>
        <w:t>的負載參數。</w:t>
      </w:r>
      <w:r w:rsidR="0060375F">
        <w:rPr>
          <w:rFonts w:ascii="Times New Roman" w:eastAsia="標楷體" w:hAnsi="Times New Roman" w:cs="Times New Roman" w:hint="eastAsia"/>
          <w:sz w:val="28"/>
          <w:szCs w:val="28"/>
        </w:rPr>
        <w:t>而</w:t>
      </w:r>
      <w:r w:rsidRPr="00E86906">
        <w:rPr>
          <w:rFonts w:ascii="Times New Roman" w:eastAsia="標楷體" w:hAnsi="Times New Roman" w:cs="Times New Roman"/>
          <w:sz w:val="28"/>
          <w:szCs w:val="28"/>
        </w:rPr>
        <w:t>當多份文件具有相同的情感特質時，若假設攔截項與負載在文件間共享，則可透過「合併計數」（</w:t>
      </w:r>
      <w:r w:rsidRPr="00E86906">
        <w:rPr>
          <w:rFonts w:ascii="Times New Roman" w:eastAsia="標楷體" w:hAnsi="Times New Roman" w:cs="Times New Roman"/>
          <w:sz w:val="28"/>
          <w:szCs w:val="28"/>
        </w:rPr>
        <w:t>pooling tokens</w:t>
      </w:r>
      <w:r w:rsidRPr="00E86906">
        <w:rPr>
          <w:rFonts w:ascii="Times New Roman" w:eastAsia="標楷體" w:hAnsi="Times New Roman" w:cs="Times New Roman"/>
          <w:sz w:val="28"/>
          <w:szCs w:val="28"/>
        </w:rPr>
        <w:t>）將數據壓縮為應急表（</w:t>
      </w:r>
      <w:r w:rsidRPr="00E86906">
        <w:rPr>
          <w:rFonts w:ascii="Times New Roman" w:eastAsia="標楷體" w:hAnsi="Times New Roman" w:cs="Times New Roman"/>
          <w:sz w:val="28"/>
          <w:szCs w:val="28"/>
        </w:rPr>
        <w:t>contingency tables</w:t>
      </w:r>
      <w:r w:rsidRPr="00E86906">
        <w:rPr>
          <w:rFonts w:ascii="Times New Roman" w:eastAsia="標楷體" w:hAnsi="Times New Roman" w:cs="Times New Roman"/>
          <w:sz w:val="28"/>
          <w:szCs w:val="28"/>
        </w:rPr>
        <w:t>）形式進行估計。這種可折疊性（</w:t>
      </w:r>
      <w:r w:rsidRPr="00E86906">
        <w:rPr>
          <w:rFonts w:ascii="Times New Roman" w:eastAsia="標楷體" w:hAnsi="Times New Roman" w:cs="Times New Roman"/>
          <w:sz w:val="28"/>
          <w:szCs w:val="28"/>
        </w:rPr>
        <w:t>collapsibility</w:t>
      </w:r>
      <w:r w:rsidRPr="00E86906">
        <w:rPr>
          <w:rFonts w:ascii="Times New Roman" w:eastAsia="標楷體" w:hAnsi="Times New Roman" w:cs="Times New Roman"/>
          <w:sz w:val="28"/>
          <w:szCs w:val="28"/>
        </w:rPr>
        <w:t>）降低了計算成本，使模型在處理大規模語料庫時具</w:t>
      </w:r>
      <w:r w:rsidRPr="00E86906">
        <w:rPr>
          <w:rFonts w:ascii="Times New Roman" w:eastAsia="標楷體" w:hAnsi="Times New Roman" w:cs="Times New Roman"/>
          <w:sz w:val="28"/>
          <w:szCs w:val="28"/>
        </w:rPr>
        <w:lastRenderedPageBreak/>
        <w:t>備極高的效率。此路徑確保了模型所提取的特徵負荷</w:t>
      </w:r>
      <w:r w:rsidRPr="00E86906">
        <w:rPr>
          <w:rFonts w:ascii="Times New Roman" w:eastAsia="標楷體" w:hAnsi="Times New Roman" w:cs="Times New Roman"/>
          <w:sz w:val="28"/>
          <w:szCs w:val="28"/>
        </w:rPr>
        <w:t> </w:t>
      </w:r>
      <m:oMath>
        <m:r>
          <w:rPr>
            <w:rFonts w:ascii="Cambria Math" w:eastAsia="標楷體" w:hAnsi="Cambria Math" w:cs="Times New Roman"/>
            <w:sz w:val="28"/>
            <w:szCs w:val="28"/>
          </w:rPr>
          <m:t>ϕ</m:t>
        </m:r>
      </m:oMath>
      <w:r w:rsidRPr="00E86906">
        <w:rPr>
          <w:rFonts w:ascii="Times New Roman" w:eastAsia="標楷體" w:hAnsi="Times New Roman" w:cs="Times New Roman"/>
          <w:sz w:val="28"/>
          <w:szCs w:val="28"/>
        </w:rPr>
        <w:t> </w:t>
      </w:r>
      <w:r w:rsidRPr="00E86906">
        <w:rPr>
          <w:rFonts w:ascii="Times New Roman" w:eastAsia="標楷體" w:hAnsi="Times New Roman" w:cs="Times New Roman"/>
          <w:sz w:val="28"/>
          <w:szCs w:val="28"/>
        </w:rPr>
        <w:t>僅反映與情感變動共變的部分，進而克服了前向模型中無關詞彙（</w:t>
      </w:r>
      <w:r w:rsidRPr="00E86906">
        <w:rPr>
          <w:rFonts w:ascii="Times New Roman" w:eastAsia="標楷體" w:hAnsi="Times New Roman" w:cs="Times New Roman"/>
          <w:sz w:val="28"/>
          <w:szCs w:val="28"/>
        </w:rPr>
        <w:t>noise</w:t>
      </w:r>
      <w:r w:rsidRPr="00E86906">
        <w:rPr>
          <w:rFonts w:ascii="Times New Roman" w:eastAsia="標楷體" w:hAnsi="Times New Roman" w:cs="Times New Roman"/>
          <w:sz w:val="28"/>
          <w:szCs w:val="28"/>
        </w:rPr>
        <w:t>）所引發的干擾。</w:t>
      </w:r>
    </w:p>
    <w:p w14:paraId="1D31467A" w14:textId="57A5C674" w:rsidR="00084D5A" w:rsidRPr="00084D5A" w:rsidRDefault="00853B76" w:rsidP="00512832">
      <w:pPr>
        <w:outlineLvl w:val="0"/>
        <w:rPr>
          <w:rFonts w:ascii="Times New Roman" w:eastAsia="標楷體" w:hAnsi="Times New Roman" w:cs="Times New Roman"/>
          <w:sz w:val="28"/>
          <w:szCs w:val="28"/>
        </w:rPr>
      </w:pPr>
      <w:r w:rsidRPr="00853B76">
        <w:rPr>
          <w:rFonts w:ascii="Times New Roman" w:eastAsia="標楷體" w:hAnsi="Times New Roman" w:cs="Times New Roman" w:hint="eastAsia"/>
          <w:sz w:val="28"/>
          <w:szCs w:val="28"/>
        </w:rPr>
        <w:t xml:space="preserve">Gamma-Lasso </w:t>
      </w:r>
      <w:r w:rsidRPr="00853B76">
        <w:rPr>
          <w:rFonts w:ascii="Times New Roman" w:eastAsia="標楷體" w:hAnsi="Times New Roman" w:cs="Times New Roman" w:hint="eastAsia"/>
          <w:sz w:val="28"/>
          <w:szCs w:val="28"/>
        </w:rPr>
        <w:t>估計法與非凹性懲罰機制</w:t>
      </w:r>
    </w:p>
    <w:p w14:paraId="726B20BB" w14:textId="7B8B8D35" w:rsidR="00853B76" w:rsidRPr="00853B76" w:rsidRDefault="00853B76" w:rsidP="00853B76">
      <w:pPr>
        <w:outlineLvl w:val="0"/>
        <w:rPr>
          <w:rFonts w:ascii="Times New Roman" w:eastAsia="標楷體" w:hAnsi="Times New Roman" w:cs="Times New Roman"/>
          <w:sz w:val="28"/>
          <w:szCs w:val="28"/>
        </w:rPr>
      </w:pPr>
      <w:r w:rsidRPr="00853B76">
        <w:rPr>
          <w:rFonts w:ascii="Times New Roman" w:eastAsia="標楷體" w:hAnsi="Times New Roman" w:cs="Times New Roman" w:hint="eastAsia"/>
          <w:sz w:val="28"/>
          <w:szCs w:val="28"/>
        </w:rPr>
        <w:t>面對極高維度的參數估計，傳統的交叉驗證（</w:t>
      </w:r>
      <w:r w:rsidRPr="00853B76">
        <w:rPr>
          <w:rFonts w:ascii="Times New Roman" w:eastAsia="標楷體" w:hAnsi="Times New Roman" w:cs="Times New Roman"/>
          <w:sz w:val="28"/>
          <w:szCs w:val="28"/>
        </w:rPr>
        <w:t>Cross-Validation</w:t>
      </w:r>
      <w:r w:rsidRPr="00853B76">
        <w:rPr>
          <w:rFonts w:ascii="Times New Roman" w:eastAsia="標楷體" w:hAnsi="Times New Roman" w:cs="Times New Roman" w:hint="eastAsia"/>
          <w:sz w:val="28"/>
          <w:szCs w:val="28"/>
        </w:rPr>
        <w:t>）在計算上往往難以負荷，尤其是在文本維度遠超觀測數時，尋找全域最優懲罰參數的成本極其高昂。為解決此問題，本研究引入</w:t>
      </w:r>
      <w:r w:rsidRPr="00853B76">
        <w:rPr>
          <w:rFonts w:ascii="Times New Roman" w:eastAsia="標楷體" w:hAnsi="Times New Roman" w:cs="Times New Roman"/>
          <w:sz w:val="28"/>
          <w:szCs w:val="28"/>
        </w:rPr>
        <w:t xml:space="preserve"> Gamma-Lasso </w:t>
      </w:r>
      <w:r w:rsidRPr="00853B76">
        <w:rPr>
          <w:rFonts w:ascii="Times New Roman" w:eastAsia="標楷體" w:hAnsi="Times New Roman" w:cs="Times New Roman" w:hint="eastAsia"/>
          <w:sz w:val="28"/>
          <w:szCs w:val="28"/>
        </w:rPr>
        <w:t>估計技術，其核心在於為每個載荷參數</w:t>
      </w:r>
      <w:r w:rsidRPr="00853B76">
        <w:rPr>
          <w:rFonts w:ascii="Times New Roman" w:eastAsia="標楷體" w:hAnsi="Times New Roman" w:cs="Times New Roman"/>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ϕ</m:t>
            </m:r>
          </m:e>
          <m:sub>
            <m:r>
              <w:rPr>
                <w:rFonts w:ascii="Cambria Math" w:eastAsia="標楷體" w:hAnsi="Cambria Math" w:cs="Times New Roman"/>
                <w:sz w:val="28"/>
                <w:szCs w:val="28"/>
              </w:rPr>
              <m:t>j</m:t>
            </m:r>
          </m:sub>
        </m:sSub>
      </m:oMath>
      <w:r w:rsidRPr="00853B76">
        <w:rPr>
          <w:rFonts w:ascii="Times New Roman" w:eastAsia="標楷體" w:hAnsi="Times New Roman" w:cs="Times New Roman" w:hint="eastAsia"/>
          <w:sz w:val="28"/>
          <w:szCs w:val="28"/>
        </w:rPr>
        <w:t xml:space="preserve"> </w:t>
      </w:r>
      <w:r w:rsidRPr="00853B76">
        <w:rPr>
          <w:rFonts w:ascii="Times New Roman" w:eastAsia="標楷體" w:hAnsi="Times New Roman" w:cs="Times New Roman" w:hint="eastAsia"/>
          <w:sz w:val="28"/>
          <w:szCs w:val="28"/>
        </w:rPr>
        <w:t>分配獨立的拉普拉斯先驗（</w:t>
      </w:r>
      <w:r w:rsidRPr="00853B76">
        <w:rPr>
          <w:rFonts w:ascii="Times New Roman" w:eastAsia="標楷體" w:hAnsi="Times New Roman" w:cs="Times New Roman" w:hint="eastAsia"/>
          <w:sz w:val="28"/>
          <w:szCs w:val="28"/>
        </w:rPr>
        <w:t>Independent Laplace Priors</w:t>
      </w:r>
      <w:r w:rsidRPr="00853B76">
        <w:rPr>
          <w:rFonts w:ascii="Times New Roman" w:eastAsia="標楷體" w:hAnsi="Times New Roman" w:cs="Times New Roman" w:hint="eastAsia"/>
          <w:sz w:val="28"/>
          <w:szCs w:val="28"/>
        </w:rPr>
        <w:t>），並結合未知的伽瑪超先驗（</w:t>
      </w:r>
      <w:r w:rsidRPr="00853B76">
        <w:rPr>
          <w:rFonts w:ascii="Times New Roman" w:eastAsia="標楷體" w:hAnsi="Times New Roman" w:cs="Times New Roman" w:hint="eastAsia"/>
          <w:sz w:val="28"/>
          <w:szCs w:val="28"/>
        </w:rPr>
        <w:t>Gamma Hyperpriors</w:t>
      </w:r>
      <w:r w:rsidRPr="00853B76">
        <w:rPr>
          <w:rFonts w:ascii="Times New Roman" w:eastAsia="標楷體" w:hAnsi="Times New Roman" w:cs="Times New Roman" w:hint="eastAsia"/>
          <w:sz w:val="28"/>
          <w:szCs w:val="28"/>
        </w:rPr>
        <w:t>）。</w:t>
      </w:r>
    </w:p>
    <w:p w14:paraId="144DD535" w14:textId="12D3A7CA" w:rsidR="00084D5A" w:rsidRPr="00084D5A" w:rsidRDefault="00853B76" w:rsidP="00853B76">
      <w:pPr>
        <w:outlineLvl w:val="0"/>
        <w:rPr>
          <w:rFonts w:ascii="Times New Roman" w:eastAsia="標楷體" w:hAnsi="Times New Roman" w:cs="Times New Roman"/>
          <w:sz w:val="28"/>
          <w:szCs w:val="28"/>
        </w:rPr>
      </w:pPr>
      <w:r w:rsidRPr="00853B76">
        <w:rPr>
          <w:rFonts w:ascii="Times New Roman" w:eastAsia="標楷體" w:hAnsi="Times New Roman" w:cs="Times New Roman" w:hint="eastAsia"/>
          <w:sz w:val="28"/>
          <w:szCs w:val="28"/>
        </w:rPr>
        <w:t>這種結構引發了一種「非凹性懲罰」（</w:t>
      </w:r>
      <w:r w:rsidRPr="00853B76">
        <w:rPr>
          <w:rFonts w:ascii="Times New Roman" w:eastAsia="標楷體" w:hAnsi="Times New Roman" w:cs="Times New Roman" w:hint="eastAsia"/>
          <w:sz w:val="28"/>
          <w:szCs w:val="28"/>
        </w:rPr>
        <w:t>Nonconcave Penalization</w:t>
      </w:r>
      <w:r w:rsidRPr="00853B76">
        <w:rPr>
          <w:rFonts w:ascii="Times New Roman" w:eastAsia="標楷體" w:hAnsi="Times New Roman" w:cs="Times New Roman" w:hint="eastAsia"/>
          <w:sz w:val="28"/>
          <w:szCs w:val="28"/>
        </w:rPr>
        <w:t>）機制，賦予模型以下關鍵特性：</w:t>
      </w:r>
    </w:p>
    <w:p w14:paraId="37CB0E40" w14:textId="77777777" w:rsidR="00EB65DA" w:rsidRPr="00EB65DA" w:rsidRDefault="00EB65DA" w:rsidP="00EB65DA">
      <w:pPr>
        <w:pStyle w:val="a9"/>
        <w:numPr>
          <w:ilvl w:val="0"/>
          <w:numId w:val="12"/>
        </w:numPr>
        <w:outlineLvl w:val="0"/>
        <w:rPr>
          <w:rFonts w:ascii="Times New Roman" w:eastAsia="標楷體" w:hAnsi="Times New Roman" w:cs="Times New Roman"/>
          <w:sz w:val="28"/>
          <w:szCs w:val="28"/>
        </w:rPr>
      </w:pPr>
      <w:r w:rsidRPr="00EB65DA">
        <w:rPr>
          <w:rFonts w:ascii="Times New Roman" w:eastAsia="標楷體" w:hAnsi="Times New Roman" w:cs="Times New Roman" w:hint="eastAsia"/>
          <w:sz w:val="28"/>
          <w:szCs w:val="28"/>
        </w:rPr>
        <w:t>大係數無偏性（</w:t>
      </w:r>
      <w:r w:rsidRPr="00EB65DA">
        <w:rPr>
          <w:rFonts w:ascii="Times New Roman" w:eastAsia="標楷體" w:hAnsi="Times New Roman" w:cs="Times New Roman" w:hint="eastAsia"/>
          <w:sz w:val="28"/>
          <w:szCs w:val="28"/>
        </w:rPr>
        <w:t>Large Coefficient Unbiasedness</w:t>
      </w:r>
      <w:r w:rsidRPr="00EB65DA">
        <w:rPr>
          <w:rFonts w:ascii="Times New Roman" w:eastAsia="標楷體" w:hAnsi="Times New Roman" w:cs="Times New Roman" w:hint="eastAsia"/>
          <w:sz w:val="28"/>
          <w:szCs w:val="28"/>
        </w:rPr>
        <w:t>）：</w:t>
      </w:r>
      <w:r w:rsidRPr="00EB65DA">
        <w:rPr>
          <w:rFonts w:ascii="Times New Roman" w:eastAsia="標楷體" w:hAnsi="Times New Roman" w:cs="Times New Roman" w:hint="eastAsia"/>
          <w:sz w:val="28"/>
          <w:szCs w:val="28"/>
        </w:rPr>
        <w:t xml:space="preserve"> </w:t>
      </w:r>
      <w:r w:rsidRPr="00EB65DA">
        <w:rPr>
          <w:rFonts w:ascii="Times New Roman" w:eastAsia="標楷體" w:hAnsi="Times New Roman" w:cs="Times New Roman" w:hint="eastAsia"/>
          <w:sz w:val="28"/>
          <w:szCs w:val="28"/>
        </w:rPr>
        <w:t>不同於標準</w:t>
      </w:r>
      <w:r w:rsidRPr="00EB65DA">
        <w:rPr>
          <w:rFonts w:ascii="Times New Roman" w:eastAsia="標楷體" w:hAnsi="Times New Roman" w:cs="Times New Roman" w:hint="eastAsia"/>
          <w:sz w:val="28"/>
          <w:szCs w:val="28"/>
        </w:rPr>
        <w:t xml:space="preserve"> Lasso </w:t>
      </w:r>
      <w:r w:rsidRPr="00EB65DA">
        <w:rPr>
          <w:rFonts w:ascii="Times New Roman" w:eastAsia="標楷體" w:hAnsi="Times New Roman" w:cs="Times New Roman" w:hint="eastAsia"/>
          <w:sz w:val="28"/>
          <w:szCs w:val="28"/>
        </w:rPr>
        <w:t>會對所有係數產生一致的向零縮減（</w:t>
      </w:r>
      <w:r w:rsidRPr="00EB65DA">
        <w:rPr>
          <w:rFonts w:ascii="Times New Roman" w:eastAsia="標楷體" w:hAnsi="Times New Roman" w:cs="Times New Roman" w:hint="eastAsia"/>
          <w:sz w:val="28"/>
          <w:szCs w:val="28"/>
        </w:rPr>
        <w:t>shrinkage</w:t>
      </w:r>
      <w:r w:rsidRPr="00EB65DA">
        <w:rPr>
          <w:rFonts w:ascii="Times New Roman" w:eastAsia="標楷體" w:hAnsi="Times New Roman" w:cs="Times New Roman" w:hint="eastAsia"/>
          <w:sz w:val="28"/>
          <w:szCs w:val="28"/>
        </w:rPr>
        <w:t>），</w:t>
      </w:r>
      <w:r w:rsidRPr="00EB65DA">
        <w:rPr>
          <w:rFonts w:ascii="Times New Roman" w:eastAsia="標楷體" w:hAnsi="Times New Roman" w:cs="Times New Roman" w:hint="eastAsia"/>
          <w:sz w:val="28"/>
          <w:szCs w:val="28"/>
        </w:rPr>
        <w:t xml:space="preserve">Gamma-Lasso </w:t>
      </w:r>
      <w:r w:rsidRPr="00EB65DA">
        <w:rPr>
          <w:rFonts w:ascii="Times New Roman" w:eastAsia="標楷體" w:hAnsi="Times New Roman" w:cs="Times New Roman" w:hint="eastAsia"/>
          <w:sz w:val="28"/>
          <w:szCs w:val="28"/>
        </w:rPr>
        <w:t>具備「背景魯棒性」（</w:t>
      </w:r>
      <w:r w:rsidRPr="00EB65DA">
        <w:rPr>
          <w:rFonts w:ascii="Times New Roman" w:eastAsia="標楷體" w:hAnsi="Times New Roman" w:cs="Times New Roman" w:hint="eastAsia"/>
          <w:sz w:val="28"/>
          <w:szCs w:val="28"/>
        </w:rPr>
        <w:t>Bayesian Robustness</w:t>
      </w:r>
      <w:r w:rsidRPr="00EB65DA">
        <w:rPr>
          <w:rFonts w:ascii="Times New Roman" w:eastAsia="標楷體" w:hAnsi="Times New Roman" w:cs="Times New Roman" w:hint="eastAsia"/>
          <w:sz w:val="28"/>
          <w:szCs w:val="28"/>
        </w:rPr>
        <w:t>）。對於展現強大情感訊號的詞彙，該機制在高係數區間能減少估計偏差，確保強訊號不被過度抑制。</w:t>
      </w:r>
    </w:p>
    <w:p w14:paraId="03EE6E84" w14:textId="77777777" w:rsidR="00EB65DA" w:rsidRPr="00EB65DA" w:rsidRDefault="00EB65DA" w:rsidP="00EB65DA">
      <w:pPr>
        <w:pStyle w:val="a9"/>
        <w:numPr>
          <w:ilvl w:val="0"/>
          <w:numId w:val="12"/>
        </w:numPr>
        <w:outlineLvl w:val="0"/>
        <w:rPr>
          <w:rFonts w:ascii="Times New Roman" w:eastAsia="標楷體" w:hAnsi="Times New Roman" w:cs="Times New Roman"/>
          <w:sz w:val="28"/>
          <w:szCs w:val="28"/>
        </w:rPr>
      </w:pPr>
      <w:r w:rsidRPr="00EB65DA">
        <w:rPr>
          <w:rFonts w:ascii="Times New Roman" w:eastAsia="標楷體" w:hAnsi="Times New Roman" w:cs="Times New Roman" w:hint="eastAsia"/>
          <w:sz w:val="28"/>
          <w:szCs w:val="28"/>
        </w:rPr>
        <w:t>計算可擴展性（</w:t>
      </w:r>
      <w:r w:rsidRPr="00EB65DA">
        <w:rPr>
          <w:rFonts w:ascii="Times New Roman" w:eastAsia="標楷體" w:hAnsi="Times New Roman" w:cs="Times New Roman" w:hint="eastAsia"/>
          <w:sz w:val="28"/>
          <w:szCs w:val="28"/>
        </w:rPr>
        <w:t>Scalability</w:t>
      </w:r>
      <w:r w:rsidRPr="00EB65DA">
        <w:rPr>
          <w:rFonts w:ascii="Times New Roman" w:eastAsia="標楷體" w:hAnsi="Times New Roman" w:cs="Times New Roman" w:hint="eastAsia"/>
          <w:sz w:val="28"/>
          <w:szCs w:val="28"/>
        </w:rPr>
        <w:t>）：</w:t>
      </w:r>
      <w:r w:rsidRPr="00EB65DA">
        <w:rPr>
          <w:rFonts w:ascii="Times New Roman" w:eastAsia="標楷體" w:hAnsi="Times New Roman" w:cs="Times New Roman" w:hint="eastAsia"/>
          <w:sz w:val="28"/>
          <w:szCs w:val="28"/>
        </w:rPr>
        <w:t xml:space="preserve"> </w:t>
      </w:r>
      <w:r w:rsidRPr="00EB65DA">
        <w:rPr>
          <w:rFonts w:ascii="Times New Roman" w:eastAsia="標楷體" w:hAnsi="Times New Roman" w:cs="Times New Roman" w:hint="eastAsia"/>
          <w:sz w:val="28"/>
          <w:szCs w:val="28"/>
        </w:rPr>
        <w:t>透過座標下降法（</w:t>
      </w:r>
      <w:r w:rsidRPr="00EB65DA">
        <w:rPr>
          <w:rFonts w:ascii="Times New Roman" w:eastAsia="標楷體" w:hAnsi="Times New Roman" w:cs="Times New Roman" w:hint="eastAsia"/>
          <w:sz w:val="28"/>
          <w:szCs w:val="28"/>
        </w:rPr>
        <w:t>Coordinate Descent</w:t>
      </w:r>
      <w:r w:rsidRPr="00EB65DA">
        <w:rPr>
          <w:rFonts w:ascii="Times New Roman" w:eastAsia="標楷體" w:hAnsi="Times New Roman" w:cs="Times New Roman" w:hint="eastAsia"/>
          <w:sz w:val="28"/>
          <w:szCs w:val="28"/>
        </w:rPr>
        <w:t>）進行後驗最大化求解，模型能在近乎實時的情況下完成參數優化。</w:t>
      </w:r>
      <w:r w:rsidRPr="00EB65DA">
        <w:rPr>
          <w:rFonts w:ascii="Times New Roman" w:eastAsia="標楷體" w:hAnsi="Times New Roman" w:cs="Times New Roman" w:hint="eastAsia"/>
          <w:sz w:val="28"/>
          <w:szCs w:val="28"/>
        </w:rPr>
        <w:t xml:space="preserve">Taddy (2013) </w:t>
      </w:r>
      <w:r w:rsidRPr="00EB65DA">
        <w:rPr>
          <w:rFonts w:ascii="Times New Roman" w:eastAsia="標楷體" w:hAnsi="Times New Roman" w:cs="Times New Roman" w:hint="eastAsia"/>
          <w:sz w:val="28"/>
          <w:szCs w:val="28"/>
        </w:rPr>
        <w:t>指出，這種方法避免了對百萬級別文本進行繁瑣的懲罰參數檢索。</w:t>
      </w:r>
    </w:p>
    <w:p w14:paraId="59BDD75B" w14:textId="6D127972" w:rsidR="00084D5A" w:rsidRPr="00EB65DA" w:rsidRDefault="00EB65DA" w:rsidP="00EB65DA">
      <w:pPr>
        <w:pStyle w:val="a9"/>
        <w:numPr>
          <w:ilvl w:val="0"/>
          <w:numId w:val="12"/>
        </w:numPr>
        <w:outlineLvl w:val="0"/>
        <w:rPr>
          <w:rFonts w:ascii="Times New Roman" w:eastAsia="標楷體" w:hAnsi="Times New Roman" w:cs="Times New Roman"/>
          <w:sz w:val="28"/>
          <w:szCs w:val="28"/>
        </w:rPr>
      </w:pPr>
      <w:r w:rsidRPr="00EB65DA">
        <w:rPr>
          <w:rFonts w:ascii="Times New Roman" w:eastAsia="標楷體" w:hAnsi="Times New Roman" w:cs="Times New Roman" w:hint="eastAsia"/>
          <w:sz w:val="28"/>
          <w:szCs w:val="28"/>
        </w:rPr>
        <w:t>稀疏誘導能力：</w:t>
      </w:r>
      <w:r w:rsidRPr="00EB65DA">
        <w:rPr>
          <w:rFonts w:ascii="Times New Roman" w:eastAsia="標楷體" w:hAnsi="Times New Roman" w:cs="Times New Roman" w:hint="eastAsia"/>
          <w:sz w:val="28"/>
          <w:szCs w:val="28"/>
        </w:rPr>
        <w:t xml:space="preserve"> </w:t>
      </w:r>
      <w:r w:rsidRPr="00EB65DA">
        <w:rPr>
          <w:rFonts w:ascii="Times New Roman" w:eastAsia="標楷體" w:hAnsi="Times New Roman" w:cs="Times New Roman" w:hint="eastAsia"/>
          <w:sz w:val="28"/>
          <w:szCs w:val="28"/>
        </w:rPr>
        <w:t>該算法能有效將無預測價值的詞彙載荷壓縮至零，自動實現特徵選取，從而增強模型的解釋力。</w:t>
      </w:r>
    </w:p>
    <w:p w14:paraId="14EAE1C7" w14:textId="644C0177" w:rsidR="00084D5A" w:rsidRPr="00084D5A" w:rsidRDefault="00EB65DA" w:rsidP="00512832">
      <w:pPr>
        <w:outlineLvl w:val="0"/>
        <w:rPr>
          <w:rFonts w:ascii="Times New Roman" w:eastAsia="標楷體" w:hAnsi="Times New Roman" w:cs="Times New Roman"/>
          <w:sz w:val="28"/>
          <w:szCs w:val="28"/>
        </w:rPr>
      </w:pPr>
      <w:r w:rsidRPr="00EB65DA">
        <w:rPr>
          <w:rFonts w:ascii="Times New Roman" w:eastAsia="標楷體" w:hAnsi="Times New Roman" w:cs="Times New Roman" w:hint="eastAsia"/>
          <w:sz w:val="28"/>
          <w:szCs w:val="28"/>
        </w:rPr>
        <w:t>這種估計路徑的戰略價值在於，它將原本極度沉重的計算負擔轉化為高效的優化問</w:t>
      </w:r>
      <w:r w:rsidRPr="00EB65DA">
        <w:rPr>
          <w:rFonts w:ascii="Times New Roman" w:eastAsia="標楷體" w:hAnsi="Times New Roman" w:cs="Times New Roman" w:hint="eastAsia"/>
          <w:sz w:val="28"/>
          <w:szCs w:val="28"/>
        </w:rPr>
        <w:lastRenderedPageBreak/>
        <w:t>題，為從海量文本中提取「充分縮減分數」提供了穩健的數學支撐。</w:t>
      </w:r>
    </w:p>
    <w:p w14:paraId="7CA9EC01" w14:textId="77777777" w:rsidR="001439BE" w:rsidRPr="001439BE" w:rsidRDefault="001439BE" w:rsidP="001439BE">
      <w:pPr>
        <w:outlineLvl w:val="0"/>
        <w:rPr>
          <w:rFonts w:ascii="Times New Roman" w:eastAsia="標楷體" w:hAnsi="Times New Roman" w:cs="Times New Roman"/>
          <w:sz w:val="28"/>
          <w:szCs w:val="28"/>
        </w:rPr>
      </w:pPr>
      <w:r w:rsidRPr="001439BE">
        <w:rPr>
          <w:rFonts w:ascii="Times New Roman" w:eastAsia="標楷體" w:hAnsi="Times New Roman" w:cs="Times New Roman" w:hint="eastAsia"/>
          <w:sz w:val="28"/>
          <w:szCs w:val="28"/>
        </w:rPr>
        <w:t>充分縮減分數（</w:t>
      </w:r>
      <w:r w:rsidRPr="001439BE">
        <w:rPr>
          <w:rFonts w:ascii="Times New Roman" w:eastAsia="標楷體" w:hAnsi="Times New Roman" w:cs="Times New Roman" w:hint="eastAsia"/>
          <w:sz w:val="28"/>
          <w:szCs w:val="28"/>
        </w:rPr>
        <w:t>Sufficient Reduction Scores</w:t>
      </w:r>
      <w:r w:rsidRPr="001439BE">
        <w:rPr>
          <w:rFonts w:ascii="Times New Roman" w:eastAsia="標楷體" w:hAnsi="Times New Roman" w:cs="Times New Roman" w:hint="eastAsia"/>
          <w:sz w:val="28"/>
          <w:szCs w:val="28"/>
        </w:rPr>
        <w:t>）之統計論證</w:t>
      </w:r>
    </w:p>
    <w:p w14:paraId="6AB9F46D" w14:textId="6042F212" w:rsidR="00084D5A" w:rsidRPr="001439BE" w:rsidRDefault="001439BE" w:rsidP="001439BE">
      <w:pPr>
        <w:outlineLvl w:val="0"/>
        <w:rPr>
          <w:rFonts w:ascii="Times New Roman" w:eastAsia="標楷體" w:hAnsi="Times New Roman" w:cs="Times New Roman"/>
          <w:sz w:val="28"/>
          <w:szCs w:val="28"/>
        </w:rPr>
      </w:pPr>
      <w:r w:rsidRPr="001439BE">
        <w:rPr>
          <w:rFonts w:ascii="Times New Roman" w:eastAsia="標楷體" w:hAnsi="Times New Roman" w:cs="Times New Roman" w:hint="eastAsia"/>
          <w:sz w:val="28"/>
          <w:szCs w:val="28"/>
        </w:rPr>
        <w:t>在完成參數估計後，模型建構的核心步驟是提取充分縮減分數（</w:t>
      </w:r>
      <w:r w:rsidRPr="001439BE">
        <w:rPr>
          <w:rFonts w:ascii="Times New Roman" w:eastAsia="標楷體" w:hAnsi="Times New Roman" w:cs="Times New Roman" w:hint="eastAsia"/>
          <w:sz w:val="28"/>
          <w:szCs w:val="28"/>
        </w:rPr>
        <w:t>Sufficient Reduction Scores, SR Scores</w:t>
      </w:r>
      <w:r w:rsidRPr="001439BE">
        <w:rPr>
          <w:rFonts w:ascii="Times New Roman" w:eastAsia="標楷體" w:hAnsi="Times New Roman" w:cs="Times New Roman" w:hint="eastAsia"/>
          <w:sz w:val="28"/>
          <w:szCs w:val="28"/>
        </w:rPr>
        <w:t>）。根據</w:t>
      </w:r>
      <w:r w:rsidRPr="001439BE">
        <w:rPr>
          <w:rFonts w:ascii="Times New Roman" w:eastAsia="標楷體" w:hAnsi="Times New Roman" w:cs="Times New Roman" w:hint="eastAsia"/>
          <w:sz w:val="28"/>
          <w:szCs w:val="28"/>
        </w:rPr>
        <w:t xml:space="preserve"> Fisher-Neyman </w:t>
      </w:r>
      <w:r w:rsidRPr="001439BE">
        <w:rPr>
          <w:rFonts w:ascii="Times New Roman" w:eastAsia="標楷體" w:hAnsi="Times New Roman" w:cs="Times New Roman" w:hint="eastAsia"/>
          <w:sz w:val="28"/>
          <w:szCs w:val="28"/>
        </w:rPr>
        <w:t>分解定理（</w:t>
      </w:r>
      <w:r w:rsidRPr="001439BE">
        <w:rPr>
          <w:rFonts w:ascii="Times New Roman" w:eastAsia="標楷體" w:hAnsi="Times New Roman" w:cs="Times New Roman" w:hint="eastAsia"/>
          <w:sz w:val="28"/>
          <w:szCs w:val="28"/>
        </w:rPr>
        <w:t>Factorization Theorem</w:t>
      </w:r>
      <w:r w:rsidRPr="001439BE">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z</m:t>
            </m:r>
          </m:e>
          <m:sub>
            <m:r>
              <w:rPr>
                <w:rFonts w:ascii="Cambria Math" w:eastAsia="標楷體" w:hAnsi="Cambria Math" w:cs="Times New Roman"/>
                <w:sz w:val="28"/>
                <w:szCs w:val="28"/>
              </w:rPr>
              <m:t>i</m:t>
            </m:r>
          </m:sub>
        </m:sSub>
      </m:oMath>
      <w:r w:rsidRPr="001439BE">
        <w:rPr>
          <w:rFonts w:ascii="Times New Roman" w:eastAsia="標楷體" w:hAnsi="Times New Roman" w:cs="Times New Roman" w:hint="eastAsia"/>
          <w:sz w:val="28"/>
          <w:szCs w:val="28"/>
        </w:rPr>
        <w:t xml:space="preserve"> </w:t>
      </w:r>
      <w:r w:rsidRPr="001439BE">
        <w:rPr>
          <w:rFonts w:ascii="Times New Roman" w:eastAsia="標楷體" w:hAnsi="Times New Roman" w:cs="Times New Roman" w:hint="eastAsia"/>
          <w:sz w:val="28"/>
          <w:szCs w:val="28"/>
        </w:rPr>
        <w:t>構成了一個關於情感空間的充分統計量。其計算方式如下：</w:t>
      </w:r>
    </w:p>
    <w:p w14:paraId="5CBBB2FF" w14:textId="0AB8075D" w:rsidR="001B6901" w:rsidRPr="001439BE" w:rsidRDefault="00000000" w:rsidP="00512832">
      <w:pPr>
        <w:outlineLvl w:val="0"/>
        <w:rPr>
          <w:rFonts w:ascii="Times New Roman" w:eastAsia="標楷體" w:hAnsi="Times New Roman" w:cs="Times New Roman"/>
          <w:sz w:val="28"/>
          <w:szCs w:val="28"/>
        </w:rPr>
      </w:pPr>
      <m:oMathPara>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z</m:t>
              </m:r>
            </m:e>
            <m:sub>
              <m:r>
                <w:rPr>
                  <w:rFonts w:ascii="Cambria Math" w:eastAsia="標楷體" w:hAnsi="Cambria Math" w:cs="Times New Roman"/>
                  <w:sz w:val="28"/>
                  <w:szCs w:val="28"/>
                </w:rPr>
                <m:t>i</m:t>
              </m:r>
            </m:sub>
          </m:sSub>
          <m:r>
            <w:rPr>
              <w:rFonts w:ascii="Cambria Math" w:eastAsia="標楷體" w:hAnsi="Cambria Math" w:cs="Times New Roman"/>
              <w:sz w:val="28"/>
              <w:szCs w:val="28"/>
            </w:rPr>
            <m:t>=</m:t>
          </m:r>
          <m:sSup>
            <m:sSupPr>
              <m:ctrlPr>
                <w:rPr>
                  <w:rFonts w:ascii="Cambria Math" w:eastAsia="標楷體" w:hAnsi="Cambria Math" w:cs="Times New Roman"/>
                  <w:i/>
                  <w:sz w:val="28"/>
                  <w:szCs w:val="28"/>
                </w:rPr>
              </m:ctrlPr>
            </m:sSupPr>
            <m:e>
              <m:r>
                <w:rPr>
                  <w:rFonts w:ascii="Cambria Math" w:eastAsia="標楷體" w:hAnsi="Cambria Math" w:cs="Times New Roman"/>
                  <w:sz w:val="28"/>
                  <w:szCs w:val="28"/>
                </w:rPr>
                <m:t>ϕ</m:t>
              </m:r>
            </m:e>
            <m:sup>
              <m:r>
                <w:rPr>
                  <w:rFonts w:ascii="Cambria Math" w:eastAsia="標楷體" w:hAnsi="Cambria Math" w:cs="Times New Roman" w:hint="eastAsia"/>
                  <w:sz w:val="28"/>
                  <w:szCs w:val="28"/>
                </w:rPr>
                <m:t>'</m:t>
              </m:r>
            </m:sup>
          </m:sSup>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f</m:t>
              </m:r>
            </m:e>
            <m:sub>
              <m:r>
                <w:rPr>
                  <w:rFonts w:ascii="Cambria Math" w:eastAsia="標楷體" w:hAnsi="Cambria Math" w:cs="Times New Roman"/>
                  <w:sz w:val="28"/>
                  <w:szCs w:val="28"/>
                </w:rPr>
                <m:t>i</m:t>
              </m:r>
            </m:sub>
          </m:sSub>
        </m:oMath>
      </m:oMathPara>
    </w:p>
    <w:p w14:paraId="098257E0" w14:textId="5458C51C" w:rsidR="001439BE" w:rsidRPr="001439BE" w:rsidRDefault="001439BE" w:rsidP="001439BE">
      <w:pPr>
        <w:outlineLvl w:val="0"/>
        <w:rPr>
          <w:rFonts w:ascii="Times New Roman" w:eastAsia="標楷體" w:hAnsi="Times New Roman" w:cs="Times New Roman"/>
          <w:sz w:val="28"/>
          <w:szCs w:val="28"/>
        </w:rPr>
      </w:pPr>
      <w:r w:rsidRPr="001439BE">
        <w:rPr>
          <w:rFonts w:ascii="Times New Roman" w:eastAsia="標楷體" w:hAnsi="Times New Roman" w:cs="Times New Roman" w:hint="eastAsia"/>
          <w:sz w:val="28"/>
          <w:szCs w:val="28"/>
        </w:rPr>
        <w:t>其中</w:t>
      </w:r>
      <w:r>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f</m:t>
            </m:r>
          </m:e>
          <m:sub>
            <m:r>
              <w:rPr>
                <w:rFonts w:ascii="Cambria Math" w:eastAsia="標楷體" w:hAnsi="Cambria Math" w:cs="Times New Roman"/>
                <w:sz w:val="28"/>
                <w:szCs w:val="28"/>
              </w:rPr>
              <m:t>i</m:t>
            </m:r>
          </m:sub>
        </m:sSub>
        <m:r>
          <w:rPr>
            <w:rFonts w:ascii="Cambria Math" w:eastAsia="標楷體" w:hAnsi="Cambria Math" w:cs="Times New Roman"/>
            <w:sz w:val="28"/>
            <w:szCs w:val="28"/>
          </w:rPr>
          <m:t xml:space="preserve">= </m:t>
        </m:r>
        <m:f>
          <m:fPr>
            <m:type m:val="lin"/>
            <m:ctrlPr>
              <w:rPr>
                <w:rFonts w:ascii="Cambria Math" w:eastAsia="標楷體" w:hAnsi="Cambria Math" w:cs="Times New Roman"/>
                <w:i/>
                <w:sz w:val="28"/>
                <w:szCs w:val="28"/>
              </w:rPr>
            </m:ctrlPr>
          </m:fPr>
          <m:num>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x</m:t>
                </m:r>
              </m:e>
              <m:sub>
                <m:r>
                  <w:rPr>
                    <w:rFonts w:ascii="Cambria Math" w:eastAsia="標楷體" w:hAnsi="Cambria Math" w:cs="Times New Roman"/>
                    <w:sz w:val="28"/>
                    <w:szCs w:val="28"/>
                  </w:rPr>
                  <m:t>i</m:t>
                </m:r>
              </m:sub>
            </m:sSub>
          </m:num>
          <m:den>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m</m:t>
                </m:r>
              </m:e>
              <m:sub>
                <m:r>
                  <w:rPr>
                    <w:rFonts w:ascii="Cambria Math" w:eastAsia="標楷體" w:hAnsi="Cambria Math" w:cs="Times New Roman"/>
                    <w:sz w:val="28"/>
                    <w:szCs w:val="28"/>
                  </w:rPr>
                  <m:t>i</m:t>
                </m:r>
              </m:sub>
            </m:sSub>
          </m:den>
        </m:f>
      </m:oMath>
      <w:r>
        <w:rPr>
          <w:rFonts w:ascii="Times New Roman" w:eastAsia="標楷體" w:hAnsi="Times New Roman" w:cs="Times New Roman" w:hint="eastAsia"/>
          <w:sz w:val="28"/>
          <w:szCs w:val="28"/>
        </w:rPr>
        <w:t xml:space="preserve"> </w:t>
      </w:r>
      <w:r w:rsidRPr="001439BE">
        <w:rPr>
          <w:rFonts w:ascii="Times New Roman" w:eastAsia="標楷體" w:hAnsi="Times New Roman" w:cs="Times New Roman" w:hint="eastAsia"/>
          <w:sz w:val="28"/>
          <w:szCs w:val="28"/>
        </w:rPr>
        <w:t>為辭彙頻率向量。關鍵結論在於：在給定</w:t>
      </w:r>
      <w:r w:rsidRPr="001439BE">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z</m:t>
            </m:r>
          </m:e>
          <m:sub>
            <m:r>
              <w:rPr>
                <w:rFonts w:ascii="Cambria Math" w:eastAsia="標楷體" w:hAnsi="Cambria Math" w:cs="Times New Roman"/>
                <w:sz w:val="28"/>
                <w:szCs w:val="28"/>
              </w:rPr>
              <m:t>i</m:t>
            </m:r>
          </m:sub>
        </m:sSub>
      </m:oMath>
      <w:r w:rsidRPr="001439BE">
        <w:rPr>
          <w:rFonts w:ascii="Times New Roman" w:eastAsia="標楷體" w:hAnsi="Times New Roman" w:cs="Times New Roman" w:hint="eastAsia"/>
          <w:sz w:val="28"/>
          <w:szCs w:val="28"/>
        </w:rPr>
        <w:t xml:space="preserve"> </w:t>
      </w:r>
      <w:r w:rsidRPr="001439BE">
        <w:rPr>
          <w:rFonts w:ascii="Times New Roman" w:eastAsia="標楷體" w:hAnsi="Times New Roman" w:cs="Times New Roman" w:hint="eastAsia"/>
          <w:sz w:val="28"/>
          <w:szCs w:val="28"/>
        </w:rPr>
        <w:t>的條件下，情感目標</w:t>
      </w:r>
      <w:r w:rsidRPr="001439BE">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y</m:t>
            </m:r>
          </m:e>
          <m:sub>
            <m:r>
              <w:rPr>
                <w:rFonts w:ascii="Cambria Math" w:eastAsia="標楷體" w:hAnsi="Cambria Math" w:cs="Times New Roman"/>
                <w:sz w:val="28"/>
                <w:szCs w:val="28"/>
              </w:rPr>
              <m:t>i</m:t>
            </m:r>
          </m:sub>
        </m:sSub>
      </m:oMath>
      <w:r w:rsidRPr="001439BE">
        <w:rPr>
          <w:rFonts w:ascii="Times New Roman" w:eastAsia="標楷體" w:hAnsi="Times New Roman" w:cs="Times New Roman" w:hint="eastAsia"/>
          <w:sz w:val="28"/>
          <w:szCs w:val="28"/>
        </w:rPr>
        <w:t xml:space="preserve"> </w:t>
      </w:r>
      <w:r w:rsidRPr="001439BE">
        <w:rPr>
          <w:rFonts w:ascii="Times New Roman" w:eastAsia="標楷體" w:hAnsi="Times New Roman" w:cs="Times New Roman" w:hint="eastAsia"/>
          <w:sz w:val="28"/>
          <w:szCs w:val="28"/>
        </w:rPr>
        <w:t>與原始高維文本</w:t>
      </w:r>
      <w:r w:rsidRPr="001439BE">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x</m:t>
            </m:r>
          </m:e>
          <m:sub>
            <m:r>
              <w:rPr>
                <w:rFonts w:ascii="Cambria Math" w:eastAsia="標楷體" w:hAnsi="Cambria Math" w:cs="Times New Roman"/>
                <w:sz w:val="28"/>
                <w:szCs w:val="28"/>
              </w:rPr>
              <m:t>i</m:t>
            </m:r>
          </m:sub>
        </m:sSub>
      </m:oMath>
      <w:r>
        <w:rPr>
          <w:rFonts w:ascii="Times New Roman" w:eastAsia="標楷體" w:hAnsi="Times New Roman" w:cs="Times New Roman" w:hint="eastAsia"/>
          <w:sz w:val="28"/>
          <w:szCs w:val="28"/>
        </w:rPr>
        <w:t xml:space="preserve"> </w:t>
      </w:r>
      <w:r w:rsidRPr="001439BE">
        <w:rPr>
          <w:rFonts w:ascii="Times New Roman" w:eastAsia="標楷體" w:hAnsi="Times New Roman" w:cs="Times New Roman" w:hint="eastAsia"/>
          <w:sz w:val="28"/>
          <w:szCs w:val="28"/>
        </w:rPr>
        <w:t>相互獨立。</w:t>
      </w:r>
      <w:r w:rsidRPr="001439BE">
        <w:rPr>
          <w:rFonts w:ascii="Times New Roman" w:eastAsia="標楷體" w:hAnsi="Times New Roman" w:cs="Times New Roman" w:hint="eastAsia"/>
          <w:sz w:val="28"/>
          <w:szCs w:val="28"/>
        </w:rPr>
        <w:t xml:space="preserve"> </w:t>
      </w:r>
      <w:r w:rsidRPr="001439BE">
        <w:rPr>
          <w:rFonts w:ascii="Times New Roman" w:eastAsia="標楷體" w:hAnsi="Times New Roman" w:cs="Times New Roman" w:hint="eastAsia"/>
          <w:sz w:val="28"/>
          <w:szCs w:val="28"/>
        </w:rPr>
        <w:t>這證明了</w:t>
      </w:r>
      <w:r w:rsidRPr="001439BE">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z</m:t>
            </m:r>
          </m:e>
          <m:sub>
            <m:r>
              <w:rPr>
                <w:rFonts w:ascii="Cambria Math" w:eastAsia="標楷體" w:hAnsi="Cambria Math" w:cs="Times New Roman"/>
                <w:sz w:val="28"/>
                <w:szCs w:val="28"/>
              </w:rPr>
              <m:t>i</m:t>
            </m:r>
          </m:sub>
        </m:sSub>
      </m:oMath>
      <w:r w:rsidRPr="001439BE">
        <w:rPr>
          <w:rFonts w:ascii="Times New Roman" w:eastAsia="標楷體" w:hAnsi="Times New Roman" w:cs="Times New Roman" w:hint="eastAsia"/>
          <w:sz w:val="28"/>
          <w:szCs w:val="28"/>
        </w:rPr>
        <w:t xml:space="preserve"> </w:t>
      </w:r>
      <w:r w:rsidRPr="001439BE">
        <w:rPr>
          <w:rFonts w:ascii="Times New Roman" w:eastAsia="標楷體" w:hAnsi="Times New Roman" w:cs="Times New Roman" w:hint="eastAsia"/>
          <w:sz w:val="28"/>
          <w:szCs w:val="28"/>
        </w:rPr>
        <w:t>已完整捕捉了文本中所有具有預測價值的精華信息。</w:t>
      </w:r>
    </w:p>
    <w:p w14:paraId="1CD1E22A" w14:textId="4B75E253" w:rsidR="001439BE" w:rsidRDefault="001439BE" w:rsidP="001439BE">
      <w:pPr>
        <w:outlineLvl w:val="0"/>
        <w:rPr>
          <w:rFonts w:ascii="Times New Roman" w:eastAsia="標楷體" w:hAnsi="Times New Roman" w:cs="Times New Roman"/>
          <w:sz w:val="28"/>
          <w:szCs w:val="28"/>
        </w:rPr>
      </w:pPr>
      <w:r w:rsidRPr="001439BE">
        <w:rPr>
          <w:rFonts w:ascii="Times New Roman" w:eastAsia="標楷體" w:hAnsi="Times New Roman" w:cs="Times New Roman" w:hint="eastAsia"/>
          <w:sz w:val="28"/>
          <w:szCs w:val="28"/>
        </w:rPr>
        <w:t>這種維度縮減是「情感保留」的（</w:t>
      </w:r>
      <w:r w:rsidRPr="001439BE">
        <w:rPr>
          <w:rFonts w:ascii="Times New Roman" w:eastAsia="標楷體" w:hAnsi="Times New Roman" w:cs="Times New Roman" w:hint="eastAsia"/>
          <w:sz w:val="28"/>
          <w:szCs w:val="28"/>
        </w:rPr>
        <w:t>sentiment-preserving</w:t>
      </w:r>
      <w:r w:rsidRPr="001439BE">
        <w:rPr>
          <w:rFonts w:ascii="Times New Roman" w:eastAsia="標楷體" w:hAnsi="Times New Roman" w:cs="Times New Roman" w:hint="eastAsia"/>
          <w:sz w:val="28"/>
          <w:szCs w:val="28"/>
        </w:rPr>
        <w:t>），它過濾掉與預測無關的「袋裝詞彙」（</w:t>
      </w:r>
      <w:r w:rsidRPr="001439BE">
        <w:rPr>
          <w:rFonts w:ascii="Times New Roman" w:eastAsia="標楷體" w:hAnsi="Times New Roman" w:cs="Times New Roman" w:hint="eastAsia"/>
          <w:sz w:val="28"/>
          <w:szCs w:val="28"/>
        </w:rPr>
        <w:t>bag-of-words</w:t>
      </w:r>
      <w:r w:rsidRPr="001439BE">
        <w:rPr>
          <w:rFonts w:ascii="Times New Roman" w:eastAsia="標楷體" w:hAnsi="Times New Roman" w:cs="Times New Roman" w:hint="eastAsia"/>
          <w:sz w:val="28"/>
          <w:szCs w:val="28"/>
        </w:rPr>
        <w:t>）噪音，僅保留重建條件分佈</w:t>
      </w:r>
      <w:r w:rsidRPr="001439BE">
        <w:rPr>
          <w:rFonts w:ascii="Times New Roman" w:eastAsia="標楷體" w:hAnsi="Times New Roman" w:cs="Times New Roman" w:hint="eastAsia"/>
          <w:sz w:val="28"/>
          <w:szCs w:val="28"/>
        </w:rPr>
        <w:t xml:space="preserve"> </w:t>
      </w:r>
      <m:oMath>
        <m:r>
          <w:rPr>
            <w:rFonts w:ascii="Cambria Math" w:eastAsia="標楷體" w:hAnsi="Cambria Math" w:cs="Times New Roman"/>
            <w:sz w:val="28"/>
            <w:szCs w:val="28"/>
          </w:rPr>
          <m:t>y|x</m:t>
        </m:r>
      </m:oMath>
      <w:r w:rsidRPr="001439BE">
        <w:rPr>
          <w:rFonts w:ascii="Times New Roman" w:eastAsia="標楷體" w:hAnsi="Times New Roman" w:cs="Times New Roman" w:hint="eastAsia"/>
          <w:sz w:val="28"/>
          <w:szCs w:val="28"/>
        </w:rPr>
        <w:t xml:space="preserve"> </w:t>
      </w:r>
      <w:r w:rsidRPr="001439BE">
        <w:rPr>
          <w:rFonts w:ascii="Times New Roman" w:eastAsia="標楷體" w:hAnsi="Times New Roman" w:cs="Times New Roman" w:hint="eastAsia"/>
          <w:sz w:val="28"/>
          <w:szCs w:val="28"/>
        </w:rPr>
        <w:t>所需的關鍵變異。從統計理論角度看，這是一種最小充分縮減（</w:t>
      </w:r>
      <w:r w:rsidRPr="001439BE">
        <w:rPr>
          <w:rFonts w:ascii="Times New Roman" w:eastAsia="標楷體" w:hAnsi="Times New Roman" w:cs="Times New Roman" w:hint="eastAsia"/>
          <w:sz w:val="28"/>
          <w:szCs w:val="28"/>
        </w:rPr>
        <w:t>Minimal Sufficiency</w:t>
      </w:r>
      <w:r w:rsidRPr="001439BE">
        <w:rPr>
          <w:rFonts w:ascii="Times New Roman" w:eastAsia="標楷體" w:hAnsi="Times New Roman" w:cs="Times New Roman" w:hint="eastAsia"/>
          <w:sz w:val="28"/>
          <w:szCs w:val="28"/>
        </w:rPr>
        <w:t>），它將數萬維的非結構化向量壓縮為極低維的標量或向量，使</w:t>
      </w:r>
      <w:r w:rsidR="00D32C54">
        <w:rPr>
          <w:rFonts w:ascii="Times New Roman" w:eastAsia="標楷體" w:hAnsi="Times New Roman" w:cs="Times New Roman" w:hint="eastAsia"/>
          <w:sz w:val="28"/>
          <w:szCs w:val="28"/>
        </w:rPr>
        <w:t>我們</w:t>
      </w:r>
      <w:r w:rsidRPr="001439BE">
        <w:rPr>
          <w:rFonts w:ascii="Times New Roman" w:eastAsia="標楷體" w:hAnsi="Times New Roman" w:cs="Times New Roman" w:hint="eastAsia"/>
          <w:sz w:val="28"/>
          <w:szCs w:val="28"/>
        </w:rPr>
        <w:t>能將文本數據無縫整合進傳統的計量模型或結構方程中。</w:t>
      </w:r>
    </w:p>
    <w:p w14:paraId="01E74C68" w14:textId="467D08EB" w:rsidR="003F5EF7" w:rsidRDefault="003F5EF7" w:rsidP="001439BE">
      <w:pPr>
        <w:outlineLvl w:val="0"/>
        <w:rPr>
          <w:rFonts w:ascii="Times New Roman" w:eastAsia="標楷體" w:hAnsi="Times New Roman" w:cs="Times New Roman"/>
          <w:sz w:val="28"/>
          <w:szCs w:val="28"/>
        </w:rPr>
      </w:pPr>
      <w:r w:rsidRPr="003F5EF7">
        <w:rPr>
          <w:rFonts w:ascii="Times New Roman" w:eastAsia="標楷體" w:hAnsi="Times New Roman" w:cs="Times New Roman" w:hint="eastAsia"/>
          <w:sz w:val="28"/>
          <w:szCs w:val="28"/>
        </w:rPr>
        <w:t>前向預測模型整合與實證效能評估</w:t>
      </w:r>
    </w:p>
    <w:p w14:paraId="66A9818E" w14:textId="122EB3C6" w:rsidR="003F5EF7" w:rsidRPr="003F5EF7" w:rsidRDefault="003F5EF7" w:rsidP="003F5EF7">
      <w:pPr>
        <w:outlineLvl w:val="0"/>
        <w:rPr>
          <w:rFonts w:ascii="Times New Roman" w:eastAsia="標楷體" w:hAnsi="Times New Roman" w:cs="Times New Roman"/>
          <w:sz w:val="28"/>
          <w:szCs w:val="28"/>
        </w:rPr>
      </w:pPr>
      <w:r w:rsidRPr="003F5EF7">
        <w:rPr>
          <w:rFonts w:ascii="Times New Roman" w:eastAsia="標楷體" w:hAnsi="Times New Roman" w:cs="Times New Roman" w:hint="eastAsia"/>
          <w:sz w:val="28"/>
          <w:szCs w:val="28"/>
        </w:rPr>
        <w:t>模型建構的最終環節是將</w:t>
      </w:r>
      <w:r w:rsidRPr="003F5EF7">
        <w:rPr>
          <w:rFonts w:ascii="Times New Roman" w:eastAsia="標楷體" w:hAnsi="Times New Roman" w:cs="Times New Roman" w:hint="eastAsia"/>
          <w:sz w:val="28"/>
          <w:szCs w:val="28"/>
        </w:rPr>
        <w:t xml:space="preserve"> </w:t>
      </w:r>
      <m:oMath>
        <m:sSub>
          <m:sSubPr>
            <m:ctrlPr>
              <w:rPr>
                <w:rFonts w:ascii="Cambria Math" w:eastAsia="標楷體" w:hAnsi="Cambria Math" w:cs="Times New Roman"/>
                <w:i/>
                <w:sz w:val="28"/>
                <w:szCs w:val="28"/>
              </w:rPr>
            </m:ctrlPr>
          </m:sSubPr>
          <m:e>
            <m:r>
              <w:rPr>
                <w:rFonts w:ascii="Cambria Math" w:eastAsia="標楷體" w:hAnsi="Cambria Math" w:cs="Times New Roman"/>
                <w:sz w:val="28"/>
                <w:szCs w:val="28"/>
              </w:rPr>
              <m:t>z</m:t>
            </m:r>
          </m:e>
          <m:sub>
            <m:r>
              <w:rPr>
                <w:rFonts w:ascii="Cambria Math" w:eastAsia="標楷體" w:hAnsi="Cambria Math" w:cs="Times New Roman"/>
                <w:sz w:val="28"/>
                <w:szCs w:val="28"/>
              </w:rPr>
              <m:t>i</m:t>
            </m:r>
          </m:sub>
        </m:sSub>
      </m:oMath>
      <w:r w:rsidRPr="003F5EF7">
        <w:rPr>
          <w:rFonts w:ascii="Times New Roman" w:eastAsia="標楷體" w:hAnsi="Times New Roman" w:cs="Times New Roman" w:hint="eastAsia"/>
          <w:sz w:val="28"/>
          <w:szCs w:val="28"/>
        </w:rPr>
        <w:t xml:space="preserve"> </w:t>
      </w:r>
      <w:r w:rsidRPr="003F5EF7">
        <w:rPr>
          <w:rFonts w:ascii="Times New Roman" w:eastAsia="標楷體" w:hAnsi="Times New Roman" w:cs="Times New Roman" w:hint="eastAsia"/>
          <w:sz w:val="28"/>
          <w:szCs w:val="28"/>
        </w:rPr>
        <w:t>帶回前向預測框架。這種「兩階段建模策略」結合了逆迴歸的降維優勢與前向預測的統計嚴謹性。針對不同的數據型態，本研究配置了三種實作路徑：</w:t>
      </w:r>
    </w:p>
    <w:p w14:paraId="0FDC0D57" w14:textId="77777777" w:rsidR="003F5EF7" w:rsidRPr="003F5EF7" w:rsidRDefault="003F5EF7" w:rsidP="003F5EF7">
      <w:pPr>
        <w:outlineLvl w:val="0"/>
        <w:rPr>
          <w:rFonts w:ascii="Times New Roman" w:eastAsia="標楷體" w:hAnsi="Times New Roman" w:cs="Times New Roman"/>
          <w:sz w:val="28"/>
          <w:szCs w:val="28"/>
        </w:rPr>
      </w:pPr>
      <w:r w:rsidRPr="003F5EF7">
        <w:rPr>
          <w:rFonts w:ascii="Times New Roman" w:eastAsia="標楷體" w:hAnsi="Times New Roman" w:cs="Times New Roman" w:hint="eastAsia"/>
          <w:sz w:val="28"/>
          <w:szCs w:val="28"/>
        </w:rPr>
        <w:t>線性模型（</w:t>
      </w:r>
      <w:r w:rsidRPr="003F5EF7">
        <w:rPr>
          <w:rFonts w:ascii="Times New Roman" w:eastAsia="標楷體" w:hAnsi="Times New Roman" w:cs="Times New Roman" w:hint="eastAsia"/>
          <w:sz w:val="28"/>
          <w:szCs w:val="28"/>
        </w:rPr>
        <w:t>Linear Model</w:t>
      </w:r>
      <w:r w:rsidRPr="003F5EF7">
        <w:rPr>
          <w:rFonts w:ascii="Times New Roman" w:eastAsia="標楷體" w:hAnsi="Times New Roman" w:cs="Times New Roman" w:hint="eastAsia"/>
          <w:sz w:val="28"/>
          <w:szCs w:val="28"/>
        </w:rPr>
        <w:t>）：</w:t>
      </w:r>
      <w:r w:rsidRPr="003F5EF7">
        <w:rPr>
          <w:rFonts w:ascii="Times New Roman" w:eastAsia="標楷體" w:hAnsi="Times New Roman" w:cs="Times New Roman" w:hint="eastAsia"/>
          <w:sz w:val="28"/>
          <w:szCs w:val="28"/>
        </w:rPr>
        <w:t xml:space="preserve"> </w:t>
      </w:r>
      <w:r w:rsidRPr="003F5EF7">
        <w:rPr>
          <w:rFonts w:ascii="Times New Roman" w:eastAsia="標楷體" w:hAnsi="Times New Roman" w:cs="Times New Roman" w:hint="eastAsia"/>
          <w:sz w:val="28"/>
          <w:szCs w:val="28"/>
        </w:rPr>
        <w:t>用於處理連續型情緒指標，如選票比例或市場情緒得</w:t>
      </w:r>
      <w:r w:rsidRPr="003F5EF7">
        <w:rPr>
          <w:rFonts w:ascii="Times New Roman" w:eastAsia="標楷體" w:hAnsi="Times New Roman" w:cs="Times New Roman" w:hint="eastAsia"/>
          <w:sz w:val="28"/>
          <w:szCs w:val="28"/>
        </w:rPr>
        <w:lastRenderedPageBreak/>
        <w:t>分。</w:t>
      </w:r>
    </w:p>
    <w:p w14:paraId="07F8738A" w14:textId="77777777" w:rsidR="003F5EF7" w:rsidRPr="003F5EF7" w:rsidRDefault="003F5EF7" w:rsidP="003F5EF7">
      <w:pPr>
        <w:outlineLvl w:val="0"/>
        <w:rPr>
          <w:rFonts w:ascii="Times New Roman" w:eastAsia="標楷體" w:hAnsi="Times New Roman" w:cs="Times New Roman"/>
          <w:sz w:val="28"/>
          <w:szCs w:val="28"/>
        </w:rPr>
      </w:pPr>
      <w:r w:rsidRPr="003F5EF7">
        <w:rPr>
          <w:rFonts w:ascii="Times New Roman" w:eastAsia="標楷體" w:hAnsi="Times New Roman" w:cs="Times New Roman" w:hint="eastAsia"/>
          <w:sz w:val="28"/>
          <w:szCs w:val="28"/>
        </w:rPr>
        <w:t>邏輯迴歸（</w:t>
      </w:r>
      <w:r w:rsidRPr="003F5EF7">
        <w:rPr>
          <w:rFonts w:ascii="Times New Roman" w:eastAsia="標楷體" w:hAnsi="Times New Roman" w:cs="Times New Roman" w:hint="eastAsia"/>
          <w:sz w:val="28"/>
          <w:szCs w:val="28"/>
        </w:rPr>
        <w:t>Logistic Regression</w:t>
      </w:r>
      <w:r w:rsidRPr="003F5EF7">
        <w:rPr>
          <w:rFonts w:ascii="Times New Roman" w:eastAsia="標楷體" w:hAnsi="Times New Roman" w:cs="Times New Roman" w:hint="eastAsia"/>
          <w:sz w:val="28"/>
          <w:szCs w:val="28"/>
        </w:rPr>
        <w:t>）：</w:t>
      </w:r>
      <w:r w:rsidRPr="003F5EF7">
        <w:rPr>
          <w:rFonts w:ascii="Times New Roman" w:eastAsia="標楷體" w:hAnsi="Times New Roman" w:cs="Times New Roman" w:hint="eastAsia"/>
          <w:sz w:val="28"/>
          <w:szCs w:val="28"/>
        </w:rPr>
        <w:t xml:space="preserve"> </w:t>
      </w:r>
      <w:r w:rsidRPr="003F5EF7">
        <w:rPr>
          <w:rFonts w:ascii="Times New Roman" w:eastAsia="標楷體" w:hAnsi="Times New Roman" w:cs="Times New Roman" w:hint="eastAsia"/>
          <w:sz w:val="28"/>
          <w:szCs w:val="28"/>
        </w:rPr>
        <w:t>用於二元或多元類別標籤，如政黨傾向識別。</w:t>
      </w:r>
    </w:p>
    <w:p w14:paraId="617519B2" w14:textId="77777777" w:rsidR="003F5EF7" w:rsidRPr="003F5EF7" w:rsidRDefault="003F5EF7" w:rsidP="003F5EF7">
      <w:pPr>
        <w:outlineLvl w:val="0"/>
        <w:rPr>
          <w:rFonts w:ascii="Times New Roman" w:eastAsia="標楷體" w:hAnsi="Times New Roman" w:cs="Times New Roman"/>
          <w:sz w:val="28"/>
          <w:szCs w:val="28"/>
        </w:rPr>
      </w:pPr>
      <w:r w:rsidRPr="003F5EF7">
        <w:rPr>
          <w:rFonts w:ascii="Times New Roman" w:eastAsia="標楷體" w:hAnsi="Times New Roman" w:cs="Times New Roman" w:hint="eastAsia"/>
          <w:sz w:val="28"/>
          <w:szCs w:val="28"/>
        </w:rPr>
        <w:t>比例優勢模型（</w:t>
      </w:r>
      <w:r w:rsidRPr="003F5EF7">
        <w:rPr>
          <w:rFonts w:ascii="Times New Roman" w:eastAsia="標楷體" w:hAnsi="Times New Roman" w:cs="Times New Roman" w:hint="eastAsia"/>
          <w:sz w:val="28"/>
          <w:szCs w:val="28"/>
        </w:rPr>
        <w:t>Proportional-Odds Model</w:t>
      </w:r>
      <w:r w:rsidRPr="003F5EF7">
        <w:rPr>
          <w:rFonts w:ascii="Times New Roman" w:eastAsia="標楷體" w:hAnsi="Times New Roman" w:cs="Times New Roman" w:hint="eastAsia"/>
          <w:sz w:val="28"/>
          <w:szCs w:val="28"/>
        </w:rPr>
        <w:t>）：</w:t>
      </w:r>
      <w:r w:rsidRPr="003F5EF7">
        <w:rPr>
          <w:rFonts w:ascii="Times New Roman" w:eastAsia="標楷體" w:hAnsi="Times New Roman" w:cs="Times New Roman" w:hint="eastAsia"/>
          <w:sz w:val="28"/>
          <w:szCs w:val="28"/>
        </w:rPr>
        <w:t xml:space="preserve"> </w:t>
      </w:r>
      <w:r w:rsidRPr="003F5EF7">
        <w:rPr>
          <w:rFonts w:ascii="Times New Roman" w:eastAsia="標楷體" w:hAnsi="Times New Roman" w:cs="Times New Roman" w:hint="eastAsia"/>
          <w:sz w:val="28"/>
          <w:szCs w:val="28"/>
        </w:rPr>
        <w:t>專為處理序數型數據（如餐廳評論的</w:t>
      </w:r>
      <w:r w:rsidRPr="003F5EF7">
        <w:rPr>
          <w:rFonts w:ascii="Times New Roman" w:eastAsia="標楷體" w:hAnsi="Times New Roman" w:cs="Times New Roman" w:hint="eastAsia"/>
          <w:sz w:val="28"/>
          <w:szCs w:val="28"/>
        </w:rPr>
        <w:t xml:space="preserve"> 1-5 </w:t>
      </w:r>
      <w:r w:rsidRPr="003F5EF7">
        <w:rPr>
          <w:rFonts w:ascii="Times New Roman" w:eastAsia="標楷體" w:hAnsi="Times New Roman" w:cs="Times New Roman" w:hint="eastAsia"/>
          <w:sz w:val="28"/>
          <w:szCs w:val="28"/>
        </w:rPr>
        <w:t>星評等）設計，這在</w:t>
      </w:r>
      <w:r w:rsidRPr="003F5EF7">
        <w:rPr>
          <w:rFonts w:ascii="Times New Roman" w:eastAsia="標楷體" w:hAnsi="Times New Roman" w:cs="Times New Roman" w:hint="eastAsia"/>
          <w:sz w:val="28"/>
          <w:szCs w:val="28"/>
        </w:rPr>
        <w:t xml:space="preserve"> Taddy (2013) </w:t>
      </w:r>
      <w:r w:rsidRPr="003F5EF7">
        <w:rPr>
          <w:rFonts w:ascii="Times New Roman" w:eastAsia="標楷體" w:hAnsi="Times New Roman" w:cs="Times New Roman" w:hint="eastAsia"/>
          <w:sz w:val="28"/>
          <w:szCs w:val="28"/>
        </w:rPr>
        <w:t>的實證研究中被證明是捕捉層次情感的最優配置。</w:t>
      </w:r>
    </w:p>
    <w:p w14:paraId="269AD339" w14:textId="77777777" w:rsidR="00512832" w:rsidRDefault="00512832">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34A892C7" w14:textId="3D122E0B" w:rsidR="00C97F48" w:rsidRDefault="00101530">
      <w:pPr>
        <w:widowControl/>
        <w:rPr>
          <w:rFonts w:ascii="Times New Roman" w:eastAsia="標楷體" w:hAnsi="Times New Roman" w:cs="Times New Roman"/>
          <w:sz w:val="28"/>
          <w:szCs w:val="28"/>
        </w:rPr>
      </w:pPr>
      <w:r>
        <w:rPr>
          <w:rFonts w:ascii="Times New Roman" w:eastAsia="標楷體" w:hAnsi="Times New Roman" w:cs="Times New Roman" w:hint="eastAsia"/>
          <w:sz w:val="28"/>
          <w:szCs w:val="28"/>
        </w:rPr>
        <w:lastRenderedPageBreak/>
        <w:t>結果</w:t>
      </w:r>
    </w:p>
    <w:p w14:paraId="72C0665D" w14:textId="571AA7EA" w:rsidR="00241E55" w:rsidRDefault="00241E55">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3364375E" w14:textId="001CFA71" w:rsidR="00523799" w:rsidRDefault="00523799" w:rsidP="00512832">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lastRenderedPageBreak/>
        <w:t>效能評估</w:t>
      </w:r>
    </w:p>
    <w:p w14:paraId="3E5016D6"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為全面且客觀地評估各預測模型之效能，本研究採用多維度的評估指標。考量到法律判決中「勝訴」、「敗訴」及「部分勝訴</w:t>
      </w:r>
      <w:r w:rsidRPr="00523799">
        <w:rPr>
          <w:rFonts w:ascii="Times New Roman" w:eastAsia="標楷體" w:hAnsi="Times New Roman" w:cs="Times New Roman"/>
          <w:sz w:val="28"/>
          <w:szCs w:val="28"/>
        </w:rPr>
        <w:t>/</w:t>
      </w:r>
      <w:r w:rsidRPr="00523799">
        <w:rPr>
          <w:rFonts w:ascii="Times New Roman" w:eastAsia="標楷體" w:hAnsi="Times New Roman" w:cs="Times New Roman"/>
          <w:sz w:val="28"/>
          <w:szCs w:val="28"/>
        </w:rPr>
        <w:t>敗訴」之樣本分佈不均（類別不平衡），本研究除計算整體指標外，亦針對各類別分別進行效能分析：</w:t>
      </w:r>
    </w:p>
    <w:p w14:paraId="2188D354" w14:textId="7C22758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1. </w:t>
      </w:r>
      <w:r w:rsidRPr="00523799">
        <w:rPr>
          <w:rFonts w:ascii="Times New Roman" w:eastAsia="標楷體" w:hAnsi="Times New Roman" w:cs="Times New Roman"/>
          <w:b/>
          <w:bCs/>
          <w:sz w:val="28"/>
          <w:szCs w:val="28"/>
        </w:rPr>
        <w:t>準確率</w:t>
      </w:r>
      <w:r w:rsidRPr="00523799">
        <w:rPr>
          <w:rFonts w:ascii="Times New Roman" w:eastAsia="標楷體" w:hAnsi="Times New Roman" w:cs="Times New Roman"/>
          <w:b/>
          <w:bCs/>
          <w:sz w:val="28"/>
          <w:szCs w:val="28"/>
        </w:rPr>
        <w:t xml:space="preserve"> </w:t>
      </w:r>
      <w:r w:rsidR="000E2DE2">
        <w:rPr>
          <w:rFonts w:ascii="Times New Roman" w:eastAsia="標楷體" w:hAnsi="Times New Roman" w:cs="Times New Roman"/>
          <w:b/>
          <w:bCs/>
          <w:sz w:val="28"/>
          <w:szCs w:val="28"/>
        </w:rPr>
        <w:t>（</w:t>
      </w:r>
      <w:r w:rsidRPr="00523799">
        <w:rPr>
          <w:rFonts w:ascii="Times New Roman" w:eastAsia="標楷體" w:hAnsi="Times New Roman" w:cs="Times New Roman"/>
          <w:b/>
          <w:bCs/>
          <w:sz w:val="28"/>
          <w:szCs w:val="28"/>
        </w:rPr>
        <w:t>Accuracy</w:t>
      </w:r>
      <w:r w:rsidR="000E2DE2">
        <w:rPr>
          <w:rFonts w:ascii="Times New Roman" w:eastAsia="標楷體" w:hAnsi="Times New Roman" w:cs="Times New Roman"/>
          <w:b/>
          <w:bCs/>
          <w:sz w:val="28"/>
          <w:szCs w:val="28"/>
        </w:rPr>
        <w:t>）</w:t>
      </w:r>
    </w:p>
    <w:p w14:paraId="19201137"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準確率衡量模型對整體案件正確分類之比例。計算公式如下：</w:t>
      </w:r>
    </w:p>
    <w:p w14:paraId="43F78CCB" w14:textId="34B6B327" w:rsidR="00523799" w:rsidRPr="00523799" w:rsidRDefault="00523799" w:rsidP="008613E4">
      <w:pPr>
        <w:outlineLvl w:val="0"/>
        <w:rPr>
          <w:rFonts w:ascii="Times New Roman" w:eastAsia="標楷體" w:hAnsi="Times New Roman" w:cs="Times New Roman"/>
          <w:sz w:val="28"/>
          <w:szCs w:val="28"/>
        </w:rPr>
      </w:pPr>
      <m:oMathPara>
        <m:oMath>
          <m:r>
            <w:rPr>
              <w:rFonts w:ascii="Cambria Math" w:eastAsia="標楷體" w:hAnsi="Cambria Math" w:cs="Times New Roman" w:hint="eastAsia"/>
              <w:sz w:val="28"/>
              <w:szCs w:val="28"/>
            </w:rPr>
            <m:t>A</m:t>
          </m:r>
          <m:r>
            <w:rPr>
              <w:rFonts w:ascii="Cambria Math" w:eastAsia="標楷體" w:hAnsi="Cambria Math" w:cs="Times New Roman"/>
              <w:sz w:val="28"/>
              <w:szCs w:val="28"/>
            </w:rPr>
            <m:t>ccuracy=</m:t>
          </m:r>
          <m:f>
            <m:fPr>
              <m:ctrlPr>
                <w:rPr>
                  <w:rFonts w:ascii="Cambria Math" w:eastAsia="標楷體" w:hAnsi="Cambria Math" w:cs="Times New Roman"/>
                  <w:i/>
                  <w:sz w:val="28"/>
                  <w:szCs w:val="28"/>
                </w:rPr>
              </m:ctrlPr>
            </m:fPr>
            <m:num>
              <m:r>
                <w:rPr>
                  <w:rFonts w:ascii="Cambria Math" w:eastAsia="標楷體" w:hAnsi="Cambria Math" w:cs="Times New Roman"/>
                  <w:sz w:val="28"/>
                  <w:szCs w:val="28"/>
                </w:rPr>
                <m:t>TP+TN</m:t>
              </m:r>
            </m:num>
            <m:den>
              <m:r>
                <w:rPr>
                  <w:rFonts w:ascii="Cambria Math" w:eastAsia="標楷體" w:hAnsi="Cambria Math" w:cs="Times New Roman"/>
                  <w:sz w:val="28"/>
                  <w:szCs w:val="28"/>
                </w:rPr>
                <m:t>TP+YN+FP+FN</m:t>
              </m:r>
            </m:den>
          </m:f>
        </m:oMath>
      </m:oMathPara>
    </w:p>
    <w:p w14:paraId="0E033C8B"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雖為最直觀之指標，但在類別分佈不平衡的智財裁判數據中，準確率可能產生誤導，故本研究僅將其作為初步參考。</w:t>
      </w:r>
    </w:p>
    <w:p w14:paraId="2D3666DB" w14:textId="18706204"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2. </w:t>
      </w:r>
      <w:r w:rsidRPr="00523799">
        <w:rPr>
          <w:rFonts w:ascii="Times New Roman" w:eastAsia="標楷體" w:hAnsi="Times New Roman" w:cs="Times New Roman"/>
          <w:b/>
          <w:bCs/>
          <w:sz w:val="28"/>
          <w:szCs w:val="28"/>
        </w:rPr>
        <w:t>精確率</w:t>
      </w:r>
      <w:r w:rsidRPr="00523799">
        <w:rPr>
          <w:rFonts w:ascii="Times New Roman" w:eastAsia="標楷體" w:hAnsi="Times New Roman" w:cs="Times New Roman"/>
          <w:b/>
          <w:bCs/>
          <w:sz w:val="28"/>
          <w:szCs w:val="28"/>
        </w:rPr>
        <w:t xml:space="preserve"> </w:t>
      </w:r>
      <w:r w:rsidR="000E2DE2">
        <w:rPr>
          <w:rFonts w:ascii="Times New Roman" w:eastAsia="標楷體" w:hAnsi="Times New Roman" w:cs="Times New Roman"/>
          <w:b/>
          <w:bCs/>
          <w:sz w:val="28"/>
          <w:szCs w:val="28"/>
        </w:rPr>
        <w:t>（</w:t>
      </w:r>
      <w:r w:rsidRPr="00523799">
        <w:rPr>
          <w:rFonts w:ascii="Times New Roman" w:eastAsia="標楷體" w:hAnsi="Times New Roman" w:cs="Times New Roman"/>
          <w:b/>
          <w:bCs/>
          <w:sz w:val="28"/>
          <w:szCs w:val="28"/>
        </w:rPr>
        <w:t>Precision</w:t>
      </w:r>
      <w:r w:rsidR="000E2DE2">
        <w:rPr>
          <w:rFonts w:ascii="Times New Roman" w:eastAsia="標楷體" w:hAnsi="Times New Roman" w:cs="Times New Roman"/>
          <w:b/>
          <w:bCs/>
          <w:sz w:val="28"/>
          <w:szCs w:val="28"/>
        </w:rPr>
        <w:t>）</w:t>
      </w:r>
    </w:p>
    <w:p w14:paraId="1B14A88B"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精確率代表在模型預測為特定判決類別（如「勝訴」）的案件中，實際亦屬於該類別之比例。在法律實務中，高精確率意味著模型之預測結果具備較高的可靠性，能有效減少當事人對訴訟結果的錯誤期待。</w:t>
      </w:r>
    </w:p>
    <w:p w14:paraId="02928CD4" w14:textId="32288480"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3. </w:t>
      </w:r>
      <w:r w:rsidRPr="00523799">
        <w:rPr>
          <w:rFonts w:ascii="Times New Roman" w:eastAsia="標楷體" w:hAnsi="Times New Roman" w:cs="Times New Roman"/>
          <w:b/>
          <w:bCs/>
          <w:sz w:val="28"/>
          <w:szCs w:val="28"/>
        </w:rPr>
        <w:t>召回率</w:t>
      </w:r>
      <w:r w:rsidRPr="00523799">
        <w:rPr>
          <w:rFonts w:ascii="Times New Roman" w:eastAsia="標楷體" w:hAnsi="Times New Roman" w:cs="Times New Roman"/>
          <w:b/>
          <w:bCs/>
          <w:sz w:val="28"/>
          <w:szCs w:val="28"/>
        </w:rPr>
        <w:t xml:space="preserve"> </w:t>
      </w:r>
      <w:r w:rsidR="000E2DE2">
        <w:rPr>
          <w:rFonts w:ascii="Times New Roman" w:eastAsia="標楷體" w:hAnsi="Times New Roman" w:cs="Times New Roman"/>
          <w:b/>
          <w:bCs/>
          <w:sz w:val="28"/>
          <w:szCs w:val="28"/>
        </w:rPr>
        <w:t>（</w:t>
      </w:r>
      <w:r w:rsidRPr="00523799">
        <w:rPr>
          <w:rFonts w:ascii="Times New Roman" w:eastAsia="標楷體" w:hAnsi="Times New Roman" w:cs="Times New Roman"/>
          <w:b/>
          <w:bCs/>
          <w:sz w:val="28"/>
          <w:szCs w:val="28"/>
        </w:rPr>
        <w:t>Recall</w:t>
      </w:r>
      <w:r w:rsidR="000E2DE2">
        <w:rPr>
          <w:rFonts w:ascii="Times New Roman" w:eastAsia="標楷體" w:hAnsi="Times New Roman" w:cs="Times New Roman"/>
          <w:b/>
          <w:bCs/>
          <w:sz w:val="28"/>
          <w:szCs w:val="28"/>
        </w:rPr>
        <w:t>）</w:t>
      </w:r>
    </w:p>
    <w:p w14:paraId="4B315A8F"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召回率指在所有實際為某一類別的案件中，模型成功偵測並預測出的比例。高召回率代表模型能廣泛捕捉到具備特定法律特徵之案件，減少對潛在裁判結果的遺漏。</w:t>
      </w:r>
    </w:p>
    <w:p w14:paraId="3F6C0CF9"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4. F1-Score</w:t>
      </w:r>
    </w:p>
    <w:p w14:paraId="2F3A81F4"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 xml:space="preserve">F1-Score </w:t>
      </w:r>
      <w:r w:rsidRPr="00523799">
        <w:rPr>
          <w:rFonts w:ascii="Times New Roman" w:eastAsia="標楷體" w:hAnsi="Times New Roman" w:cs="Times New Roman"/>
          <w:sz w:val="28"/>
          <w:szCs w:val="28"/>
        </w:rPr>
        <w:t>為精確率與召回率之調和平均數（</w:t>
      </w:r>
      <w:r w:rsidRPr="00523799">
        <w:rPr>
          <w:rFonts w:ascii="Times New Roman" w:eastAsia="標楷體" w:hAnsi="Times New Roman" w:cs="Times New Roman"/>
          <w:sz w:val="28"/>
          <w:szCs w:val="28"/>
        </w:rPr>
        <w:t>Harmonic Mean</w:t>
      </w:r>
      <w:r w:rsidRPr="00523799">
        <w:rPr>
          <w:rFonts w:ascii="Times New Roman" w:eastAsia="標楷體" w:hAnsi="Times New Roman" w:cs="Times New Roman"/>
          <w:sz w:val="28"/>
          <w:szCs w:val="28"/>
        </w:rPr>
        <w:t>）。鑑於智慧財產權案件中「部分勝訴」樣本較為稀缺，本研究將</w:t>
      </w:r>
      <w:r w:rsidRPr="00523799">
        <w:rPr>
          <w:rFonts w:ascii="Times New Roman" w:eastAsia="標楷體" w:hAnsi="Times New Roman" w:cs="Times New Roman"/>
          <w:sz w:val="28"/>
          <w:szCs w:val="28"/>
        </w:rPr>
        <w:t xml:space="preserve"> F1-Score </w:t>
      </w:r>
      <w:r w:rsidRPr="00523799">
        <w:rPr>
          <w:rFonts w:ascii="Times New Roman" w:eastAsia="標楷體" w:hAnsi="Times New Roman" w:cs="Times New Roman"/>
          <w:sz w:val="28"/>
          <w:szCs w:val="28"/>
        </w:rPr>
        <w:t>視為核心評估指標，藉此平衡精確</w:t>
      </w:r>
      <w:r w:rsidRPr="00523799">
        <w:rPr>
          <w:rFonts w:ascii="Times New Roman" w:eastAsia="標楷體" w:hAnsi="Times New Roman" w:cs="Times New Roman"/>
          <w:sz w:val="28"/>
          <w:szCs w:val="28"/>
        </w:rPr>
        <w:lastRenderedPageBreak/>
        <w:t>度與涵蓋面，確保模型在各判決類別上皆具備穩健的辨識能力。</w:t>
      </w:r>
    </w:p>
    <w:p w14:paraId="72982AC8" w14:textId="7CA0D940"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5. </w:t>
      </w:r>
      <w:r w:rsidRPr="00523799">
        <w:rPr>
          <w:rFonts w:ascii="Times New Roman" w:eastAsia="標楷體" w:hAnsi="Times New Roman" w:cs="Times New Roman"/>
          <w:b/>
          <w:bCs/>
          <w:sz w:val="28"/>
          <w:szCs w:val="28"/>
        </w:rPr>
        <w:t>混淆矩陣</w:t>
      </w:r>
      <w:r w:rsidRPr="00523799">
        <w:rPr>
          <w:rFonts w:ascii="Times New Roman" w:eastAsia="標楷體" w:hAnsi="Times New Roman" w:cs="Times New Roman"/>
          <w:b/>
          <w:bCs/>
          <w:sz w:val="28"/>
          <w:szCs w:val="28"/>
        </w:rPr>
        <w:t xml:space="preserve"> </w:t>
      </w:r>
      <w:r w:rsidR="000E2DE2">
        <w:rPr>
          <w:rFonts w:ascii="Times New Roman" w:eastAsia="標楷體" w:hAnsi="Times New Roman" w:cs="Times New Roman"/>
          <w:b/>
          <w:bCs/>
          <w:sz w:val="28"/>
          <w:szCs w:val="28"/>
        </w:rPr>
        <w:t>（</w:t>
      </w:r>
      <w:r w:rsidRPr="00523799">
        <w:rPr>
          <w:rFonts w:ascii="Times New Roman" w:eastAsia="標楷體" w:hAnsi="Times New Roman" w:cs="Times New Roman"/>
          <w:b/>
          <w:bCs/>
          <w:sz w:val="28"/>
          <w:szCs w:val="28"/>
        </w:rPr>
        <w:t>Confusion Matrix</w:t>
      </w:r>
      <w:r w:rsidR="000E2DE2">
        <w:rPr>
          <w:rFonts w:ascii="Times New Roman" w:eastAsia="標楷體" w:hAnsi="Times New Roman" w:cs="Times New Roman"/>
          <w:b/>
          <w:bCs/>
          <w:sz w:val="28"/>
          <w:szCs w:val="28"/>
        </w:rPr>
        <w:t>）</w:t>
      </w:r>
    </w:p>
    <w:p w14:paraId="52AE1CE3"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透過混淆矩陣將模型的預測結果與實際標籤進行交叉比對。透過視覺化矩陣，本研究能具體觀察模型在「勝訴」與「部分勝訴」等模糊地帶之誤判傾向，進而從法理與文本特徵角度分析模型分類偏誤之成因，提供更具深度的誤差解析（</w:t>
      </w:r>
      <w:r w:rsidRPr="00523799">
        <w:rPr>
          <w:rFonts w:ascii="Times New Roman" w:eastAsia="標楷體" w:hAnsi="Times New Roman" w:cs="Times New Roman"/>
          <w:sz w:val="28"/>
          <w:szCs w:val="28"/>
        </w:rPr>
        <w:t>Error Analysis</w:t>
      </w:r>
      <w:r w:rsidRPr="00523799">
        <w:rPr>
          <w:rFonts w:ascii="Times New Roman" w:eastAsia="標楷體" w:hAnsi="Times New Roman" w:cs="Times New Roman"/>
          <w:sz w:val="28"/>
          <w:szCs w:val="28"/>
        </w:rPr>
        <w:t>）。</w:t>
      </w:r>
    </w:p>
    <w:p w14:paraId="084805A3" w14:textId="77777777" w:rsidR="00523799" w:rsidRPr="00523799" w:rsidRDefault="00523799" w:rsidP="008613E4">
      <w:pPr>
        <w:outlineLvl w:val="0"/>
        <w:rPr>
          <w:rFonts w:ascii="Times New Roman" w:eastAsia="標楷體" w:hAnsi="Times New Roman" w:cs="Times New Roman"/>
          <w:sz w:val="28"/>
          <w:szCs w:val="28"/>
        </w:rPr>
      </w:pPr>
    </w:p>
    <w:p w14:paraId="7BC6E990" w14:textId="7E5783EB" w:rsidR="00292760" w:rsidRDefault="00292760">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75EC764" w14:textId="48C52492" w:rsidR="00292760" w:rsidRDefault="00292760">
      <w:pPr>
        <w:widowControl/>
        <w:rPr>
          <w:rFonts w:ascii="Times New Roman" w:eastAsia="標楷體" w:hAnsi="Times New Roman" w:cs="Times New Roman"/>
          <w:sz w:val="28"/>
          <w:szCs w:val="28"/>
        </w:rPr>
      </w:pPr>
      <w:r>
        <w:rPr>
          <w:rFonts w:ascii="Times New Roman" w:eastAsia="標楷體" w:hAnsi="Times New Roman" w:cs="Times New Roman"/>
          <w:sz w:val="28"/>
          <w:szCs w:val="28"/>
        </w:rPr>
        <w:lastRenderedPageBreak/>
        <w:br w:type="page"/>
      </w:r>
    </w:p>
    <w:p w14:paraId="4D442E97" w14:textId="54D23D3F" w:rsidR="00CC5EA4" w:rsidRDefault="00292760" w:rsidP="008613E4">
      <w:pPr>
        <w:outlineLvl w:val="0"/>
        <w:rPr>
          <w:rFonts w:ascii="Times New Roman" w:eastAsia="標楷體" w:hAnsi="Times New Roman" w:cs="Times New Roman"/>
          <w:sz w:val="28"/>
          <w:szCs w:val="28"/>
        </w:rPr>
      </w:pPr>
      <w:r>
        <w:rPr>
          <w:rFonts w:ascii="Times New Roman" w:eastAsia="標楷體" w:hAnsi="Times New Roman" w:cs="Times New Roman"/>
          <w:sz w:val="28"/>
          <w:szCs w:val="28"/>
        </w:rPr>
        <w:lastRenderedPageBreak/>
        <w:t>R</w:t>
      </w:r>
      <w:r>
        <w:rPr>
          <w:rFonts w:ascii="Times New Roman" w:eastAsia="標楷體" w:hAnsi="Times New Roman" w:cs="Times New Roman" w:hint="eastAsia"/>
          <w:sz w:val="28"/>
          <w:szCs w:val="28"/>
        </w:rPr>
        <w:t>eferences</w:t>
      </w:r>
    </w:p>
    <w:p w14:paraId="7C08F601" w14:textId="61054387" w:rsidR="00AB44DB" w:rsidRDefault="00AB44DB" w:rsidP="00AB44DB">
      <w:pPr>
        <w:pStyle w:val="a9"/>
        <w:numPr>
          <w:ilvl w:val="0"/>
          <w:numId w:val="10"/>
        </w:numPr>
        <w:outlineLvl w:val="0"/>
        <w:rPr>
          <w:rFonts w:ascii="Times New Roman" w:eastAsia="標楷體" w:hAnsi="Times New Roman" w:cs="Times New Roman"/>
          <w:sz w:val="28"/>
          <w:szCs w:val="28"/>
        </w:rPr>
      </w:pPr>
      <w:r w:rsidRPr="00AB44DB">
        <w:rPr>
          <w:rFonts w:ascii="Times New Roman" w:eastAsia="標楷體" w:hAnsi="Times New Roman" w:cs="Times New Roman" w:hint="eastAsia"/>
          <w:sz w:val="28"/>
          <w:szCs w:val="28"/>
        </w:rPr>
        <w:t>台灣法律經濟學實證的判決資料－介紹與應用</w:t>
      </w:r>
      <w:hyperlink r:id="rId9" w:history="1">
        <w:r w:rsidR="007730BA" w:rsidRPr="009C5A75">
          <w:rPr>
            <w:rStyle w:val="af0"/>
            <w:rFonts w:ascii="Times New Roman" w:eastAsia="標楷體" w:hAnsi="Times New Roman" w:cs="Times New Roman"/>
            <w:sz w:val="28"/>
            <w:szCs w:val="28"/>
          </w:rPr>
          <w:t>https://www.airitilibrary.com/Article/Detail/1018161x-201912-201912300022-201912300022-533-546</w:t>
        </w:r>
      </w:hyperlink>
    </w:p>
    <w:p w14:paraId="2BE73BF3" w14:textId="77777777" w:rsidR="007730BA" w:rsidRDefault="007730BA" w:rsidP="007730BA">
      <w:pPr>
        <w:pStyle w:val="a9"/>
        <w:numPr>
          <w:ilvl w:val="0"/>
          <w:numId w:val="10"/>
        </w:numPr>
        <w:outlineLvl w:val="0"/>
        <w:rPr>
          <w:rFonts w:ascii="Times New Roman" w:eastAsia="標楷體" w:hAnsi="Times New Roman" w:cs="Times New Roman"/>
          <w:sz w:val="28"/>
          <w:szCs w:val="28"/>
        </w:rPr>
      </w:pPr>
      <w:r w:rsidRPr="007730BA">
        <w:rPr>
          <w:rFonts w:ascii="Times New Roman" w:eastAsia="標楷體" w:hAnsi="Times New Roman" w:cs="Times New Roman" w:hint="eastAsia"/>
          <w:sz w:val="28"/>
          <w:szCs w:val="28"/>
        </w:rPr>
        <w:t>我國專利法上均等論適用之實證研究：</w:t>
      </w:r>
      <w:r w:rsidRPr="007730BA">
        <w:rPr>
          <w:rFonts w:ascii="Times New Roman" w:eastAsia="標楷體" w:hAnsi="Times New Roman" w:cs="Times New Roman" w:hint="eastAsia"/>
          <w:sz w:val="28"/>
          <w:szCs w:val="28"/>
        </w:rPr>
        <w:t xml:space="preserve"> </w:t>
      </w:r>
      <w:r w:rsidRPr="007730BA">
        <w:rPr>
          <w:rFonts w:ascii="Times New Roman" w:eastAsia="標楷體" w:hAnsi="Times New Roman" w:cs="Times New Roman" w:hint="eastAsia"/>
          <w:sz w:val="28"/>
          <w:szCs w:val="28"/>
        </w:rPr>
        <w:t>是變奏還是變調？</w:t>
      </w:r>
      <w:hyperlink r:id="rId10" w:history="1">
        <w:r w:rsidRPr="009C5A75">
          <w:rPr>
            <w:rStyle w:val="af0"/>
            <w:rFonts w:ascii="Times New Roman" w:eastAsia="標楷體" w:hAnsi="Times New Roman" w:cs="Times New Roman"/>
            <w:sz w:val="28"/>
            <w:szCs w:val="28"/>
          </w:rPr>
          <w:t>https://lawdata.com.tw/tw/doi/?doi=10.3966/181130952013121002001</w:t>
        </w:r>
      </w:hyperlink>
    </w:p>
    <w:p w14:paraId="27761DDD" w14:textId="069D2CC7" w:rsidR="007730BA" w:rsidRDefault="00483EF1" w:rsidP="007730BA">
      <w:pPr>
        <w:pStyle w:val="a9"/>
        <w:numPr>
          <w:ilvl w:val="0"/>
          <w:numId w:val="10"/>
        </w:numPr>
        <w:outlineLvl w:val="0"/>
        <w:rPr>
          <w:rFonts w:ascii="Times New Roman" w:eastAsia="標楷體" w:hAnsi="Times New Roman" w:cs="Times New Roman"/>
          <w:sz w:val="28"/>
          <w:szCs w:val="28"/>
        </w:rPr>
      </w:pPr>
      <w:r w:rsidRPr="00483EF1">
        <w:rPr>
          <w:rFonts w:ascii="Times New Roman" w:eastAsia="標楷體" w:hAnsi="Times New Roman" w:cs="Times New Roman" w:hint="eastAsia"/>
          <w:sz w:val="28"/>
          <w:szCs w:val="28"/>
        </w:rPr>
        <w:t>從共同侵權行為理論分析方法</w:t>
      </w:r>
      <w:r w:rsidRPr="00483EF1">
        <w:rPr>
          <w:rFonts w:ascii="Times New Roman" w:eastAsia="標楷體" w:hAnsi="Times New Roman" w:cs="Times New Roman" w:hint="eastAsia"/>
          <w:sz w:val="28"/>
          <w:szCs w:val="28"/>
        </w:rPr>
        <w:t xml:space="preserve"> </w:t>
      </w:r>
      <w:r w:rsidRPr="00483EF1">
        <w:rPr>
          <w:rFonts w:ascii="Times New Roman" w:eastAsia="標楷體" w:hAnsi="Times New Roman" w:cs="Times New Roman" w:hint="eastAsia"/>
          <w:sz w:val="28"/>
          <w:szCs w:val="28"/>
        </w:rPr>
        <w:t>請求項之複數執行者問題—以一件行動支付類金融科技專利為例</w:t>
      </w:r>
      <w:r>
        <w:rPr>
          <w:rFonts w:ascii="Times New Roman" w:eastAsia="標楷體" w:hAnsi="Times New Roman" w:cs="Times New Roman"/>
          <w:sz w:val="28"/>
          <w:szCs w:val="28"/>
        </w:rPr>
        <w:br/>
      </w:r>
      <w:hyperlink r:id="rId11" w:history="1">
        <w:r w:rsidRPr="009C5A75">
          <w:rPr>
            <w:rStyle w:val="af0"/>
            <w:rFonts w:ascii="Times New Roman" w:eastAsia="標楷體" w:hAnsi="Times New Roman" w:cs="Times New Roman"/>
            <w:sz w:val="28"/>
            <w:szCs w:val="28"/>
          </w:rPr>
          <w:t>https://lawdata.com.tw/File/DC/Journal/J441/A00700047_001.pdf</w:t>
        </w:r>
      </w:hyperlink>
    </w:p>
    <w:p w14:paraId="2ABF8BAB" w14:textId="76067BC1" w:rsidR="00483EF1" w:rsidRDefault="00F002F7" w:rsidP="007730BA">
      <w:pPr>
        <w:pStyle w:val="a9"/>
        <w:numPr>
          <w:ilvl w:val="0"/>
          <w:numId w:val="10"/>
        </w:numPr>
        <w:outlineLvl w:val="0"/>
        <w:rPr>
          <w:rFonts w:ascii="Times New Roman" w:eastAsia="標楷體" w:hAnsi="Times New Roman" w:cs="Times New Roman"/>
          <w:sz w:val="28"/>
          <w:szCs w:val="28"/>
        </w:rPr>
      </w:pPr>
      <w:r w:rsidRPr="00F002F7">
        <w:rPr>
          <w:rFonts w:ascii="Times New Roman" w:eastAsia="標楷體" w:hAnsi="Times New Roman" w:cs="Times New Roman" w:hint="eastAsia"/>
          <w:sz w:val="28"/>
          <w:szCs w:val="28"/>
        </w:rPr>
        <w:t>從數據一探智慧財產法院運作實況</w:t>
      </w:r>
      <w:r w:rsidRPr="00F002F7">
        <w:rPr>
          <w:rFonts w:ascii="Times New Roman" w:eastAsia="標楷體" w:hAnsi="Times New Roman" w:cs="Times New Roman" w:hint="eastAsia"/>
          <w:sz w:val="28"/>
          <w:szCs w:val="28"/>
        </w:rPr>
        <w:t xml:space="preserve"> </w:t>
      </w:r>
      <w:r w:rsidRPr="00F002F7">
        <w:rPr>
          <w:rFonts w:ascii="Times New Roman" w:eastAsia="標楷體" w:hAnsi="Times New Roman" w:cs="Times New Roman" w:hint="eastAsia"/>
          <w:sz w:val="28"/>
          <w:szCs w:val="28"/>
        </w:rPr>
        <w:t>–</w:t>
      </w:r>
      <w:r w:rsidRPr="00F002F7">
        <w:rPr>
          <w:rFonts w:ascii="Times New Roman" w:eastAsia="標楷體" w:hAnsi="Times New Roman" w:cs="Times New Roman" w:hint="eastAsia"/>
          <w:sz w:val="28"/>
          <w:szCs w:val="28"/>
        </w:rPr>
        <w:t xml:space="preserve"> </w:t>
      </w:r>
      <w:r w:rsidRPr="00F002F7">
        <w:rPr>
          <w:rFonts w:ascii="Times New Roman" w:eastAsia="標楷體" w:hAnsi="Times New Roman" w:cs="Times New Roman" w:hint="eastAsia"/>
          <w:sz w:val="28"/>
          <w:szCs w:val="28"/>
        </w:rPr>
        <w:t>專題三</w:t>
      </w:r>
      <w:r w:rsidRPr="00F002F7">
        <w:rPr>
          <w:rFonts w:ascii="Times New Roman" w:eastAsia="標楷體" w:hAnsi="Times New Roman" w:cs="Times New Roman" w:hint="eastAsia"/>
          <w:sz w:val="28"/>
          <w:szCs w:val="28"/>
        </w:rPr>
        <w:t xml:space="preserve"> </w:t>
      </w:r>
      <w:r w:rsidRPr="00F002F7">
        <w:rPr>
          <w:rFonts w:ascii="Times New Roman" w:eastAsia="標楷體" w:hAnsi="Times New Roman" w:cs="Times New Roman" w:hint="eastAsia"/>
          <w:sz w:val="28"/>
          <w:szCs w:val="28"/>
        </w:rPr>
        <w:t>民事訴訟</w:t>
      </w:r>
      <w:hyperlink r:id="rId12" w:history="1">
        <w:r w:rsidRPr="009C5A75">
          <w:rPr>
            <w:rStyle w:val="af0"/>
            <w:rFonts w:ascii="Times New Roman" w:eastAsia="標楷體" w:hAnsi="Times New Roman" w:cs="Times New Roman"/>
            <w:sz w:val="28"/>
            <w:szCs w:val="28"/>
          </w:rPr>
          <w:t>https://winklerpartners.com/zh/%E5%BE%9E%E6%95%B8%E6%93%9A%E4%B8%80%E6%8E%A2%E6%99%BA%E6%85%A7%E8%B2%A1%E7%94%A2%E6%B3%95%E9%99%A2%E9%81%8B%E4%BD%9C%E5%AF%A6%E6%B3%81-%E5%B0%88%E9%A1%8C%E4%B8%89-%E6%B0%91%E4%BA%8B/</w:t>
        </w:r>
      </w:hyperlink>
    </w:p>
    <w:p w14:paraId="0DB65EA7" w14:textId="4845AE03" w:rsidR="00F002F7" w:rsidRDefault="00C5051C" w:rsidP="007730BA">
      <w:pPr>
        <w:pStyle w:val="a9"/>
        <w:numPr>
          <w:ilvl w:val="0"/>
          <w:numId w:val="10"/>
        </w:numPr>
        <w:outlineLvl w:val="0"/>
        <w:rPr>
          <w:rFonts w:ascii="Times New Roman" w:eastAsia="標楷體" w:hAnsi="Times New Roman" w:cs="Times New Roman"/>
          <w:sz w:val="28"/>
          <w:szCs w:val="28"/>
        </w:rPr>
      </w:pPr>
      <w:r w:rsidRPr="00C5051C">
        <w:rPr>
          <w:rFonts w:ascii="Times New Roman" w:eastAsia="標楷體" w:hAnsi="Times New Roman" w:cs="Times New Roman" w:hint="eastAsia"/>
          <w:sz w:val="28"/>
          <w:szCs w:val="28"/>
        </w:rPr>
        <w:t>如何处理标签不平衡问题</w:t>
      </w:r>
      <w:hyperlink r:id="rId13" w:history="1">
        <w:r w:rsidRPr="009C5A75">
          <w:rPr>
            <w:rStyle w:val="af0"/>
            <w:rFonts w:ascii="Times New Roman" w:eastAsia="標楷體" w:hAnsi="Times New Roman" w:cs="Times New Roman"/>
            <w:sz w:val="28"/>
            <w:szCs w:val="28"/>
          </w:rPr>
          <w:t>https://blog.csdn.net/superY_26/article/details/114844370</w:t>
        </w:r>
      </w:hyperlink>
    </w:p>
    <w:p w14:paraId="2E6ECAF6" w14:textId="7B4C15AE" w:rsidR="00C5051C" w:rsidRDefault="004E796F" w:rsidP="007730BA">
      <w:pPr>
        <w:pStyle w:val="a9"/>
        <w:numPr>
          <w:ilvl w:val="0"/>
          <w:numId w:val="10"/>
        </w:numPr>
        <w:outlineLvl w:val="0"/>
        <w:rPr>
          <w:rFonts w:ascii="Times New Roman" w:eastAsia="標楷體" w:hAnsi="Times New Roman" w:cs="Times New Roman"/>
          <w:sz w:val="28"/>
          <w:szCs w:val="28"/>
        </w:rPr>
      </w:pPr>
      <w:r w:rsidRPr="004E796F">
        <w:rPr>
          <w:rFonts w:ascii="Times New Roman" w:eastAsia="標楷體" w:hAnsi="Times New Roman" w:cs="Times New Roman"/>
          <w:sz w:val="28"/>
          <w:szCs w:val="28"/>
        </w:rPr>
        <w:t xml:space="preserve">ckiplab/ckip-transformers: CKIP Transformers </w:t>
      </w:r>
      <w:r>
        <w:rPr>
          <w:rFonts w:ascii="Times New Roman" w:eastAsia="標楷體" w:hAnsi="Times New Roman" w:cs="Times New Roman"/>
          <w:sz w:val="28"/>
          <w:szCs w:val="28"/>
        </w:rPr>
        <w:t>–</w:t>
      </w:r>
      <w:r w:rsidRPr="004E796F">
        <w:rPr>
          <w:rFonts w:ascii="Times New Roman" w:eastAsia="標楷體" w:hAnsi="Times New Roman" w:cs="Times New Roman"/>
          <w:sz w:val="28"/>
          <w:szCs w:val="28"/>
        </w:rPr>
        <w:t xml:space="preserve"> GitHub</w:t>
      </w:r>
      <w:r>
        <w:rPr>
          <w:rFonts w:ascii="Times New Roman" w:eastAsia="標楷體" w:hAnsi="Times New Roman" w:cs="Times New Roman" w:hint="eastAsia"/>
          <w:sz w:val="28"/>
          <w:szCs w:val="28"/>
        </w:rPr>
        <w:t xml:space="preserve"> </w:t>
      </w:r>
      <w:hyperlink r:id="rId14" w:history="1">
        <w:r w:rsidRPr="009C5A75">
          <w:rPr>
            <w:rStyle w:val="af0"/>
            <w:rFonts w:ascii="Times New Roman" w:eastAsia="標楷體" w:hAnsi="Times New Roman" w:cs="Times New Roman"/>
            <w:sz w:val="28"/>
            <w:szCs w:val="28"/>
          </w:rPr>
          <w:t>https://github.com/ckiplab/ckip-transformers</w:t>
        </w:r>
      </w:hyperlink>
    </w:p>
    <w:p w14:paraId="35506C85" w14:textId="76D0D655" w:rsidR="004E796F" w:rsidRDefault="00751AA0" w:rsidP="007730BA">
      <w:pPr>
        <w:pStyle w:val="a9"/>
        <w:numPr>
          <w:ilvl w:val="0"/>
          <w:numId w:val="10"/>
        </w:numPr>
        <w:outlineLvl w:val="0"/>
        <w:rPr>
          <w:rFonts w:ascii="Times New Roman" w:eastAsia="標楷體" w:hAnsi="Times New Roman" w:cs="Times New Roman"/>
          <w:sz w:val="28"/>
          <w:szCs w:val="28"/>
        </w:rPr>
      </w:pPr>
      <w:r w:rsidRPr="00751AA0">
        <w:rPr>
          <w:rFonts w:ascii="Times New Roman" w:eastAsia="標楷體" w:hAnsi="Times New Roman" w:cs="Times New Roman"/>
          <w:sz w:val="28"/>
          <w:szCs w:val="28"/>
        </w:rPr>
        <w:t>Natural Language Processing for the Legal Domain: A Survey of Tasks, Datasets, Models, and Challenges</w:t>
      </w:r>
      <w:r>
        <w:rPr>
          <w:rFonts w:ascii="Times New Roman" w:eastAsia="標楷體" w:hAnsi="Times New Roman" w:cs="Times New Roman" w:hint="eastAsia"/>
          <w:sz w:val="28"/>
          <w:szCs w:val="28"/>
        </w:rPr>
        <w:t xml:space="preserve"> </w:t>
      </w:r>
      <w:hyperlink r:id="rId15" w:history="1">
        <w:r w:rsidRPr="00CA65A5">
          <w:rPr>
            <w:rStyle w:val="af0"/>
            <w:rFonts w:ascii="Times New Roman" w:eastAsia="標楷體" w:hAnsi="Times New Roman" w:cs="Times New Roman"/>
            <w:sz w:val="28"/>
            <w:szCs w:val="28"/>
          </w:rPr>
          <w:t>https://www.researchgate.net/publication/385352804_Natural_Language_Processing_for_the_Legal_Domain_A_Survey_of_Tasks_Datasets_Models_and_Challenges</w:t>
        </w:r>
      </w:hyperlink>
    </w:p>
    <w:p w14:paraId="34657F21" w14:textId="3DDA69E0" w:rsidR="00751AA0" w:rsidRDefault="000E2DE2" w:rsidP="007730BA">
      <w:pPr>
        <w:pStyle w:val="a9"/>
        <w:numPr>
          <w:ilvl w:val="0"/>
          <w:numId w:val="10"/>
        </w:numPr>
        <w:outlineLvl w:val="0"/>
        <w:rPr>
          <w:rFonts w:ascii="Times New Roman" w:eastAsia="標楷體" w:hAnsi="Times New Roman" w:cs="Times New Roman"/>
          <w:sz w:val="28"/>
          <w:szCs w:val="28"/>
        </w:rPr>
      </w:pPr>
      <w:r w:rsidRPr="000E2DE2">
        <w:rPr>
          <w:rFonts w:ascii="Times New Roman" w:eastAsia="標楷體" w:hAnsi="Times New Roman" w:cs="Times New Roman"/>
          <w:sz w:val="28"/>
          <w:szCs w:val="28"/>
        </w:rPr>
        <w:t>Emotional Judges and Unlucky Juveniles</w:t>
      </w:r>
      <w:r>
        <w:rPr>
          <w:rFonts w:ascii="Times New Roman" w:eastAsia="標楷體" w:hAnsi="Times New Roman" w:cs="Times New Roman" w:hint="eastAsia"/>
          <w:sz w:val="28"/>
          <w:szCs w:val="28"/>
        </w:rPr>
        <w:t xml:space="preserve"> </w:t>
      </w:r>
      <w:hyperlink r:id="rId16" w:history="1">
        <w:r w:rsidRPr="00CA65A5">
          <w:rPr>
            <w:rStyle w:val="af0"/>
            <w:rFonts w:ascii="Times New Roman" w:eastAsia="標楷體" w:hAnsi="Times New Roman" w:cs="Times New Roman"/>
            <w:sz w:val="28"/>
            <w:szCs w:val="28"/>
          </w:rPr>
          <w:t>https://www.aeaweb.org/articles?id=10.1257/app.20160390</w:t>
        </w:r>
      </w:hyperlink>
    </w:p>
    <w:p w14:paraId="4F381AE1" w14:textId="2EC2AA55" w:rsidR="000E2DE2" w:rsidRDefault="000E2DE2" w:rsidP="007730BA">
      <w:pPr>
        <w:pStyle w:val="a9"/>
        <w:numPr>
          <w:ilvl w:val="0"/>
          <w:numId w:val="10"/>
        </w:numPr>
        <w:outlineLvl w:val="0"/>
        <w:rPr>
          <w:rFonts w:ascii="Times New Roman" w:eastAsia="標楷體" w:hAnsi="Times New Roman" w:cs="Times New Roman"/>
          <w:sz w:val="28"/>
          <w:szCs w:val="28"/>
        </w:rPr>
      </w:pPr>
      <w:r w:rsidRPr="000E2DE2">
        <w:rPr>
          <w:rFonts w:ascii="Times New Roman" w:eastAsia="標楷體" w:hAnsi="Times New Roman" w:cs="Times New Roman"/>
          <w:sz w:val="28"/>
          <w:szCs w:val="28"/>
        </w:rPr>
        <w:t>Temperature and Decisions: Evidence from 207,000 Court Cases</w:t>
      </w:r>
      <w:r>
        <w:rPr>
          <w:rFonts w:ascii="Times New Roman" w:eastAsia="標楷體" w:hAnsi="Times New Roman" w:cs="Times New Roman" w:hint="eastAsia"/>
          <w:sz w:val="28"/>
          <w:szCs w:val="28"/>
        </w:rPr>
        <w:t xml:space="preserve"> </w:t>
      </w:r>
      <w:hyperlink r:id="rId17" w:history="1">
        <w:r w:rsidRPr="00CA65A5">
          <w:rPr>
            <w:rStyle w:val="af0"/>
            <w:rFonts w:ascii="Times New Roman" w:eastAsia="標楷體" w:hAnsi="Times New Roman" w:cs="Times New Roman"/>
            <w:sz w:val="28"/>
            <w:szCs w:val="28"/>
          </w:rPr>
          <w:t>https://www.aeaweb.org/articles?id=10.1257/app.20170223</w:t>
        </w:r>
      </w:hyperlink>
    </w:p>
    <w:p w14:paraId="04345DA3" w14:textId="723CC0BA" w:rsidR="000E2DE2" w:rsidRDefault="00816C7D" w:rsidP="007730BA">
      <w:pPr>
        <w:pStyle w:val="a9"/>
        <w:numPr>
          <w:ilvl w:val="0"/>
          <w:numId w:val="10"/>
        </w:numPr>
        <w:outlineLvl w:val="0"/>
        <w:rPr>
          <w:rFonts w:ascii="Times New Roman" w:eastAsia="標楷體" w:hAnsi="Times New Roman" w:cs="Times New Roman"/>
          <w:sz w:val="28"/>
          <w:szCs w:val="28"/>
        </w:rPr>
      </w:pPr>
      <w:r w:rsidRPr="00816C7D">
        <w:rPr>
          <w:rFonts w:ascii="Times New Roman" w:eastAsia="標楷體" w:hAnsi="Times New Roman" w:cs="Times New Roman"/>
          <w:sz w:val="28"/>
          <w:szCs w:val="28"/>
        </w:rPr>
        <w:t>Party Capability versus Court Preference: Why Do the “Haves” Come Out Ahead?—An Empirical Lesson from the Taiwan Supreme Court</w:t>
      </w:r>
      <w:r>
        <w:rPr>
          <w:rFonts w:ascii="Times New Roman" w:eastAsia="標楷體" w:hAnsi="Times New Roman" w:cs="Times New Roman" w:hint="eastAsia"/>
          <w:sz w:val="28"/>
          <w:szCs w:val="28"/>
        </w:rPr>
        <w:t xml:space="preserve"> </w:t>
      </w:r>
      <w:hyperlink r:id="rId18" w:history="1">
        <w:r w:rsidRPr="00CA65A5">
          <w:rPr>
            <w:rStyle w:val="af0"/>
            <w:rFonts w:ascii="Times New Roman" w:eastAsia="標楷體" w:hAnsi="Times New Roman" w:cs="Times New Roman"/>
            <w:sz w:val="28"/>
            <w:szCs w:val="28"/>
          </w:rPr>
          <w:t>https://academic.oup.com/jleo/article/31/1/93/989593</w:t>
        </w:r>
      </w:hyperlink>
    </w:p>
    <w:p w14:paraId="41F735E3" w14:textId="54BDF47A" w:rsidR="00816C7D" w:rsidRDefault="00816C7D" w:rsidP="007730BA">
      <w:pPr>
        <w:pStyle w:val="a9"/>
        <w:numPr>
          <w:ilvl w:val="0"/>
          <w:numId w:val="10"/>
        </w:numPr>
        <w:outlineLvl w:val="0"/>
        <w:rPr>
          <w:rFonts w:ascii="Times New Roman" w:eastAsia="標楷體" w:hAnsi="Times New Roman" w:cs="Times New Roman"/>
          <w:sz w:val="28"/>
          <w:szCs w:val="28"/>
        </w:rPr>
      </w:pPr>
      <w:r w:rsidRPr="00816C7D">
        <w:rPr>
          <w:rFonts w:ascii="Times New Roman" w:eastAsia="標楷體" w:hAnsi="Times New Roman" w:cs="Times New Roman"/>
          <w:sz w:val="28"/>
          <w:szCs w:val="28"/>
        </w:rPr>
        <w:t>Anchoring Effect in Real Litigation: An Empirical Study</w:t>
      </w:r>
      <w:r>
        <w:rPr>
          <w:rFonts w:ascii="Times New Roman" w:eastAsia="標楷體" w:hAnsi="Times New Roman" w:cs="Times New Roman" w:hint="eastAsia"/>
          <w:sz w:val="28"/>
          <w:szCs w:val="28"/>
        </w:rPr>
        <w:t xml:space="preserve"> </w:t>
      </w:r>
      <w:hyperlink r:id="rId19" w:history="1">
        <w:r w:rsidRPr="00CA65A5">
          <w:rPr>
            <w:rStyle w:val="af0"/>
            <w:rFonts w:ascii="Times New Roman" w:eastAsia="標楷體" w:hAnsi="Times New Roman" w:cs="Times New Roman"/>
            <w:sz w:val="28"/>
            <w:szCs w:val="28"/>
          </w:rPr>
          <w:t>https://papers.ssrn.com/sol3/papers.cfm?abstract_id=2726903</w:t>
        </w:r>
      </w:hyperlink>
    </w:p>
    <w:p w14:paraId="6F8FFBE6" w14:textId="462F21C4" w:rsidR="00816C7D" w:rsidRDefault="00C207D2" w:rsidP="007730BA">
      <w:pPr>
        <w:pStyle w:val="a9"/>
        <w:numPr>
          <w:ilvl w:val="0"/>
          <w:numId w:val="10"/>
        </w:numPr>
        <w:outlineLvl w:val="0"/>
        <w:rPr>
          <w:rFonts w:ascii="Times New Roman" w:eastAsia="標楷體" w:hAnsi="Times New Roman" w:cs="Times New Roman"/>
          <w:sz w:val="28"/>
          <w:szCs w:val="28"/>
        </w:rPr>
      </w:pPr>
      <w:r w:rsidRPr="00C207D2">
        <w:rPr>
          <w:rFonts w:ascii="Times New Roman" w:eastAsia="標楷體" w:hAnsi="Times New Roman" w:cs="Times New Roman"/>
          <w:sz w:val="28"/>
          <w:szCs w:val="28"/>
        </w:rPr>
        <w:t>Processing Long Legal Documents with Pre-trained Transformers: Modding LegalBERT and Longformer</w:t>
      </w:r>
      <w:r>
        <w:rPr>
          <w:rFonts w:ascii="Times New Roman" w:eastAsia="標楷體" w:hAnsi="Times New Roman" w:cs="Times New Roman" w:hint="eastAsia"/>
          <w:sz w:val="28"/>
          <w:szCs w:val="28"/>
        </w:rPr>
        <w:t xml:space="preserve"> </w:t>
      </w:r>
      <w:hyperlink r:id="rId20" w:history="1">
        <w:r w:rsidRPr="00CA65A5">
          <w:rPr>
            <w:rStyle w:val="af0"/>
            <w:rFonts w:ascii="Times New Roman" w:eastAsia="標楷體" w:hAnsi="Times New Roman" w:cs="Times New Roman"/>
            <w:sz w:val="28"/>
            <w:szCs w:val="28"/>
          </w:rPr>
          <w:t>https://arxiv.org/abs/2211.00974</w:t>
        </w:r>
      </w:hyperlink>
    </w:p>
    <w:p w14:paraId="26CA0696" w14:textId="0937F432" w:rsidR="00C207D2" w:rsidRDefault="00751AD4" w:rsidP="007730BA">
      <w:pPr>
        <w:pStyle w:val="a9"/>
        <w:numPr>
          <w:ilvl w:val="0"/>
          <w:numId w:val="10"/>
        </w:numPr>
        <w:outlineLvl w:val="0"/>
        <w:rPr>
          <w:rFonts w:ascii="Times New Roman" w:eastAsia="標楷體" w:hAnsi="Times New Roman" w:cs="Times New Roman"/>
          <w:sz w:val="28"/>
          <w:szCs w:val="28"/>
        </w:rPr>
      </w:pPr>
      <w:r w:rsidRPr="00751AD4">
        <w:rPr>
          <w:rFonts w:ascii="Times New Roman" w:eastAsia="標楷體" w:hAnsi="Times New Roman" w:cs="Times New Roman"/>
          <w:sz w:val="28"/>
          <w:szCs w:val="28"/>
        </w:rPr>
        <w:lastRenderedPageBreak/>
        <w:t>FinMTEB: Finance Massive Text Embedding Benchmark</w:t>
      </w:r>
      <w:r>
        <w:rPr>
          <w:rFonts w:ascii="Times New Roman" w:eastAsia="標楷體" w:hAnsi="Times New Roman" w:cs="Times New Roman" w:hint="eastAsia"/>
          <w:sz w:val="28"/>
          <w:szCs w:val="28"/>
        </w:rPr>
        <w:t xml:space="preserve"> </w:t>
      </w:r>
      <w:hyperlink r:id="rId21" w:history="1">
        <w:r w:rsidRPr="00CA65A5">
          <w:rPr>
            <w:rStyle w:val="af0"/>
            <w:rFonts w:ascii="Times New Roman" w:eastAsia="標楷體" w:hAnsi="Times New Roman" w:cs="Times New Roman"/>
            <w:sz w:val="28"/>
            <w:szCs w:val="28"/>
          </w:rPr>
          <w:t>https://arxiv.org/abs/2502.10990</w:t>
        </w:r>
      </w:hyperlink>
    </w:p>
    <w:p w14:paraId="18D87D53" w14:textId="12A15270" w:rsidR="00751AD4" w:rsidRDefault="00214D9F" w:rsidP="007730BA">
      <w:pPr>
        <w:pStyle w:val="a9"/>
        <w:numPr>
          <w:ilvl w:val="0"/>
          <w:numId w:val="10"/>
        </w:numPr>
        <w:outlineLvl w:val="0"/>
        <w:rPr>
          <w:rFonts w:ascii="Times New Roman" w:eastAsia="標楷體" w:hAnsi="Times New Roman" w:cs="Times New Roman"/>
          <w:sz w:val="28"/>
          <w:szCs w:val="28"/>
        </w:rPr>
      </w:pPr>
      <w:r w:rsidRPr="00214D9F">
        <w:rPr>
          <w:rFonts w:ascii="Times New Roman" w:eastAsia="標楷體" w:hAnsi="Times New Roman" w:cs="Times New Roman"/>
          <w:sz w:val="28"/>
          <w:szCs w:val="28"/>
        </w:rPr>
        <w:t>Legal Judgment Prediction Based on Machine Learning: Predicting the Discretionary Damages of Mental Suffering in Fatal Car Accident Cases</w:t>
      </w:r>
      <w:r>
        <w:rPr>
          <w:rFonts w:ascii="Times New Roman" w:eastAsia="標楷體" w:hAnsi="Times New Roman" w:cs="Times New Roman" w:hint="eastAsia"/>
          <w:sz w:val="28"/>
          <w:szCs w:val="28"/>
        </w:rPr>
        <w:t xml:space="preserve"> </w:t>
      </w:r>
      <w:hyperlink r:id="rId22" w:history="1">
        <w:r w:rsidRPr="00CA65A5">
          <w:rPr>
            <w:rStyle w:val="af0"/>
            <w:rFonts w:ascii="Times New Roman" w:eastAsia="標楷體" w:hAnsi="Times New Roman" w:cs="Times New Roman"/>
            <w:sz w:val="28"/>
            <w:szCs w:val="28"/>
          </w:rPr>
          <w:t>https://www.mdpi.com/2076-3417/11/21/10361</w:t>
        </w:r>
      </w:hyperlink>
    </w:p>
    <w:p w14:paraId="2C7E4616" w14:textId="66E8F4FE" w:rsidR="00214D9F" w:rsidRDefault="00214D9F" w:rsidP="007730BA">
      <w:pPr>
        <w:pStyle w:val="a9"/>
        <w:numPr>
          <w:ilvl w:val="0"/>
          <w:numId w:val="10"/>
        </w:numPr>
        <w:outlineLvl w:val="0"/>
        <w:rPr>
          <w:rFonts w:ascii="Times New Roman" w:eastAsia="標楷體" w:hAnsi="Times New Roman" w:cs="Times New Roman"/>
          <w:sz w:val="28"/>
          <w:szCs w:val="28"/>
        </w:rPr>
      </w:pPr>
      <w:r w:rsidRPr="00214D9F">
        <w:rPr>
          <w:rFonts w:ascii="Times New Roman" w:eastAsia="標楷體" w:hAnsi="Times New Roman" w:cs="Times New Roman"/>
          <w:sz w:val="28"/>
          <w:szCs w:val="28"/>
        </w:rPr>
        <w:t>Efficient Prediction of Court Judgments Using an LSTM+CNN Neural Network Model with an Optimal Feature Set</w:t>
      </w:r>
      <w:r>
        <w:rPr>
          <w:rFonts w:ascii="Times New Roman" w:eastAsia="標楷體" w:hAnsi="Times New Roman" w:cs="Times New Roman" w:hint="eastAsia"/>
          <w:sz w:val="28"/>
          <w:szCs w:val="28"/>
        </w:rPr>
        <w:t xml:space="preserve"> </w:t>
      </w:r>
      <w:hyperlink r:id="rId23" w:history="1">
        <w:r w:rsidRPr="00CA65A5">
          <w:rPr>
            <w:rStyle w:val="af0"/>
            <w:rFonts w:ascii="Times New Roman" w:eastAsia="標楷體" w:hAnsi="Times New Roman" w:cs="Times New Roman"/>
            <w:sz w:val="28"/>
            <w:szCs w:val="28"/>
          </w:rPr>
          <w:t>https://www.mdpi.com/2227-7390/10/5/683</w:t>
        </w:r>
      </w:hyperlink>
    </w:p>
    <w:p w14:paraId="0CA506B4" w14:textId="77777777" w:rsidR="00214D9F" w:rsidRPr="007730BA" w:rsidRDefault="00214D9F" w:rsidP="007730BA">
      <w:pPr>
        <w:pStyle w:val="a9"/>
        <w:numPr>
          <w:ilvl w:val="0"/>
          <w:numId w:val="10"/>
        </w:numPr>
        <w:outlineLvl w:val="0"/>
        <w:rPr>
          <w:rFonts w:ascii="Times New Roman" w:eastAsia="標楷體" w:hAnsi="Times New Roman" w:cs="Times New Roman"/>
          <w:sz w:val="28"/>
          <w:szCs w:val="28"/>
        </w:rPr>
      </w:pPr>
    </w:p>
    <w:p w14:paraId="29FA36CA" w14:textId="03C33957" w:rsidR="00292760" w:rsidRDefault="00B164D4" w:rsidP="008613E4">
      <w:pPr>
        <w:outlineLvl w:val="0"/>
        <w:rPr>
          <w:rFonts w:ascii="Times New Roman" w:eastAsia="標楷體" w:hAnsi="Times New Roman" w:cs="Times New Roman"/>
          <w:sz w:val="28"/>
          <w:szCs w:val="28"/>
        </w:rPr>
      </w:pPr>
      <w:hyperlink r:id="rId24" w:history="1">
        <w:r w:rsidRPr="00306CCE">
          <w:rPr>
            <w:rStyle w:val="af0"/>
            <w:rFonts w:ascii="Times New Roman" w:eastAsia="標楷體" w:hAnsi="Times New Roman" w:cs="Times New Roman"/>
            <w:sz w:val="28"/>
            <w:szCs w:val="28"/>
          </w:rPr>
          <w:t>https://naipnews.naipo.com/22251/</w:t>
        </w:r>
      </w:hyperlink>
    </w:p>
    <w:p w14:paraId="1C830312" w14:textId="1198D151" w:rsidR="00B164D4" w:rsidRPr="00B164D4" w:rsidRDefault="00B164D4" w:rsidP="008613E4">
      <w:pPr>
        <w:outlineLvl w:val="0"/>
        <w:rPr>
          <w:rFonts w:ascii="Times New Roman" w:eastAsia="標楷體" w:hAnsi="Times New Roman" w:cs="Times New Roman"/>
          <w:sz w:val="28"/>
          <w:szCs w:val="28"/>
        </w:rPr>
      </w:pPr>
      <w:r w:rsidRPr="00B164D4">
        <w:rPr>
          <w:rFonts w:ascii="Times New Roman" w:eastAsia="標楷體" w:hAnsi="Times New Roman" w:cs="Times New Roman"/>
          <w:sz w:val="28"/>
          <w:szCs w:val="28"/>
        </w:rPr>
        <w:t>https://ai.iias.sinica.edu.tw/from-human-to-ai-trademark-infringement-minutes/</w:t>
      </w:r>
    </w:p>
    <w:sectPr w:rsidR="00B164D4" w:rsidRPr="00B164D4" w:rsidSect="008613E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48FB"/>
    <w:multiLevelType w:val="hybridMultilevel"/>
    <w:tmpl w:val="674AE9E0"/>
    <w:lvl w:ilvl="0" w:tplc="F0F69420">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6A85961"/>
    <w:multiLevelType w:val="multilevel"/>
    <w:tmpl w:val="62F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41D74"/>
    <w:multiLevelType w:val="hybridMultilevel"/>
    <w:tmpl w:val="5AD03DB8"/>
    <w:lvl w:ilvl="0" w:tplc="2880FCFE">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D9222A7"/>
    <w:multiLevelType w:val="multilevel"/>
    <w:tmpl w:val="121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651DC"/>
    <w:multiLevelType w:val="multilevel"/>
    <w:tmpl w:val="3372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B5126"/>
    <w:multiLevelType w:val="multilevel"/>
    <w:tmpl w:val="CBB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21584"/>
    <w:multiLevelType w:val="hybridMultilevel"/>
    <w:tmpl w:val="4E160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5720AB3"/>
    <w:multiLevelType w:val="multilevel"/>
    <w:tmpl w:val="63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16974"/>
    <w:multiLevelType w:val="hybridMultilevel"/>
    <w:tmpl w:val="6CCA20C4"/>
    <w:lvl w:ilvl="0" w:tplc="C47EB490">
      <w:start w:val="1"/>
      <w:numFmt w:val="taiwaneseCountingThousand"/>
      <w:lvlText w:val="第%1章"/>
      <w:lvlJc w:val="left"/>
      <w:pPr>
        <w:ind w:left="840" w:hanging="8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A1B740F"/>
    <w:multiLevelType w:val="hybridMultilevel"/>
    <w:tmpl w:val="1E42149C"/>
    <w:lvl w:ilvl="0" w:tplc="2880FC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ADB3BAE"/>
    <w:multiLevelType w:val="multilevel"/>
    <w:tmpl w:val="649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C2487"/>
    <w:multiLevelType w:val="multilevel"/>
    <w:tmpl w:val="0F1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902978">
    <w:abstractNumId w:val="8"/>
  </w:num>
  <w:num w:numId="2" w16cid:durableId="332495658">
    <w:abstractNumId w:val="5"/>
  </w:num>
  <w:num w:numId="3" w16cid:durableId="1474056755">
    <w:abstractNumId w:val="11"/>
  </w:num>
  <w:num w:numId="4" w16cid:durableId="618529923">
    <w:abstractNumId w:val="4"/>
  </w:num>
  <w:num w:numId="5" w16cid:durableId="1926111099">
    <w:abstractNumId w:val="3"/>
  </w:num>
  <w:num w:numId="6" w16cid:durableId="1487816332">
    <w:abstractNumId w:val="1"/>
  </w:num>
  <w:num w:numId="7" w16cid:durableId="23483166">
    <w:abstractNumId w:val="7"/>
  </w:num>
  <w:num w:numId="8" w16cid:durableId="497426110">
    <w:abstractNumId w:val="10"/>
  </w:num>
  <w:num w:numId="9" w16cid:durableId="128788852">
    <w:abstractNumId w:val="9"/>
  </w:num>
  <w:num w:numId="10" w16cid:durableId="1123499005">
    <w:abstractNumId w:val="2"/>
  </w:num>
  <w:num w:numId="11" w16cid:durableId="1262228327">
    <w:abstractNumId w:val="0"/>
  </w:num>
  <w:num w:numId="12" w16cid:durableId="1973553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33"/>
    <w:rsid w:val="00001A1A"/>
    <w:rsid w:val="0000210D"/>
    <w:rsid w:val="000232AA"/>
    <w:rsid w:val="00066B5D"/>
    <w:rsid w:val="00077CD3"/>
    <w:rsid w:val="00084D5A"/>
    <w:rsid w:val="000E2014"/>
    <w:rsid w:val="000E2DE2"/>
    <w:rsid w:val="000E77F6"/>
    <w:rsid w:val="000F5B10"/>
    <w:rsid w:val="00101530"/>
    <w:rsid w:val="00130763"/>
    <w:rsid w:val="00132BEE"/>
    <w:rsid w:val="001421BD"/>
    <w:rsid w:val="001439BE"/>
    <w:rsid w:val="00173AA7"/>
    <w:rsid w:val="00175228"/>
    <w:rsid w:val="001B6901"/>
    <w:rsid w:val="001E4440"/>
    <w:rsid w:val="001E7DED"/>
    <w:rsid w:val="001F2EA2"/>
    <w:rsid w:val="00214D9F"/>
    <w:rsid w:val="002274A9"/>
    <w:rsid w:val="00230EA7"/>
    <w:rsid w:val="00241E55"/>
    <w:rsid w:val="002857D8"/>
    <w:rsid w:val="00292760"/>
    <w:rsid w:val="002B6C4C"/>
    <w:rsid w:val="002C6512"/>
    <w:rsid w:val="002D643E"/>
    <w:rsid w:val="002E79BA"/>
    <w:rsid w:val="00310DD0"/>
    <w:rsid w:val="00317561"/>
    <w:rsid w:val="003857B4"/>
    <w:rsid w:val="003C4839"/>
    <w:rsid w:val="003F5EF7"/>
    <w:rsid w:val="00404833"/>
    <w:rsid w:val="0042508A"/>
    <w:rsid w:val="00427CCE"/>
    <w:rsid w:val="004365B1"/>
    <w:rsid w:val="00440C39"/>
    <w:rsid w:val="00441D4A"/>
    <w:rsid w:val="00453630"/>
    <w:rsid w:val="00455108"/>
    <w:rsid w:val="0047643B"/>
    <w:rsid w:val="00483EF1"/>
    <w:rsid w:val="004E796F"/>
    <w:rsid w:val="004E7D6C"/>
    <w:rsid w:val="00512832"/>
    <w:rsid w:val="00523799"/>
    <w:rsid w:val="005310E9"/>
    <w:rsid w:val="0060375F"/>
    <w:rsid w:val="00633AF3"/>
    <w:rsid w:val="006A1E73"/>
    <w:rsid w:val="006F60ED"/>
    <w:rsid w:val="00734F6F"/>
    <w:rsid w:val="00742163"/>
    <w:rsid w:val="00744CBB"/>
    <w:rsid w:val="00751AA0"/>
    <w:rsid w:val="00751AD4"/>
    <w:rsid w:val="00772559"/>
    <w:rsid w:val="007730BA"/>
    <w:rsid w:val="0078345D"/>
    <w:rsid w:val="007C5F68"/>
    <w:rsid w:val="00812D17"/>
    <w:rsid w:val="00816C7D"/>
    <w:rsid w:val="00836709"/>
    <w:rsid w:val="00853B76"/>
    <w:rsid w:val="008613E4"/>
    <w:rsid w:val="00890639"/>
    <w:rsid w:val="009032E7"/>
    <w:rsid w:val="009044D2"/>
    <w:rsid w:val="0095337E"/>
    <w:rsid w:val="009C2031"/>
    <w:rsid w:val="00A70996"/>
    <w:rsid w:val="00A82637"/>
    <w:rsid w:val="00A96572"/>
    <w:rsid w:val="00AB11FF"/>
    <w:rsid w:val="00AB44DB"/>
    <w:rsid w:val="00AF1944"/>
    <w:rsid w:val="00B164D4"/>
    <w:rsid w:val="00B171A1"/>
    <w:rsid w:val="00B40694"/>
    <w:rsid w:val="00B435C1"/>
    <w:rsid w:val="00B5577A"/>
    <w:rsid w:val="00B80925"/>
    <w:rsid w:val="00B9506F"/>
    <w:rsid w:val="00BA11B0"/>
    <w:rsid w:val="00C0276A"/>
    <w:rsid w:val="00C207D2"/>
    <w:rsid w:val="00C5051C"/>
    <w:rsid w:val="00C7356B"/>
    <w:rsid w:val="00C97F48"/>
    <w:rsid w:val="00CC5EA4"/>
    <w:rsid w:val="00CD012C"/>
    <w:rsid w:val="00CF117F"/>
    <w:rsid w:val="00D32C54"/>
    <w:rsid w:val="00D43F38"/>
    <w:rsid w:val="00D520CB"/>
    <w:rsid w:val="00DE6133"/>
    <w:rsid w:val="00E335FB"/>
    <w:rsid w:val="00E446DA"/>
    <w:rsid w:val="00E53D0F"/>
    <w:rsid w:val="00E56BC5"/>
    <w:rsid w:val="00E86906"/>
    <w:rsid w:val="00EA1EC8"/>
    <w:rsid w:val="00EB1D54"/>
    <w:rsid w:val="00EB65DA"/>
    <w:rsid w:val="00ED5371"/>
    <w:rsid w:val="00EE558B"/>
    <w:rsid w:val="00F002F7"/>
    <w:rsid w:val="00F25D14"/>
    <w:rsid w:val="00F44CEF"/>
    <w:rsid w:val="00F6566E"/>
    <w:rsid w:val="00FC11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21EF"/>
  <w15:chartTrackingRefBased/>
  <w15:docId w15:val="{453DC78E-915D-4F0A-8D96-EC11FC22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61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E61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E61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DE61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E61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61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E61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61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E61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61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DE61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DE61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E61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E6133"/>
    <w:rPr>
      <w:rFonts w:eastAsiaTheme="majorEastAsia" w:cstheme="majorBidi"/>
      <w:color w:val="2F5496" w:themeColor="accent1" w:themeShade="BF"/>
    </w:rPr>
  </w:style>
  <w:style w:type="character" w:customStyle="1" w:styleId="60">
    <w:name w:val="標題 6 字元"/>
    <w:basedOn w:val="a0"/>
    <w:link w:val="6"/>
    <w:uiPriority w:val="9"/>
    <w:semiHidden/>
    <w:rsid w:val="00DE6133"/>
    <w:rPr>
      <w:rFonts w:eastAsiaTheme="majorEastAsia" w:cstheme="majorBidi"/>
      <w:color w:val="595959" w:themeColor="text1" w:themeTint="A6"/>
    </w:rPr>
  </w:style>
  <w:style w:type="character" w:customStyle="1" w:styleId="70">
    <w:name w:val="標題 7 字元"/>
    <w:basedOn w:val="a0"/>
    <w:link w:val="7"/>
    <w:uiPriority w:val="9"/>
    <w:semiHidden/>
    <w:rsid w:val="00DE6133"/>
    <w:rPr>
      <w:rFonts w:eastAsiaTheme="majorEastAsia" w:cstheme="majorBidi"/>
      <w:color w:val="595959" w:themeColor="text1" w:themeTint="A6"/>
    </w:rPr>
  </w:style>
  <w:style w:type="character" w:customStyle="1" w:styleId="80">
    <w:name w:val="標題 8 字元"/>
    <w:basedOn w:val="a0"/>
    <w:link w:val="8"/>
    <w:uiPriority w:val="9"/>
    <w:semiHidden/>
    <w:rsid w:val="00DE6133"/>
    <w:rPr>
      <w:rFonts w:eastAsiaTheme="majorEastAsia" w:cstheme="majorBidi"/>
      <w:color w:val="272727" w:themeColor="text1" w:themeTint="D8"/>
    </w:rPr>
  </w:style>
  <w:style w:type="character" w:customStyle="1" w:styleId="90">
    <w:name w:val="標題 9 字元"/>
    <w:basedOn w:val="a0"/>
    <w:link w:val="9"/>
    <w:uiPriority w:val="9"/>
    <w:semiHidden/>
    <w:rsid w:val="00DE6133"/>
    <w:rPr>
      <w:rFonts w:eastAsiaTheme="majorEastAsia" w:cstheme="majorBidi"/>
      <w:color w:val="272727" w:themeColor="text1" w:themeTint="D8"/>
    </w:rPr>
  </w:style>
  <w:style w:type="paragraph" w:styleId="a3">
    <w:name w:val="Title"/>
    <w:basedOn w:val="a"/>
    <w:next w:val="a"/>
    <w:link w:val="a4"/>
    <w:uiPriority w:val="10"/>
    <w:qFormat/>
    <w:rsid w:val="00DE61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6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61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E6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6133"/>
    <w:pPr>
      <w:spacing w:before="160"/>
      <w:jc w:val="center"/>
    </w:pPr>
    <w:rPr>
      <w:i/>
      <w:iCs/>
      <w:color w:val="404040" w:themeColor="text1" w:themeTint="BF"/>
    </w:rPr>
  </w:style>
  <w:style w:type="character" w:customStyle="1" w:styleId="a8">
    <w:name w:val="引文 字元"/>
    <w:basedOn w:val="a0"/>
    <w:link w:val="a7"/>
    <w:uiPriority w:val="29"/>
    <w:rsid w:val="00DE6133"/>
    <w:rPr>
      <w:i/>
      <w:iCs/>
      <w:color w:val="404040" w:themeColor="text1" w:themeTint="BF"/>
    </w:rPr>
  </w:style>
  <w:style w:type="paragraph" w:styleId="a9">
    <w:name w:val="List Paragraph"/>
    <w:basedOn w:val="a"/>
    <w:uiPriority w:val="34"/>
    <w:qFormat/>
    <w:rsid w:val="00DE6133"/>
    <w:pPr>
      <w:ind w:left="720"/>
      <w:contextualSpacing/>
    </w:pPr>
  </w:style>
  <w:style w:type="character" w:styleId="aa">
    <w:name w:val="Intense Emphasis"/>
    <w:basedOn w:val="a0"/>
    <w:uiPriority w:val="21"/>
    <w:qFormat/>
    <w:rsid w:val="00DE6133"/>
    <w:rPr>
      <w:i/>
      <w:iCs/>
      <w:color w:val="2F5496" w:themeColor="accent1" w:themeShade="BF"/>
    </w:rPr>
  </w:style>
  <w:style w:type="paragraph" w:styleId="ab">
    <w:name w:val="Intense Quote"/>
    <w:basedOn w:val="a"/>
    <w:next w:val="a"/>
    <w:link w:val="ac"/>
    <w:uiPriority w:val="30"/>
    <w:qFormat/>
    <w:rsid w:val="00DE6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E6133"/>
    <w:rPr>
      <w:i/>
      <w:iCs/>
      <w:color w:val="2F5496" w:themeColor="accent1" w:themeShade="BF"/>
    </w:rPr>
  </w:style>
  <w:style w:type="character" w:styleId="ad">
    <w:name w:val="Intense Reference"/>
    <w:basedOn w:val="a0"/>
    <w:uiPriority w:val="32"/>
    <w:qFormat/>
    <w:rsid w:val="00DE6133"/>
    <w:rPr>
      <w:b/>
      <w:bCs/>
      <w:smallCaps/>
      <w:color w:val="2F5496" w:themeColor="accent1" w:themeShade="BF"/>
      <w:spacing w:val="5"/>
    </w:rPr>
  </w:style>
  <w:style w:type="paragraph" w:styleId="ae">
    <w:name w:val="TOC Heading"/>
    <w:basedOn w:val="1"/>
    <w:next w:val="a"/>
    <w:uiPriority w:val="39"/>
    <w:unhideWhenUsed/>
    <w:qFormat/>
    <w:rsid w:val="002B6C4C"/>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2B6C4C"/>
    <w:pPr>
      <w:spacing w:after="0"/>
      <w:ind w:left="240"/>
    </w:pPr>
    <w:rPr>
      <w:rFonts w:cstheme="minorHAnsi"/>
      <w:smallCaps/>
      <w:sz w:val="20"/>
      <w:szCs w:val="20"/>
    </w:rPr>
  </w:style>
  <w:style w:type="paragraph" w:styleId="11">
    <w:name w:val="toc 1"/>
    <w:basedOn w:val="a"/>
    <w:next w:val="a"/>
    <w:autoRedefine/>
    <w:uiPriority w:val="39"/>
    <w:unhideWhenUsed/>
    <w:rsid w:val="002B6C4C"/>
    <w:pPr>
      <w:spacing w:before="120" w:after="120"/>
    </w:pPr>
    <w:rPr>
      <w:rFonts w:cstheme="minorHAnsi"/>
      <w:b/>
      <w:bCs/>
      <w:caps/>
      <w:sz w:val="20"/>
      <w:szCs w:val="20"/>
    </w:rPr>
  </w:style>
  <w:style w:type="paragraph" w:styleId="31">
    <w:name w:val="toc 3"/>
    <w:basedOn w:val="a"/>
    <w:next w:val="a"/>
    <w:autoRedefine/>
    <w:uiPriority w:val="39"/>
    <w:unhideWhenUsed/>
    <w:rsid w:val="002B6C4C"/>
    <w:pPr>
      <w:spacing w:after="0"/>
      <w:ind w:left="480"/>
    </w:pPr>
    <w:rPr>
      <w:rFonts w:cstheme="minorHAnsi"/>
      <w:i/>
      <w:iCs/>
      <w:sz w:val="20"/>
      <w:szCs w:val="20"/>
    </w:rPr>
  </w:style>
  <w:style w:type="paragraph" w:styleId="41">
    <w:name w:val="toc 4"/>
    <w:basedOn w:val="a"/>
    <w:next w:val="a"/>
    <w:autoRedefine/>
    <w:uiPriority w:val="39"/>
    <w:unhideWhenUsed/>
    <w:rsid w:val="008613E4"/>
    <w:pPr>
      <w:spacing w:after="0"/>
      <w:ind w:left="720"/>
    </w:pPr>
    <w:rPr>
      <w:rFonts w:cstheme="minorHAnsi"/>
      <w:sz w:val="18"/>
      <w:szCs w:val="18"/>
    </w:rPr>
  </w:style>
  <w:style w:type="paragraph" w:styleId="51">
    <w:name w:val="toc 5"/>
    <w:basedOn w:val="a"/>
    <w:next w:val="a"/>
    <w:autoRedefine/>
    <w:uiPriority w:val="39"/>
    <w:unhideWhenUsed/>
    <w:rsid w:val="008613E4"/>
    <w:pPr>
      <w:spacing w:after="0"/>
      <w:ind w:left="960"/>
    </w:pPr>
    <w:rPr>
      <w:rFonts w:cstheme="minorHAnsi"/>
      <w:sz w:val="18"/>
      <w:szCs w:val="18"/>
    </w:rPr>
  </w:style>
  <w:style w:type="paragraph" w:styleId="61">
    <w:name w:val="toc 6"/>
    <w:basedOn w:val="a"/>
    <w:next w:val="a"/>
    <w:autoRedefine/>
    <w:uiPriority w:val="39"/>
    <w:unhideWhenUsed/>
    <w:rsid w:val="008613E4"/>
    <w:pPr>
      <w:spacing w:after="0"/>
      <w:ind w:left="1200"/>
    </w:pPr>
    <w:rPr>
      <w:rFonts w:cstheme="minorHAnsi"/>
      <w:sz w:val="18"/>
      <w:szCs w:val="18"/>
    </w:rPr>
  </w:style>
  <w:style w:type="paragraph" w:styleId="71">
    <w:name w:val="toc 7"/>
    <w:basedOn w:val="a"/>
    <w:next w:val="a"/>
    <w:autoRedefine/>
    <w:uiPriority w:val="39"/>
    <w:unhideWhenUsed/>
    <w:rsid w:val="008613E4"/>
    <w:pPr>
      <w:spacing w:after="0"/>
      <w:ind w:left="1440"/>
    </w:pPr>
    <w:rPr>
      <w:rFonts w:cstheme="minorHAnsi"/>
      <w:sz w:val="18"/>
      <w:szCs w:val="18"/>
    </w:rPr>
  </w:style>
  <w:style w:type="paragraph" w:styleId="81">
    <w:name w:val="toc 8"/>
    <w:basedOn w:val="a"/>
    <w:next w:val="a"/>
    <w:autoRedefine/>
    <w:uiPriority w:val="39"/>
    <w:unhideWhenUsed/>
    <w:rsid w:val="008613E4"/>
    <w:pPr>
      <w:spacing w:after="0"/>
      <w:ind w:left="1680"/>
    </w:pPr>
    <w:rPr>
      <w:rFonts w:cstheme="minorHAnsi"/>
      <w:sz w:val="18"/>
      <w:szCs w:val="18"/>
    </w:rPr>
  </w:style>
  <w:style w:type="paragraph" w:styleId="91">
    <w:name w:val="toc 9"/>
    <w:basedOn w:val="a"/>
    <w:next w:val="a"/>
    <w:autoRedefine/>
    <w:uiPriority w:val="39"/>
    <w:unhideWhenUsed/>
    <w:rsid w:val="008613E4"/>
    <w:pPr>
      <w:spacing w:after="0"/>
      <w:ind w:left="1920"/>
    </w:pPr>
    <w:rPr>
      <w:rFonts w:cstheme="minorHAnsi"/>
      <w:sz w:val="18"/>
      <w:szCs w:val="18"/>
    </w:rPr>
  </w:style>
  <w:style w:type="character" w:styleId="af">
    <w:name w:val="Placeholder Text"/>
    <w:basedOn w:val="a0"/>
    <w:uiPriority w:val="99"/>
    <w:semiHidden/>
    <w:rsid w:val="00523799"/>
    <w:rPr>
      <w:color w:val="666666"/>
    </w:rPr>
  </w:style>
  <w:style w:type="character" w:styleId="af0">
    <w:name w:val="Hyperlink"/>
    <w:basedOn w:val="a0"/>
    <w:uiPriority w:val="99"/>
    <w:unhideWhenUsed/>
    <w:rsid w:val="00B164D4"/>
    <w:rPr>
      <w:color w:val="0563C1" w:themeColor="hyperlink"/>
      <w:u w:val="single"/>
    </w:rPr>
  </w:style>
  <w:style w:type="character" w:styleId="af1">
    <w:name w:val="Unresolved Mention"/>
    <w:basedOn w:val="a0"/>
    <w:uiPriority w:val="99"/>
    <w:semiHidden/>
    <w:unhideWhenUsed/>
    <w:rsid w:val="00B164D4"/>
    <w:rPr>
      <w:color w:val="605E5C"/>
      <w:shd w:val="clear" w:color="auto" w:fill="E1DFDD"/>
    </w:rPr>
  </w:style>
  <w:style w:type="character" w:styleId="af2">
    <w:name w:val="FollowedHyperlink"/>
    <w:basedOn w:val="a0"/>
    <w:uiPriority w:val="99"/>
    <w:semiHidden/>
    <w:unhideWhenUsed/>
    <w:rsid w:val="00751AA0"/>
    <w:rPr>
      <w:color w:val="954F72" w:themeColor="followedHyperlink"/>
      <w:u w:val="single"/>
    </w:rPr>
  </w:style>
  <w:style w:type="table" w:styleId="af3">
    <w:name w:val="Table Grid"/>
    <w:basedOn w:val="a1"/>
    <w:uiPriority w:val="39"/>
    <w:rsid w:val="00772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hyperlink" Target="https://blog.csdn.net/superY_26/article/details/114844370" TargetMode="External"/><Relationship Id="rId18" Type="http://schemas.openxmlformats.org/officeDocument/2006/relationships/hyperlink" Target="https://academic.oup.com/jleo/article/31/1/93/98959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2502.10990" TargetMode="External"/><Relationship Id="rId7" Type="http://schemas.openxmlformats.org/officeDocument/2006/relationships/chart" Target="charts/chart2.xml"/><Relationship Id="rId12" Type="http://schemas.openxmlformats.org/officeDocument/2006/relationships/hyperlink" Target="https://winklerpartners.com/zh/%E5%BE%9E%E6%95%B8%E6%93%9A%E4%B8%80%E6%8E%A2%E6%99%BA%E6%85%A7%E8%B2%A1%E7%94%A2%E6%B3%95%E9%99%A2%E9%81%8B%E4%BD%9C%E5%AF%A6%E6%B3%81-%E5%B0%88%E9%A1%8C%E4%B8%89-%E6%B0%91%E4%BA%8B/" TargetMode="External"/><Relationship Id="rId17" Type="http://schemas.openxmlformats.org/officeDocument/2006/relationships/hyperlink" Target="https://www.aeaweb.org/articles?id=10.1257/app.2017022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eaweb.org/articles?id=10.1257/app.20160390" TargetMode="External"/><Relationship Id="rId20" Type="http://schemas.openxmlformats.org/officeDocument/2006/relationships/hyperlink" Target="https://arxiv.org/abs/2211.00974" TargetMode="Externa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hyperlink" Target="https://lawdata.com.tw/File/DC/Journal/J441/A00700047_001.pdf" TargetMode="External"/><Relationship Id="rId24" Type="http://schemas.openxmlformats.org/officeDocument/2006/relationships/hyperlink" Target="https://naipnews.naipo.com/22251/" TargetMode="External"/><Relationship Id="rId5" Type="http://schemas.openxmlformats.org/officeDocument/2006/relationships/webSettings" Target="webSettings.xml"/><Relationship Id="rId15" Type="http://schemas.openxmlformats.org/officeDocument/2006/relationships/hyperlink" Target="https://www.researchgate.net/publication/385352804_Natural_Language_Processing_for_the_Legal_Domain_A_Survey_of_Tasks_Datasets_Models_and_Challenges" TargetMode="External"/><Relationship Id="rId23" Type="http://schemas.openxmlformats.org/officeDocument/2006/relationships/hyperlink" Target="https://www.mdpi.com/2227-7390/10/5/683" TargetMode="External"/><Relationship Id="rId10" Type="http://schemas.openxmlformats.org/officeDocument/2006/relationships/hyperlink" Target="https://lawdata.com.tw/tw/doi/?doi=10.3966/181130952013121002001" TargetMode="External"/><Relationship Id="rId19" Type="http://schemas.openxmlformats.org/officeDocument/2006/relationships/hyperlink" Target="https://papers.ssrn.com/sol3/papers.cfm?abstract_id=2726903" TargetMode="External"/><Relationship Id="rId4" Type="http://schemas.openxmlformats.org/officeDocument/2006/relationships/settings" Target="settings.xml"/><Relationship Id="rId9" Type="http://schemas.openxmlformats.org/officeDocument/2006/relationships/hyperlink" Target="https://www.airitilibrary.com/Article/Detail/1018161x-201912-201912300022-201912300022-533-546" TargetMode="External"/><Relationship Id="rId14" Type="http://schemas.openxmlformats.org/officeDocument/2006/relationships/hyperlink" Target="https://github.com/ckiplab/ckip-transformers" TargetMode="External"/><Relationship Id="rId22" Type="http://schemas.openxmlformats.org/officeDocument/2006/relationships/hyperlink" Target="https://www.mdpi.com/2076-3417/11/21/10361"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lineChart>
        <c:grouping val="standard"/>
        <c:varyColors val="0"/>
        <c:ser>
          <c:idx val="0"/>
          <c:order val="0"/>
          <c:tx>
            <c:strRef>
              <c:f>工作表1!$B$1</c:f>
              <c:strCache>
                <c:ptCount val="1"/>
                <c:pt idx="0">
                  <c:v>行政</c:v>
                </c:pt>
              </c:strCache>
            </c:strRef>
          </c:tx>
          <c:spPr>
            <a:ln w="28575" cap="rnd">
              <a:solidFill>
                <a:schemeClr val="accent1"/>
              </a:solidFill>
              <a:round/>
            </a:ln>
            <a:effectLst/>
          </c:spPr>
          <c:marker>
            <c:symbol val="none"/>
          </c:marker>
          <c:cat>
            <c:strRef>
              <c:f>工作表1!$A$2:$A$7</c:f>
              <c:strCache>
                <c:ptCount val="6"/>
                <c:pt idx="0">
                  <c:v>80 ~ 85 年</c:v>
                </c:pt>
                <c:pt idx="1">
                  <c:v>86 ~ 89 年</c:v>
                </c:pt>
                <c:pt idx="2">
                  <c:v>90 ~ 95 年</c:v>
                </c:pt>
                <c:pt idx="3">
                  <c:v>96 ~ 101 年</c:v>
                </c:pt>
                <c:pt idx="4">
                  <c:v>102 ~ 107 年</c:v>
                </c:pt>
                <c:pt idx="5">
                  <c:v>108 ~ 113 年</c:v>
                </c:pt>
              </c:strCache>
            </c:strRef>
          </c:cat>
          <c:val>
            <c:numRef>
              <c:f>工作表1!$B$2:$B$7</c:f>
              <c:numCache>
                <c:formatCode>General</c:formatCode>
                <c:ptCount val="6"/>
                <c:pt idx="0">
                  <c:v>0</c:v>
                </c:pt>
                <c:pt idx="1">
                  <c:v>1004</c:v>
                </c:pt>
                <c:pt idx="2">
                  <c:v>3628</c:v>
                </c:pt>
                <c:pt idx="3">
                  <c:v>2431</c:v>
                </c:pt>
                <c:pt idx="4">
                  <c:v>1298</c:v>
                </c:pt>
                <c:pt idx="5">
                  <c:v>993</c:v>
                </c:pt>
              </c:numCache>
            </c:numRef>
          </c:val>
          <c:smooth val="0"/>
          <c:extLst>
            <c:ext xmlns:c16="http://schemas.microsoft.com/office/drawing/2014/chart" uri="{C3380CC4-5D6E-409C-BE32-E72D297353CC}">
              <c16:uniqueId val="{00000000-4501-4D08-8CA2-E54C52B80242}"/>
            </c:ext>
          </c:extLst>
        </c:ser>
        <c:ser>
          <c:idx val="1"/>
          <c:order val="1"/>
          <c:tx>
            <c:strRef>
              <c:f>工作表1!$C$1</c:f>
              <c:strCache>
                <c:ptCount val="1"/>
                <c:pt idx="0">
                  <c:v>民事</c:v>
                </c:pt>
              </c:strCache>
            </c:strRef>
          </c:tx>
          <c:spPr>
            <a:ln w="28575" cap="rnd">
              <a:solidFill>
                <a:schemeClr val="accent2"/>
              </a:solidFill>
              <a:round/>
            </a:ln>
            <a:effectLst/>
          </c:spPr>
          <c:marker>
            <c:symbol val="none"/>
          </c:marker>
          <c:cat>
            <c:strRef>
              <c:f>工作表1!$A$2:$A$7</c:f>
              <c:strCache>
                <c:ptCount val="6"/>
                <c:pt idx="0">
                  <c:v>80 ~ 85 年</c:v>
                </c:pt>
                <c:pt idx="1">
                  <c:v>86 ~ 89 年</c:v>
                </c:pt>
                <c:pt idx="2">
                  <c:v>90 ~ 95 年</c:v>
                </c:pt>
                <c:pt idx="3">
                  <c:v>96 ~ 101 年</c:v>
                </c:pt>
                <c:pt idx="4">
                  <c:v>102 ~ 107 年</c:v>
                </c:pt>
                <c:pt idx="5">
                  <c:v>108 ~ 113 年</c:v>
                </c:pt>
              </c:strCache>
            </c:strRef>
          </c:cat>
          <c:val>
            <c:numRef>
              <c:f>工作表1!$C$2:$C$7</c:f>
              <c:numCache>
                <c:formatCode>General</c:formatCode>
                <c:ptCount val="6"/>
                <c:pt idx="0">
                  <c:v>0</c:v>
                </c:pt>
                <c:pt idx="1">
                  <c:v>10</c:v>
                </c:pt>
                <c:pt idx="2">
                  <c:v>801</c:v>
                </c:pt>
                <c:pt idx="3">
                  <c:v>1780</c:v>
                </c:pt>
                <c:pt idx="4">
                  <c:v>1784</c:v>
                </c:pt>
                <c:pt idx="5">
                  <c:v>1455</c:v>
                </c:pt>
              </c:numCache>
            </c:numRef>
          </c:val>
          <c:smooth val="0"/>
          <c:extLst>
            <c:ext xmlns:c16="http://schemas.microsoft.com/office/drawing/2014/chart" uri="{C3380CC4-5D6E-409C-BE32-E72D297353CC}">
              <c16:uniqueId val="{00000001-4501-4D08-8CA2-E54C52B80242}"/>
            </c:ext>
          </c:extLst>
        </c:ser>
        <c:ser>
          <c:idx val="2"/>
          <c:order val="2"/>
          <c:tx>
            <c:strRef>
              <c:f>工作表1!$D$1</c:f>
              <c:strCache>
                <c:ptCount val="1"/>
                <c:pt idx="0">
                  <c:v>刑事</c:v>
                </c:pt>
              </c:strCache>
            </c:strRef>
          </c:tx>
          <c:spPr>
            <a:ln w="28575" cap="rnd">
              <a:solidFill>
                <a:schemeClr val="accent3"/>
              </a:solidFill>
              <a:round/>
            </a:ln>
            <a:effectLst/>
          </c:spPr>
          <c:marker>
            <c:symbol val="none"/>
          </c:marker>
          <c:cat>
            <c:strRef>
              <c:f>工作表1!$A$2:$A$7</c:f>
              <c:strCache>
                <c:ptCount val="6"/>
                <c:pt idx="0">
                  <c:v>80 ~ 85 年</c:v>
                </c:pt>
                <c:pt idx="1">
                  <c:v>86 ~ 89 年</c:v>
                </c:pt>
                <c:pt idx="2">
                  <c:v>90 ~ 95 年</c:v>
                </c:pt>
                <c:pt idx="3">
                  <c:v>96 ~ 101 年</c:v>
                </c:pt>
                <c:pt idx="4">
                  <c:v>102 ~ 107 年</c:v>
                </c:pt>
                <c:pt idx="5">
                  <c:v>108 ~ 113 年</c:v>
                </c:pt>
              </c:strCache>
            </c:strRef>
          </c:cat>
          <c:val>
            <c:numRef>
              <c:f>工作表1!$D$2:$D$7</c:f>
              <c:numCache>
                <c:formatCode>General</c:formatCode>
                <c:ptCount val="6"/>
                <c:pt idx="0">
                  <c:v>13</c:v>
                </c:pt>
                <c:pt idx="1">
                  <c:v>1136</c:v>
                </c:pt>
                <c:pt idx="2">
                  <c:v>5525</c:v>
                </c:pt>
                <c:pt idx="3">
                  <c:v>7140</c:v>
                </c:pt>
                <c:pt idx="4">
                  <c:v>5916</c:v>
                </c:pt>
                <c:pt idx="5">
                  <c:v>4918</c:v>
                </c:pt>
              </c:numCache>
            </c:numRef>
          </c:val>
          <c:smooth val="0"/>
          <c:extLst>
            <c:ext xmlns:c16="http://schemas.microsoft.com/office/drawing/2014/chart" uri="{C3380CC4-5D6E-409C-BE32-E72D297353CC}">
              <c16:uniqueId val="{00000002-4501-4D08-8CA2-E54C52B80242}"/>
            </c:ext>
          </c:extLst>
        </c:ser>
        <c:ser>
          <c:idx val="3"/>
          <c:order val="3"/>
          <c:tx>
            <c:strRef>
              <c:f>工作表1!$E$1</c:f>
              <c:strCache>
                <c:ptCount val="1"/>
                <c:pt idx="0">
                  <c:v>刑事附民事</c:v>
                </c:pt>
              </c:strCache>
            </c:strRef>
          </c:tx>
          <c:spPr>
            <a:ln w="28575" cap="rnd">
              <a:solidFill>
                <a:schemeClr val="accent4"/>
              </a:solidFill>
              <a:round/>
            </a:ln>
            <a:effectLst/>
          </c:spPr>
          <c:marker>
            <c:symbol val="none"/>
          </c:marker>
          <c:cat>
            <c:strRef>
              <c:f>工作表1!$A$2:$A$7</c:f>
              <c:strCache>
                <c:ptCount val="6"/>
                <c:pt idx="0">
                  <c:v>80 ~ 85 年</c:v>
                </c:pt>
                <c:pt idx="1">
                  <c:v>86 ~ 89 年</c:v>
                </c:pt>
                <c:pt idx="2">
                  <c:v>90 ~ 95 年</c:v>
                </c:pt>
                <c:pt idx="3">
                  <c:v>96 ~ 101 年</c:v>
                </c:pt>
                <c:pt idx="4">
                  <c:v>102 ~ 107 年</c:v>
                </c:pt>
                <c:pt idx="5">
                  <c:v>108 ~ 113 年</c:v>
                </c:pt>
              </c:strCache>
            </c:strRef>
          </c:cat>
          <c:val>
            <c:numRef>
              <c:f>工作表1!$E$2:$E$7</c:f>
              <c:numCache>
                <c:formatCode>General</c:formatCode>
                <c:ptCount val="6"/>
                <c:pt idx="0">
                  <c:v>0</c:v>
                </c:pt>
                <c:pt idx="1">
                  <c:v>30</c:v>
                </c:pt>
                <c:pt idx="2">
                  <c:v>44</c:v>
                </c:pt>
                <c:pt idx="3">
                  <c:v>409</c:v>
                </c:pt>
                <c:pt idx="4">
                  <c:v>686</c:v>
                </c:pt>
                <c:pt idx="5">
                  <c:v>638</c:v>
                </c:pt>
              </c:numCache>
            </c:numRef>
          </c:val>
          <c:smooth val="0"/>
          <c:extLst>
            <c:ext xmlns:c16="http://schemas.microsoft.com/office/drawing/2014/chart" uri="{C3380CC4-5D6E-409C-BE32-E72D297353CC}">
              <c16:uniqueId val="{00000003-4501-4D08-8CA2-E54C52B80242}"/>
            </c:ext>
          </c:extLst>
        </c:ser>
        <c:ser>
          <c:idx val="4"/>
          <c:order val="4"/>
          <c:tx>
            <c:strRef>
              <c:f>工作表1!$F$1</c:f>
              <c:strCache>
                <c:ptCount val="1"/>
                <c:pt idx="0">
                  <c:v>其他</c:v>
                </c:pt>
              </c:strCache>
            </c:strRef>
          </c:tx>
          <c:spPr>
            <a:ln w="28575" cap="rnd">
              <a:solidFill>
                <a:schemeClr val="accent5"/>
              </a:solidFill>
              <a:round/>
            </a:ln>
            <a:effectLst/>
          </c:spPr>
          <c:marker>
            <c:symbol val="none"/>
          </c:marker>
          <c:cat>
            <c:strRef>
              <c:f>工作表1!$A$2:$A$7</c:f>
              <c:strCache>
                <c:ptCount val="6"/>
                <c:pt idx="0">
                  <c:v>80 ~ 85 年</c:v>
                </c:pt>
                <c:pt idx="1">
                  <c:v>86 ~ 89 年</c:v>
                </c:pt>
                <c:pt idx="2">
                  <c:v>90 ~ 95 年</c:v>
                </c:pt>
                <c:pt idx="3">
                  <c:v>96 ~ 101 年</c:v>
                </c:pt>
                <c:pt idx="4">
                  <c:v>102 ~ 107 年</c:v>
                </c:pt>
                <c:pt idx="5">
                  <c:v>108 ~ 113 年</c:v>
                </c:pt>
              </c:strCache>
            </c:strRef>
          </c:cat>
          <c:val>
            <c:numRef>
              <c:f>工作表1!$F$2:$F$7</c:f>
              <c:numCache>
                <c:formatCode>General</c:formatCode>
                <c:ptCount val="6"/>
                <c:pt idx="0">
                  <c:v>0</c:v>
                </c:pt>
                <c:pt idx="1">
                  <c:v>637</c:v>
                </c:pt>
                <c:pt idx="2">
                  <c:v>5926</c:v>
                </c:pt>
                <c:pt idx="3">
                  <c:v>6500</c:v>
                </c:pt>
                <c:pt idx="4">
                  <c:v>6105</c:v>
                </c:pt>
                <c:pt idx="5">
                  <c:v>6</c:v>
                </c:pt>
              </c:numCache>
            </c:numRef>
          </c:val>
          <c:smooth val="0"/>
          <c:extLst>
            <c:ext xmlns:c16="http://schemas.microsoft.com/office/drawing/2014/chart" uri="{C3380CC4-5D6E-409C-BE32-E72D297353CC}">
              <c16:uniqueId val="{00000004-4501-4D08-8CA2-E54C52B80242}"/>
            </c:ext>
          </c:extLst>
        </c:ser>
        <c:dLbls>
          <c:showLegendKey val="0"/>
          <c:showVal val="0"/>
          <c:showCatName val="0"/>
          <c:showSerName val="0"/>
          <c:showPercent val="0"/>
          <c:showBubbleSize val="0"/>
        </c:dLbls>
        <c:smooth val="0"/>
        <c:axId val="1475366224"/>
        <c:axId val="1475366704"/>
      </c:lineChart>
      <c:catAx>
        <c:axId val="147536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75366704"/>
        <c:crosses val="autoZero"/>
        <c:auto val="1"/>
        <c:lblAlgn val="ctr"/>
        <c:lblOffset val="100"/>
        <c:noMultiLvlLbl val="0"/>
      </c:catAx>
      <c:valAx>
        <c:axId val="1475366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75366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percentStacked"/>
        <c:varyColors val="0"/>
        <c:ser>
          <c:idx val="0"/>
          <c:order val="0"/>
          <c:tx>
            <c:strRef>
              <c:f>工作表1!$B$1</c:f>
              <c:strCache>
                <c:ptCount val="1"/>
                <c:pt idx="0">
                  <c:v>勝訴</c:v>
                </c:pt>
              </c:strCache>
            </c:strRef>
          </c:tx>
          <c:spPr>
            <a:solidFill>
              <a:schemeClr val="accent1"/>
            </a:solidFill>
            <a:ln>
              <a:noFill/>
            </a:ln>
            <a:effectLst/>
          </c:spPr>
          <c:invertIfNegative val="0"/>
          <c:cat>
            <c:strRef>
              <c:f>工作表1!$A$2:$A$7</c:f>
              <c:strCache>
                <c:ptCount val="6"/>
                <c:pt idx="0">
                  <c:v>80 ~ 85 年</c:v>
                </c:pt>
                <c:pt idx="1">
                  <c:v>86 ~ 89 年</c:v>
                </c:pt>
                <c:pt idx="2">
                  <c:v>90 ~ 95 年</c:v>
                </c:pt>
                <c:pt idx="3">
                  <c:v>96 ~ 101 年</c:v>
                </c:pt>
                <c:pt idx="4">
                  <c:v>102 ~ 107 年</c:v>
                </c:pt>
                <c:pt idx="5">
                  <c:v>108 ~ 113 年</c:v>
                </c:pt>
              </c:strCache>
            </c:strRef>
          </c:cat>
          <c:val>
            <c:numRef>
              <c:f>工作表1!$B$2:$B$7</c:f>
              <c:numCache>
                <c:formatCode>General</c:formatCode>
                <c:ptCount val="6"/>
                <c:pt idx="0">
                  <c:v>2</c:v>
                </c:pt>
                <c:pt idx="1">
                  <c:v>904</c:v>
                </c:pt>
                <c:pt idx="2">
                  <c:v>4846</c:v>
                </c:pt>
                <c:pt idx="3">
                  <c:v>6421</c:v>
                </c:pt>
                <c:pt idx="4">
                  <c:v>5529</c:v>
                </c:pt>
                <c:pt idx="5">
                  <c:v>4802</c:v>
                </c:pt>
              </c:numCache>
            </c:numRef>
          </c:val>
          <c:extLst>
            <c:ext xmlns:c16="http://schemas.microsoft.com/office/drawing/2014/chart" uri="{C3380CC4-5D6E-409C-BE32-E72D297353CC}">
              <c16:uniqueId val="{00000000-C9EF-4BE0-96EC-BFF78121F2C0}"/>
            </c:ext>
          </c:extLst>
        </c:ser>
        <c:ser>
          <c:idx val="1"/>
          <c:order val="1"/>
          <c:tx>
            <c:strRef>
              <c:f>工作表1!$C$1</c:f>
              <c:strCache>
                <c:ptCount val="1"/>
                <c:pt idx="0">
                  <c:v>敗訴</c:v>
                </c:pt>
              </c:strCache>
            </c:strRef>
          </c:tx>
          <c:spPr>
            <a:solidFill>
              <a:schemeClr val="accent2"/>
            </a:solidFill>
            <a:ln>
              <a:noFill/>
            </a:ln>
            <a:effectLst/>
          </c:spPr>
          <c:invertIfNegative val="0"/>
          <c:cat>
            <c:strRef>
              <c:f>工作表1!$A$2:$A$7</c:f>
              <c:strCache>
                <c:ptCount val="6"/>
                <c:pt idx="0">
                  <c:v>80 ~ 85 年</c:v>
                </c:pt>
                <c:pt idx="1">
                  <c:v>86 ~ 89 年</c:v>
                </c:pt>
                <c:pt idx="2">
                  <c:v>90 ~ 95 年</c:v>
                </c:pt>
                <c:pt idx="3">
                  <c:v>96 ~ 101 年</c:v>
                </c:pt>
                <c:pt idx="4">
                  <c:v>102 ~ 107 年</c:v>
                </c:pt>
                <c:pt idx="5">
                  <c:v>108 ~ 113 年</c:v>
                </c:pt>
              </c:strCache>
            </c:strRef>
          </c:cat>
          <c:val>
            <c:numRef>
              <c:f>工作表1!$C$2:$C$7</c:f>
              <c:numCache>
                <c:formatCode>General</c:formatCode>
                <c:ptCount val="6"/>
                <c:pt idx="0">
                  <c:v>10</c:v>
                </c:pt>
                <c:pt idx="1">
                  <c:v>1174</c:v>
                </c:pt>
                <c:pt idx="2">
                  <c:v>4687</c:v>
                </c:pt>
                <c:pt idx="3">
                  <c:v>4728</c:v>
                </c:pt>
                <c:pt idx="4">
                  <c:v>3598</c:v>
                </c:pt>
                <c:pt idx="5">
                  <c:v>2691</c:v>
                </c:pt>
              </c:numCache>
            </c:numRef>
          </c:val>
          <c:extLst>
            <c:ext xmlns:c16="http://schemas.microsoft.com/office/drawing/2014/chart" uri="{C3380CC4-5D6E-409C-BE32-E72D297353CC}">
              <c16:uniqueId val="{00000001-C9EF-4BE0-96EC-BFF78121F2C0}"/>
            </c:ext>
          </c:extLst>
        </c:ser>
        <c:ser>
          <c:idx val="2"/>
          <c:order val="2"/>
          <c:tx>
            <c:strRef>
              <c:f>工作表1!$D$1</c:f>
              <c:strCache>
                <c:ptCount val="1"/>
                <c:pt idx="0">
                  <c:v>部分勝訴</c:v>
                </c:pt>
              </c:strCache>
            </c:strRef>
          </c:tx>
          <c:spPr>
            <a:solidFill>
              <a:schemeClr val="accent3"/>
            </a:solidFill>
            <a:ln>
              <a:noFill/>
            </a:ln>
            <a:effectLst/>
          </c:spPr>
          <c:invertIfNegative val="0"/>
          <c:cat>
            <c:strRef>
              <c:f>工作表1!$A$2:$A$7</c:f>
              <c:strCache>
                <c:ptCount val="6"/>
                <c:pt idx="0">
                  <c:v>80 ~ 85 年</c:v>
                </c:pt>
                <c:pt idx="1">
                  <c:v>86 ~ 89 年</c:v>
                </c:pt>
                <c:pt idx="2">
                  <c:v>90 ~ 95 年</c:v>
                </c:pt>
                <c:pt idx="3">
                  <c:v>96 ~ 101 年</c:v>
                </c:pt>
                <c:pt idx="4">
                  <c:v>102 ~ 107 年</c:v>
                </c:pt>
                <c:pt idx="5">
                  <c:v>108 ~ 113 年</c:v>
                </c:pt>
              </c:strCache>
            </c:strRef>
          </c:cat>
          <c:val>
            <c:numRef>
              <c:f>工作表1!$D$2:$D$7</c:f>
              <c:numCache>
                <c:formatCode>General</c:formatCode>
                <c:ptCount val="6"/>
                <c:pt idx="0">
                  <c:v>0</c:v>
                </c:pt>
                <c:pt idx="1">
                  <c:v>2</c:v>
                </c:pt>
                <c:pt idx="2">
                  <c:v>77</c:v>
                </c:pt>
                <c:pt idx="3">
                  <c:v>115</c:v>
                </c:pt>
                <c:pt idx="4">
                  <c:v>104</c:v>
                </c:pt>
                <c:pt idx="5">
                  <c:v>77</c:v>
                </c:pt>
              </c:numCache>
            </c:numRef>
          </c:val>
          <c:extLst>
            <c:ext xmlns:c16="http://schemas.microsoft.com/office/drawing/2014/chart" uri="{C3380CC4-5D6E-409C-BE32-E72D297353CC}">
              <c16:uniqueId val="{00000002-C9EF-4BE0-96EC-BFF78121F2C0}"/>
            </c:ext>
          </c:extLst>
        </c:ser>
        <c:ser>
          <c:idx val="3"/>
          <c:order val="3"/>
          <c:tx>
            <c:strRef>
              <c:f>工作表1!$E$1</c:f>
              <c:strCache>
                <c:ptCount val="1"/>
                <c:pt idx="0">
                  <c:v>其他</c:v>
                </c:pt>
              </c:strCache>
            </c:strRef>
          </c:tx>
          <c:spPr>
            <a:solidFill>
              <a:schemeClr val="accent4"/>
            </a:solidFill>
            <a:ln>
              <a:noFill/>
            </a:ln>
            <a:effectLst/>
          </c:spPr>
          <c:invertIfNegative val="0"/>
          <c:cat>
            <c:strRef>
              <c:f>工作表1!$A$2:$A$7</c:f>
              <c:strCache>
                <c:ptCount val="6"/>
                <c:pt idx="0">
                  <c:v>80 ~ 85 年</c:v>
                </c:pt>
                <c:pt idx="1">
                  <c:v>86 ~ 89 年</c:v>
                </c:pt>
                <c:pt idx="2">
                  <c:v>90 ~ 95 年</c:v>
                </c:pt>
                <c:pt idx="3">
                  <c:v>96 ~ 101 年</c:v>
                </c:pt>
                <c:pt idx="4">
                  <c:v>102 ~ 107 年</c:v>
                </c:pt>
                <c:pt idx="5">
                  <c:v>108 ~ 113 年</c:v>
                </c:pt>
              </c:strCache>
            </c:strRef>
          </c:cat>
          <c:val>
            <c:numRef>
              <c:f>工作表1!$E$2:$E$7</c:f>
              <c:numCache>
                <c:formatCode>General</c:formatCode>
                <c:ptCount val="6"/>
                <c:pt idx="0">
                  <c:v>0</c:v>
                </c:pt>
                <c:pt idx="1">
                  <c:v>100</c:v>
                </c:pt>
                <c:pt idx="2">
                  <c:v>388</c:v>
                </c:pt>
                <c:pt idx="3">
                  <c:v>496</c:v>
                </c:pt>
                <c:pt idx="4">
                  <c:v>453</c:v>
                </c:pt>
                <c:pt idx="5">
                  <c:v>434</c:v>
                </c:pt>
              </c:numCache>
            </c:numRef>
          </c:val>
          <c:extLst>
            <c:ext xmlns:c16="http://schemas.microsoft.com/office/drawing/2014/chart" uri="{C3380CC4-5D6E-409C-BE32-E72D297353CC}">
              <c16:uniqueId val="{00000003-C9EF-4BE0-96EC-BFF78121F2C0}"/>
            </c:ext>
          </c:extLst>
        </c:ser>
        <c:dLbls>
          <c:showLegendKey val="0"/>
          <c:showVal val="0"/>
          <c:showCatName val="0"/>
          <c:showSerName val="0"/>
          <c:showPercent val="0"/>
          <c:showBubbleSize val="0"/>
        </c:dLbls>
        <c:gapWidth val="150"/>
        <c:overlap val="100"/>
        <c:axId val="1646572496"/>
        <c:axId val="1646576336"/>
      </c:barChart>
      <c:catAx>
        <c:axId val="164657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646576336"/>
        <c:crosses val="autoZero"/>
        <c:auto val="1"/>
        <c:lblAlgn val="ctr"/>
        <c:lblOffset val="100"/>
        <c:noMultiLvlLbl val="0"/>
      </c:catAx>
      <c:valAx>
        <c:axId val="16465763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646572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barChart>
        <c:barDir val="col"/>
        <c:grouping val="stacked"/>
        <c:varyColors val="0"/>
        <c:ser>
          <c:idx val="0"/>
          <c:order val="0"/>
          <c:tx>
            <c:strRef>
              <c:f>工作表1!$B$1</c:f>
              <c:strCache>
                <c:ptCount val="1"/>
                <c:pt idx="0">
                  <c:v>勝訴</c:v>
                </c:pt>
              </c:strCache>
            </c:strRef>
          </c:tx>
          <c:spPr>
            <a:solidFill>
              <a:schemeClr val="accent1"/>
            </a:solidFill>
            <a:ln>
              <a:noFill/>
            </a:ln>
            <a:effectLst/>
          </c:spPr>
          <c:invertIfNegative val="0"/>
          <c:cat>
            <c:strRef>
              <c:f>工作表1!$A$2:$A$5</c:f>
              <c:strCache>
                <c:ptCount val="4"/>
                <c:pt idx="0">
                  <c:v>行政</c:v>
                </c:pt>
                <c:pt idx="1">
                  <c:v>民事</c:v>
                </c:pt>
                <c:pt idx="2">
                  <c:v>刑事</c:v>
                </c:pt>
                <c:pt idx="3">
                  <c:v>刑事附民事</c:v>
                </c:pt>
              </c:strCache>
            </c:strRef>
          </c:cat>
          <c:val>
            <c:numRef>
              <c:f>工作表1!$B$2:$B$5</c:f>
              <c:numCache>
                <c:formatCode>General</c:formatCode>
                <c:ptCount val="4"/>
                <c:pt idx="0">
                  <c:v>987</c:v>
                </c:pt>
                <c:pt idx="1">
                  <c:v>1312</c:v>
                </c:pt>
                <c:pt idx="2">
                  <c:v>19166</c:v>
                </c:pt>
                <c:pt idx="3">
                  <c:v>1039</c:v>
                </c:pt>
              </c:numCache>
            </c:numRef>
          </c:val>
          <c:extLst>
            <c:ext xmlns:c16="http://schemas.microsoft.com/office/drawing/2014/chart" uri="{C3380CC4-5D6E-409C-BE32-E72D297353CC}">
              <c16:uniqueId val="{00000000-028D-46E2-8E10-DCF28A7DAED5}"/>
            </c:ext>
          </c:extLst>
        </c:ser>
        <c:ser>
          <c:idx val="1"/>
          <c:order val="1"/>
          <c:tx>
            <c:strRef>
              <c:f>工作表1!$C$1</c:f>
              <c:strCache>
                <c:ptCount val="1"/>
                <c:pt idx="0">
                  <c:v>敗訴</c:v>
                </c:pt>
              </c:strCache>
            </c:strRef>
          </c:tx>
          <c:spPr>
            <a:solidFill>
              <a:schemeClr val="accent2"/>
            </a:solidFill>
            <a:ln>
              <a:noFill/>
            </a:ln>
            <a:effectLst/>
          </c:spPr>
          <c:invertIfNegative val="0"/>
          <c:cat>
            <c:strRef>
              <c:f>工作表1!$A$2:$A$5</c:f>
              <c:strCache>
                <c:ptCount val="4"/>
                <c:pt idx="0">
                  <c:v>行政</c:v>
                </c:pt>
                <c:pt idx="1">
                  <c:v>民事</c:v>
                </c:pt>
                <c:pt idx="2">
                  <c:v>刑事</c:v>
                </c:pt>
                <c:pt idx="3">
                  <c:v>刑事附民事</c:v>
                </c:pt>
              </c:strCache>
            </c:strRef>
          </c:cat>
          <c:val>
            <c:numRef>
              <c:f>工作表1!$C$2:$C$5</c:f>
              <c:numCache>
                <c:formatCode>General</c:formatCode>
                <c:ptCount val="4"/>
                <c:pt idx="0">
                  <c:v>8064</c:v>
                </c:pt>
                <c:pt idx="1">
                  <c:v>3965</c:v>
                </c:pt>
                <c:pt idx="2">
                  <c:v>4114</c:v>
                </c:pt>
                <c:pt idx="3">
                  <c:v>745</c:v>
                </c:pt>
              </c:numCache>
            </c:numRef>
          </c:val>
          <c:extLst>
            <c:ext xmlns:c16="http://schemas.microsoft.com/office/drawing/2014/chart" uri="{C3380CC4-5D6E-409C-BE32-E72D297353CC}">
              <c16:uniqueId val="{00000001-028D-46E2-8E10-DCF28A7DAED5}"/>
            </c:ext>
          </c:extLst>
        </c:ser>
        <c:ser>
          <c:idx val="2"/>
          <c:order val="2"/>
          <c:tx>
            <c:strRef>
              <c:f>工作表1!$D$1</c:f>
              <c:strCache>
                <c:ptCount val="1"/>
                <c:pt idx="0">
                  <c:v>部分勝訴</c:v>
                </c:pt>
              </c:strCache>
            </c:strRef>
          </c:tx>
          <c:spPr>
            <a:solidFill>
              <a:schemeClr val="accent3"/>
            </a:solidFill>
            <a:ln>
              <a:noFill/>
            </a:ln>
            <a:effectLst/>
          </c:spPr>
          <c:invertIfNegative val="0"/>
          <c:cat>
            <c:strRef>
              <c:f>工作表1!$A$2:$A$5</c:f>
              <c:strCache>
                <c:ptCount val="4"/>
                <c:pt idx="0">
                  <c:v>行政</c:v>
                </c:pt>
                <c:pt idx="1">
                  <c:v>民事</c:v>
                </c:pt>
                <c:pt idx="2">
                  <c:v>刑事</c:v>
                </c:pt>
                <c:pt idx="3">
                  <c:v>刑事附民事</c:v>
                </c:pt>
              </c:strCache>
            </c:strRef>
          </c:cat>
          <c:val>
            <c:numRef>
              <c:f>工作表1!$D$2:$D$5</c:f>
              <c:numCache>
                <c:formatCode>General</c:formatCode>
                <c:ptCount val="4"/>
                <c:pt idx="0">
                  <c:v>40</c:v>
                </c:pt>
                <c:pt idx="1">
                  <c:v>257</c:v>
                </c:pt>
                <c:pt idx="2">
                  <c:v>78</c:v>
                </c:pt>
                <c:pt idx="3">
                  <c:v>0</c:v>
                </c:pt>
              </c:numCache>
            </c:numRef>
          </c:val>
          <c:extLst>
            <c:ext xmlns:c16="http://schemas.microsoft.com/office/drawing/2014/chart" uri="{C3380CC4-5D6E-409C-BE32-E72D297353CC}">
              <c16:uniqueId val="{00000002-028D-46E2-8E10-DCF28A7DAED5}"/>
            </c:ext>
          </c:extLst>
        </c:ser>
        <c:ser>
          <c:idx val="3"/>
          <c:order val="3"/>
          <c:tx>
            <c:strRef>
              <c:f>工作表1!$E$1</c:f>
              <c:strCache>
                <c:ptCount val="1"/>
                <c:pt idx="0">
                  <c:v>其他</c:v>
                </c:pt>
              </c:strCache>
            </c:strRef>
          </c:tx>
          <c:spPr>
            <a:solidFill>
              <a:schemeClr val="accent4"/>
            </a:solidFill>
            <a:ln>
              <a:noFill/>
            </a:ln>
            <a:effectLst/>
          </c:spPr>
          <c:invertIfNegative val="0"/>
          <c:cat>
            <c:strRef>
              <c:f>工作表1!$A$2:$A$5</c:f>
              <c:strCache>
                <c:ptCount val="4"/>
                <c:pt idx="0">
                  <c:v>行政</c:v>
                </c:pt>
                <c:pt idx="1">
                  <c:v>民事</c:v>
                </c:pt>
                <c:pt idx="2">
                  <c:v>刑事</c:v>
                </c:pt>
                <c:pt idx="3">
                  <c:v>刑事附民事</c:v>
                </c:pt>
              </c:strCache>
            </c:strRef>
          </c:cat>
          <c:val>
            <c:numRef>
              <c:f>工作表1!$E$2:$E$5</c:f>
              <c:numCache>
                <c:formatCode>General</c:formatCode>
                <c:ptCount val="4"/>
                <c:pt idx="0">
                  <c:v>263</c:v>
                </c:pt>
                <c:pt idx="1">
                  <c:v>296</c:v>
                </c:pt>
                <c:pt idx="2">
                  <c:v>1290</c:v>
                </c:pt>
                <c:pt idx="3">
                  <c:v>17</c:v>
                </c:pt>
              </c:numCache>
            </c:numRef>
          </c:val>
          <c:extLst>
            <c:ext xmlns:c16="http://schemas.microsoft.com/office/drawing/2014/chart" uri="{C3380CC4-5D6E-409C-BE32-E72D297353CC}">
              <c16:uniqueId val="{00000003-028D-46E2-8E10-DCF28A7DAED5}"/>
            </c:ext>
          </c:extLst>
        </c:ser>
        <c:dLbls>
          <c:showLegendKey val="0"/>
          <c:showVal val="0"/>
          <c:showCatName val="0"/>
          <c:showSerName val="0"/>
          <c:showPercent val="0"/>
          <c:showBubbleSize val="0"/>
        </c:dLbls>
        <c:gapWidth val="150"/>
        <c:overlap val="100"/>
        <c:axId val="1416440176"/>
        <c:axId val="1416440656"/>
      </c:barChart>
      <c:catAx>
        <c:axId val="141644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16440656"/>
        <c:crosses val="autoZero"/>
        <c:auto val="1"/>
        <c:lblAlgn val="ctr"/>
        <c:lblOffset val="100"/>
        <c:noMultiLvlLbl val="0"/>
      </c:catAx>
      <c:valAx>
        <c:axId val="141644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1644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0A66-9EA6-497A-A4B3-EB69C5C9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1913</Words>
  <Characters>10908</Characters>
  <Application>Microsoft Office Word</Application>
  <DocSecurity>0</DocSecurity>
  <Lines>90</Lines>
  <Paragraphs>25</Paragraphs>
  <ScaleCrop>false</ScaleCrop>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信全 陳</dc:creator>
  <cp:keywords/>
  <dc:description/>
  <cp:lastModifiedBy>陳信全</cp:lastModifiedBy>
  <cp:revision>5</cp:revision>
  <dcterms:created xsi:type="dcterms:W3CDTF">2026-01-27T06:28:00Z</dcterms:created>
  <dcterms:modified xsi:type="dcterms:W3CDTF">2026-03-14T05:55:00Z</dcterms:modified>
</cp:coreProperties>
</file>