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8D22" w14:textId="77777777" w:rsidR="009A509E" w:rsidRPr="008562E0" w:rsidRDefault="00000000">
      <w:pPr>
        <w:pStyle w:val="1"/>
        <w:jc w:val="center"/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個人分析摘要</w:t>
      </w:r>
    </w:p>
    <w:p w14:paraId="61E51AA1" w14:textId="77777777" w:rsidR="009A509E" w:rsidRPr="008562E0" w:rsidRDefault="00000000">
      <w:pPr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課程名稱：金融數據分析</w:t>
      </w:r>
    </w:p>
    <w:p w14:paraId="2D3B850E" w14:textId="77777777" w:rsidR="009A509E" w:rsidRPr="008562E0" w:rsidRDefault="00000000">
      <w:pPr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姓名：王俊達</w:t>
      </w:r>
    </w:p>
    <w:p w14:paraId="5F6C3982" w14:textId="5AD3ED97" w:rsidR="009A509E" w:rsidRPr="008562E0" w:rsidRDefault="00000000">
      <w:pPr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學號：（</w:t>
      </w:r>
      <w:r w:rsidR="0075745B" w:rsidRPr="008562E0">
        <w:rPr>
          <w:rFonts w:ascii="Times New Roman" w:eastAsia="標楷體-繁" w:hAnsi="Times New Roman" w:cs="Times New Roman"/>
          <w:lang w:eastAsia="zh-TW"/>
        </w:rPr>
        <w:t>611336036</w:t>
      </w:r>
      <w:r w:rsidRPr="008562E0">
        <w:rPr>
          <w:rFonts w:ascii="Times New Roman" w:eastAsia="標楷體-繁" w:hAnsi="Times New Roman" w:cs="Times New Roman"/>
          <w:lang w:eastAsia="zh-TW"/>
        </w:rPr>
        <w:t>）</w:t>
      </w:r>
    </w:p>
    <w:p w14:paraId="55E71EBF" w14:textId="77777777" w:rsidR="009A509E" w:rsidRPr="008562E0" w:rsidRDefault="00000000">
      <w:pPr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第四家標的：廣達（</w:t>
      </w:r>
      <w:r w:rsidRPr="008562E0">
        <w:rPr>
          <w:rFonts w:ascii="Times New Roman" w:eastAsia="標楷體-繁" w:hAnsi="Times New Roman" w:cs="Times New Roman"/>
          <w:lang w:eastAsia="zh-TW"/>
        </w:rPr>
        <w:t>2382.TW</w:t>
      </w:r>
      <w:r w:rsidRPr="008562E0">
        <w:rPr>
          <w:rFonts w:ascii="Times New Roman" w:eastAsia="標楷體-繁" w:hAnsi="Times New Roman" w:cs="Times New Roman"/>
          <w:lang w:eastAsia="zh-TW"/>
        </w:rPr>
        <w:t>）</w:t>
      </w:r>
    </w:p>
    <w:p w14:paraId="1E935C28" w14:textId="77777777" w:rsidR="009A509E" w:rsidRPr="008562E0" w:rsidRDefault="009A509E">
      <w:pPr>
        <w:rPr>
          <w:rFonts w:ascii="Times New Roman" w:eastAsia="標楷體-繁" w:hAnsi="Times New Roman" w:cs="Times New Roman"/>
          <w:lang w:eastAsia="zh-TW"/>
        </w:rPr>
      </w:pPr>
    </w:p>
    <w:p w14:paraId="16432B0C" w14:textId="77777777" w:rsidR="009A509E" w:rsidRPr="008562E0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一、研究動機與第四家標的選取理由</w:t>
      </w:r>
    </w:p>
    <w:p w14:paraId="29D72DE6" w14:textId="77777777" w:rsidR="009A509E" w:rsidRPr="008562E0" w:rsidRDefault="00000000">
      <w:pPr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本次分析以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</w:t>
      </w:r>
      <w:r w:rsidRPr="008562E0">
        <w:rPr>
          <w:rFonts w:ascii="Times New Roman" w:eastAsia="標楷體-繁" w:hAnsi="Times New Roman" w:cs="Times New Roman"/>
          <w:lang w:eastAsia="zh-TW"/>
        </w:rPr>
        <w:t>台積電（</w:t>
      </w:r>
      <w:r w:rsidRPr="008562E0">
        <w:rPr>
          <w:rFonts w:ascii="Times New Roman" w:eastAsia="標楷體-繁" w:hAnsi="Times New Roman" w:cs="Times New Roman"/>
          <w:lang w:eastAsia="zh-TW"/>
        </w:rPr>
        <w:t>2330.TW</w:t>
      </w:r>
      <w:r w:rsidRPr="008562E0">
        <w:rPr>
          <w:rFonts w:ascii="Times New Roman" w:eastAsia="標楷體-繁" w:hAnsi="Times New Roman" w:cs="Times New Roman"/>
          <w:lang w:eastAsia="zh-TW"/>
        </w:rPr>
        <w:t>）、富邦金（</w:t>
      </w:r>
      <w:r w:rsidRPr="008562E0">
        <w:rPr>
          <w:rFonts w:ascii="Times New Roman" w:eastAsia="標楷體-繁" w:hAnsi="Times New Roman" w:cs="Times New Roman"/>
          <w:lang w:eastAsia="zh-TW"/>
        </w:rPr>
        <w:t>2881.TW</w:t>
      </w:r>
      <w:r w:rsidRPr="008562E0">
        <w:rPr>
          <w:rFonts w:ascii="Times New Roman" w:eastAsia="標楷體-繁" w:hAnsi="Times New Roman" w:cs="Times New Roman"/>
          <w:lang w:eastAsia="zh-TW"/>
        </w:rPr>
        <w:t>）、統一（</w:t>
      </w:r>
      <w:r w:rsidRPr="008562E0">
        <w:rPr>
          <w:rFonts w:ascii="Times New Roman" w:eastAsia="標楷體-繁" w:hAnsi="Times New Roman" w:cs="Times New Roman"/>
          <w:lang w:eastAsia="zh-TW"/>
        </w:rPr>
        <w:t>1216.TW</w:t>
      </w:r>
      <w:r w:rsidRPr="008562E0">
        <w:rPr>
          <w:rFonts w:ascii="Times New Roman" w:eastAsia="標楷體-繁" w:hAnsi="Times New Roman" w:cs="Times New Roman"/>
          <w:lang w:eastAsia="zh-TW"/>
        </w:rPr>
        <w:t>）為共同三家基礎標的，三者分屬半導體、金融保險、食品內需產業，具備中等程度的分散化基礎。個人選擇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</w:t>
      </w:r>
      <w:r w:rsidRPr="008562E0">
        <w:rPr>
          <w:rFonts w:ascii="Times New Roman" w:eastAsia="標楷體-繁" w:hAnsi="Times New Roman" w:cs="Times New Roman"/>
          <w:lang w:eastAsia="zh-TW"/>
        </w:rPr>
        <w:t>廣達（</w:t>
      </w:r>
      <w:r w:rsidRPr="008562E0">
        <w:rPr>
          <w:rFonts w:ascii="Times New Roman" w:eastAsia="標楷體-繁" w:hAnsi="Times New Roman" w:cs="Times New Roman"/>
          <w:lang w:eastAsia="zh-TW"/>
        </w:rPr>
        <w:t>2382.TW</w:t>
      </w:r>
      <w:r w:rsidRPr="008562E0">
        <w:rPr>
          <w:rFonts w:ascii="Times New Roman" w:eastAsia="標楷體-繁" w:hAnsi="Times New Roman" w:cs="Times New Roman"/>
          <w:lang w:eastAsia="zh-TW"/>
        </w:rPr>
        <w:t>）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</w:t>
      </w:r>
      <w:r w:rsidRPr="008562E0">
        <w:rPr>
          <w:rFonts w:ascii="Times New Roman" w:eastAsia="標楷體-繁" w:hAnsi="Times New Roman" w:cs="Times New Roman"/>
          <w:lang w:eastAsia="zh-TW"/>
        </w:rPr>
        <w:t>作為第四家標的，理由如下：</w:t>
      </w:r>
    </w:p>
    <w:p w14:paraId="3F088F6B" w14:textId="77777777" w:rsidR="009A509E" w:rsidRPr="008562E0" w:rsidRDefault="00000000">
      <w:pPr>
        <w:pStyle w:val="a0"/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動能與高報酬特性：廣達受惠於</w:t>
      </w:r>
      <w:r w:rsidRPr="008562E0">
        <w:rPr>
          <w:rFonts w:ascii="Times New Roman" w:eastAsia="標楷體-繁" w:hAnsi="Times New Roman" w:cs="Times New Roman"/>
          <w:lang w:eastAsia="zh-TW"/>
        </w:rPr>
        <w:t>AI</w:t>
      </w:r>
      <w:r w:rsidRPr="008562E0">
        <w:rPr>
          <w:rFonts w:ascii="Times New Roman" w:eastAsia="標楷體-繁" w:hAnsi="Times New Roman" w:cs="Times New Roman"/>
          <w:lang w:eastAsia="zh-TW"/>
        </w:rPr>
        <w:t>伺服器與科技趨勢，具備高成長動能，預期能有效拉高投資組合的預期報酬。</w:t>
      </w:r>
    </w:p>
    <w:p w14:paraId="4672E4EC" w14:textId="77777777" w:rsidR="009A509E" w:rsidRPr="008562E0" w:rsidRDefault="00000000">
      <w:pPr>
        <w:pStyle w:val="a0"/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相關性驗證：由相關係數矩陣可知，廣達雖與電子股具備一定相關性，但其強勁的報酬表現能改變整體的風險報酬結構。</w:t>
      </w:r>
    </w:p>
    <w:p w14:paraId="40C4FE89" w14:textId="77777777" w:rsidR="009A509E" w:rsidRPr="008562E0" w:rsidRDefault="00000000">
      <w:pPr>
        <w:pStyle w:val="a0"/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資料完整性：廣達為台灣最具代表性的科技大廠之一，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yfinance </w:t>
      </w:r>
      <w:r w:rsidRPr="008562E0">
        <w:rPr>
          <w:rFonts w:ascii="Times New Roman" w:eastAsia="標楷體-繁" w:hAnsi="Times New Roman" w:cs="Times New Roman"/>
          <w:lang w:eastAsia="zh-TW"/>
        </w:rPr>
        <w:t>平台資料完整，無缺值。</w:t>
      </w:r>
    </w:p>
    <w:p w14:paraId="6065AE93" w14:textId="77777777" w:rsidR="009A509E" w:rsidRPr="008562E0" w:rsidRDefault="009A509E">
      <w:pPr>
        <w:rPr>
          <w:rFonts w:ascii="Times New Roman" w:eastAsia="標楷體-繁" w:hAnsi="Times New Roman" w:cs="Times New Roman"/>
          <w:lang w:eastAsia="zh-TW"/>
        </w:rPr>
      </w:pPr>
    </w:p>
    <w:p w14:paraId="37E73151" w14:textId="77777777" w:rsidR="009A509E" w:rsidRPr="008562E0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二、三家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vs </w:t>
      </w:r>
      <w:r w:rsidRPr="008562E0">
        <w:rPr>
          <w:rFonts w:ascii="Times New Roman" w:eastAsia="標楷體-繁" w:hAnsi="Times New Roman" w:cs="Times New Roman"/>
          <w:lang w:eastAsia="zh-TW"/>
        </w:rPr>
        <w:t>四家效率前緣比較結果</w:t>
      </w:r>
    </w:p>
    <w:p w14:paraId="3B5BCA31" w14:textId="77777777" w:rsidR="009A509E" w:rsidRPr="008562E0" w:rsidRDefault="00000000">
      <w:pPr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以下比較加入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2382.TW </w:t>
      </w:r>
      <w:r w:rsidRPr="008562E0">
        <w:rPr>
          <w:rFonts w:ascii="Times New Roman" w:eastAsia="標楷體-繁" w:hAnsi="Times New Roman" w:cs="Times New Roman"/>
          <w:lang w:eastAsia="zh-TW"/>
        </w:rPr>
        <w:t>前後，最小變異投資組合（</w:t>
      </w:r>
      <w:r w:rsidRPr="008562E0">
        <w:rPr>
          <w:rFonts w:ascii="Times New Roman" w:eastAsia="標楷體-繁" w:hAnsi="Times New Roman" w:cs="Times New Roman"/>
          <w:lang w:eastAsia="zh-TW"/>
        </w:rPr>
        <w:t>MVP</w:t>
      </w:r>
      <w:r w:rsidRPr="008562E0">
        <w:rPr>
          <w:rFonts w:ascii="Times New Roman" w:eastAsia="標楷體-繁" w:hAnsi="Times New Roman" w:cs="Times New Roman"/>
          <w:lang w:eastAsia="zh-TW"/>
        </w:rPr>
        <w:t>）之風險與報酬變化：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509E" w:rsidRPr="008562E0" w14:paraId="4884F4D8" w14:textId="77777777">
        <w:tc>
          <w:tcPr>
            <w:tcW w:w="2880" w:type="dxa"/>
          </w:tcPr>
          <w:p w14:paraId="4B688481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  <w:b/>
              </w:rPr>
              <w:t>指標</w:t>
            </w:r>
          </w:p>
        </w:tc>
        <w:tc>
          <w:tcPr>
            <w:tcW w:w="2880" w:type="dxa"/>
          </w:tcPr>
          <w:p w14:paraId="03B02661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  <w:b/>
              </w:rPr>
              <w:t>三家基準</w:t>
            </w:r>
          </w:p>
        </w:tc>
        <w:tc>
          <w:tcPr>
            <w:tcW w:w="2880" w:type="dxa"/>
          </w:tcPr>
          <w:p w14:paraId="17BCFEBA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  <w:b/>
              </w:rPr>
              <w:t>四家（加入廣達）</w:t>
            </w:r>
          </w:p>
        </w:tc>
      </w:tr>
      <w:tr w:rsidR="009A509E" w:rsidRPr="008562E0" w14:paraId="2AB57365" w14:textId="77777777">
        <w:tc>
          <w:tcPr>
            <w:tcW w:w="2880" w:type="dxa"/>
          </w:tcPr>
          <w:p w14:paraId="2FB1E30D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月平均報酬率</w:t>
            </w:r>
          </w:p>
        </w:tc>
        <w:tc>
          <w:tcPr>
            <w:tcW w:w="2880" w:type="dxa"/>
          </w:tcPr>
          <w:p w14:paraId="566048BB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0.0111</w:t>
            </w:r>
          </w:p>
        </w:tc>
        <w:tc>
          <w:tcPr>
            <w:tcW w:w="2880" w:type="dxa"/>
          </w:tcPr>
          <w:p w14:paraId="46D31410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0.0112</w:t>
            </w:r>
          </w:p>
        </w:tc>
      </w:tr>
      <w:tr w:rsidR="009A509E" w:rsidRPr="008562E0" w14:paraId="58866BF7" w14:textId="77777777">
        <w:tc>
          <w:tcPr>
            <w:tcW w:w="2880" w:type="dxa"/>
          </w:tcPr>
          <w:p w14:paraId="0E18AB68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月標準差（風險）</w:t>
            </w:r>
          </w:p>
        </w:tc>
        <w:tc>
          <w:tcPr>
            <w:tcW w:w="2880" w:type="dxa"/>
          </w:tcPr>
          <w:p w14:paraId="637473B8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0.0385</w:t>
            </w:r>
          </w:p>
        </w:tc>
        <w:tc>
          <w:tcPr>
            <w:tcW w:w="2880" w:type="dxa"/>
          </w:tcPr>
          <w:p w14:paraId="058849DE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0.0380</w:t>
            </w:r>
          </w:p>
        </w:tc>
      </w:tr>
    </w:tbl>
    <w:p w14:paraId="37E8C3EA" w14:textId="77777777" w:rsidR="009A509E" w:rsidRPr="008562E0" w:rsidRDefault="009A509E">
      <w:pPr>
        <w:rPr>
          <w:rFonts w:ascii="Times New Roman" w:eastAsia="標楷體-繁" w:hAnsi="Times New Roman" w:cs="Times New Roman"/>
        </w:rPr>
      </w:pPr>
    </w:p>
    <w:p w14:paraId="77B0B209" w14:textId="77777777" w:rsidR="009A509E" w:rsidRPr="008562E0" w:rsidRDefault="00000000">
      <w:pPr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加入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2382.TW </w:t>
      </w:r>
      <w:r w:rsidRPr="008562E0">
        <w:rPr>
          <w:rFonts w:ascii="Times New Roman" w:eastAsia="標楷體-繁" w:hAnsi="Times New Roman" w:cs="Times New Roman"/>
          <w:lang w:eastAsia="zh-TW"/>
        </w:rPr>
        <w:t>後，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MVP </w:t>
      </w:r>
      <w:r w:rsidRPr="008562E0">
        <w:rPr>
          <w:rFonts w:ascii="Times New Roman" w:eastAsia="標楷體-繁" w:hAnsi="Times New Roman" w:cs="Times New Roman"/>
          <w:lang w:eastAsia="zh-TW"/>
        </w:rPr>
        <w:t>風險由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0.0385 </w:t>
      </w:r>
      <w:r w:rsidRPr="008562E0">
        <w:rPr>
          <w:rFonts w:ascii="Times New Roman" w:eastAsia="標楷體-繁" w:hAnsi="Times New Roman" w:cs="Times New Roman"/>
          <w:lang w:eastAsia="zh-TW"/>
        </w:rPr>
        <w:t>變化至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0.0380</w:t>
      </w:r>
      <w:r w:rsidRPr="008562E0">
        <w:rPr>
          <w:rFonts w:ascii="Times New Roman" w:eastAsia="標楷體-繁" w:hAnsi="Times New Roman" w:cs="Times New Roman"/>
          <w:lang w:eastAsia="zh-TW"/>
        </w:rPr>
        <w:t>（變化幅度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-1.26%</w:t>
      </w:r>
      <w:r w:rsidRPr="008562E0">
        <w:rPr>
          <w:rFonts w:ascii="Times New Roman" w:eastAsia="標楷體-繁" w:hAnsi="Times New Roman" w:cs="Times New Roman"/>
          <w:lang w:eastAsia="zh-TW"/>
        </w:rPr>
        <w:t>）。月平均報酬率由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0.0111 </w:t>
      </w:r>
      <w:r w:rsidRPr="008562E0">
        <w:rPr>
          <w:rFonts w:ascii="Times New Roman" w:eastAsia="標楷體-繁" w:hAnsi="Times New Roman" w:cs="Times New Roman"/>
          <w:lang w:eastAsia="zh-TW"/>
        </w:rPr>
        <w:t>變化至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0.0112</w:t>
      </w:r>
      <w:r w:rsidRPr="008562E0">
        <w:rPr>
          <w:rFonts w:ascii="Times New Roman" w:eastAsia="標楷體-繁" w:hAnsi="Times New Roman" w:cs="Times New Roman"/>
          <w:lang w:eastAsia="zh-TW"/>
        </w:rPr>
        <w:t>（變化幅度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+1.21%</w:t>
      </w:r>
      <w:r w:rsidRPr="008562E0">
        <w:rPr>
          <w:rFonts w:ascii="Times New Roman" w:eastAsia="標楷體-繁" w:hAnsi="Times New Roman" w:cs="Times New Roman"/>
          <w:lang w:eastAsia="zh-TW"/>
        </w:rPr>
        <w:t>）。</w:t>
      </w:r>
    </w:p>
    <w:p w14:paraId="50AAEECA" w14:textId="382EB9F6" w:rsidR="009A509E" w:rsidRPr="008562E0" w:rsidRDefault="00F659AE">
      <w:pPr>
        <w:rPr>
          <w:rFonts w:ascii="Times New Roman" w:eastAsia="標楷體-繁" w:hAnsi="Times New Roman" w:cs="Times New Roman"/>
          <w:lang w:eastAsia="zh-TW"/>
        </w:rPr>
      </w:pPr>
      <w:r>
        <w:rPr>
          <w:rFonts w:ascii="Times New Roman" w:eastAsia="標楷體-繁" w:hAnsi="Times New Roman" w:cs="Times New Roman"/>
          <w:noProof/>
          <w:lang w:eastAsia="zh-TW"/>
        </w:rPr>
        <w:drawing>
          <wp:inline distT="0" distB="0" distL="0" distR="0" wp14:anchorId="73A0D3ED" wp14:editId="1656E76E">
            <wp:extent cx="6527800" cy="2313138"/>
            <wp:effectExtent l="0" t="0" r="0" b="0"/>
            <wp:docPr id="10995937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93749" name="圖片 10995937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9019" cy="232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AE66" w14:textId="77777777" w:rsidR="009A509E" w:rsidRPr="008562E0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lastRenderedPageBreak/>
        <w:t>三、相關係數解讀</w:t>
      </w:r>
    </w:p>
    <w:p w14:paraId="7E0A51EC" w14:textId="77777777" w:rsidR="009A509E" w:rsidRPr="008562E0" w:rsidRDefault="00000000">
      <w:pPr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廣達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</w:t>
      </w:r>
      <w:r w:rsidRPr="008562E0">
        <w:rPr>
          <w:rFonts w:ascii="Times New Roman" w:eastAsia="標楷體-繁" w:hAnsi="Times New Roman" w:cs="Times New Roman"/>
          <w:lang w:eastAsia="zh-TW"/>
        </w:rPr>
        <w:t>與三家基準標的之相關係數如下：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509E" w:rsidRPr="008562E0" w14:paraId="3D86111A" w14:textId="77777777">
        <w:tc>
          <w:tcPr>
            <w:tcW w:w="2880" w:type="dxa"/>
          </w:tcPr>
          <w:p w14:paraId="6CF5C6E3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proofErr w:type="spellStart"/>
            <w:r w:rsidRPr="008562E0">
              <w:rPr>
                <w:rFonts w:ascii="Times New Roman" w:eastAsia="標楷體-繁" w:hAnsi="Times New Roman" w:cs="Times New Roman"/>
                <w:b/>
              </w:rPr>
              <w:t>標的組合</w:t>
            </w:r>
            <w:proofErr w:type="spellEnd"/>
          </w:p>
        </w:tc>
        <w:tc>
          <w:tcPr>
            <w:tcW w:w="2880" w:type="dxa"/>
          </w:tcPr>
          <w:p w14:paraId="2BDBF1EB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  <w:b/>
              </w:rPr>
              <w:t>相關係數</w:t>
            </w:r>
          </w:p>
        </w:tc>
        <w:tc>
          <w:tcPr>
            <w:tcW w:w="2880" w:type="dxa"/>
          </w:tcPr>
          <w:p w14:paraId="2FDC9D2A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  <w:b/>
              </w:rPr>
              <w:t>解讀</w:t>
            </w:r>
          </w:p>
        </w:tc>
      </w:tr>
      <w:tr w:rsidR="009A509E" w:rsidRPr="008562E0" w14:paraId="79E66C4E" w14:textId="77777777">
        <w:tc>
          <w:tcPr>
            <w:tcW w:w="2880" w:type="dxa"/>
          </w:tcPr>
          <w:p w14:paraId="5B4AD8CD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2382.TW vs 2330.TW</w:t>
            </w:r>
          </w:p>
        </w:tc>
        <w:tc>
          <w:tcPr>
            <w:tcW w:w="2880" w:type="dxa"/>
          </w:tcPr>
          <w:p w14:paraId="616C1FD0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0.2864</w:t>
            </w:r>
          </w:p>
        </w:tc>
        <w:tc>
          <w:tcPr>
            <w:tcW w:w="2880" w:type="dxa"/>
          </w:tcPr>
          <w:p w14:paraId="0C0D6B9F" w14:textId="77777777" w:rsidR="009A509E" w:rsidRPr="008562E0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8562E0">
              <w:rPr>
                <w:rFonts w:ascii="Times New Roman" w:eastAsia="標楷體-繁" w:hAnsi="Times New Roman" w:cs="Times New Roman"/>
                <w:lang w:eastAsia="zh-TW"/>
              </w:rPr>
              <w:t>中度正相關，同屬科技產業</w:t>
            </w:r>
          </w:p>
        </w:tc>
      </w:tr>
      <w:tr w:rsidR="009A509E" w:rsidRPr="008562E0" w14:paraId="7DDAE047" w14:textId="77777777">
        <w:tc>
          <w:tcPr>
            <w:tcW w:w="2880" w:type="dxa"/>
          </w:tcPr>
          <w:p w14:paraId="17D5D95C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2382.TW vs 2881.TW</w:t>
            </w:r>
          </w:p>
        </w:tc>
        <w:tc>
          <w:tcPr>
            <w:tcW w:w="2880" w:type="dxa"/>
          </w:tcPr>
          <w:p w14:paraId="02005CFE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0.1161</w:t>
            </w:r>
          </w:p>
        </w:tc>
        <w:tc>
          <w:tcPr>
            <w:tcW w:w="2880" w:type="dxa"/>
          </w:tcPr>
          <w:p w14:paraId="62FC2316" w14:textId="77777777" w:rsidR="009A509E" w:rsidRPr="008562E0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8562E0">
              <w:rPr>
                <w:rFonts w:ascii="Times New Roman" w:eastAsia="標楷體-繁" w:hAnsi="Times New Roman" w:cs="Times New Roman"/>
                <w:lang w:eastAsia="zh-TW"/>
              </w:rPr>
              <w:t>低度相關，分散效果不錯</w:t>
            </w:r>
          </w:p>
        </w:tc>
      </w:tr>
      <w:tr w:rsidR="009A509E" w:rsidRPr="008562E0" w14:paraId="7FAD96B4" w14:textId="77777777">
        <w:tc>
          <w:tcPr>
            <w:tcW w:w="2880" w:type="dxa"/>
          </w:tcPr>
          <w:p w14:paraId="50DAFA1B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2382.TW vs 1216.TW</w:t>
            </w:r>
          </w:p>
        </w:tc>
        <w:tc>
          <w:tcPr>
            <w:tcW w:w="2880" w:type="dxa"/>
          </w:tcPr>
          <w:p w14:paraId="7BB9B074" w14:textId="77777777" w:rsidR="009A509E" w:rsidRPr="008562E0" w:rsidRDefault="00000000">
            <w:pPr>
              <w:rPr>
                <w:rFonts w:ascii="Times New Roman" w:eastAsia="標楷體-繁" w:hAnsi="Times New Roman" w:cs="Times New Roman"/>
              </w:rPr>
            </w:pPr>
            <w:r w:rsidRPr="008562E0">
              <w:rPr>
                <w:rFonts w:ascii="Times New Roman" w:eastAsia="標楷體-繁" w:hAnsi="Times New Roman" w:cs="Times New Roman"/>
              </w:rPr>
              <w:t>0.2068</w:t>
            </w:r>
          </w:p>
        </w:tc>
        <w:tc>
          <w:tcPr>
            <w:tcW w:w="2880" w:type="dxa"/>
          </w:tcPr>
          <w:p w14:paraId="1DB33965" w14:textId="77777777" w:rsidR="009A509E" w:rsidRPr="008562E0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8562E0">
              <w:rPr>
                <w:rFonts w:ascii="Times New Roman" w:eastAsia="標楷體-繁" w:hAnsi="Times New Roman" w:cs="Times New Roman"/>
                <w:lang w:eastAsia="zh-TW"/>
              </w:rPr>
              <w:t>低度相關，具備分散性</w:t>
            </w:r>
          </w:p>
        </w:tc>
      </w:tr>
    </w:tbl>
    <w:p w14:paraId="417B6E61" w14:textId="4BB2D3EB" w:rsidR="009A509E" w:rsidRPr="008562E0" w:rsidRDefault="00F659AE">
      <w:pPr>
        <w:rPr>
          <w:rFonts w:ascii="Times New Roman" w:eastAsia="標楷體-繁" w:hAnsi="Times New Roman" w:cs="Times New Roman"/>
          <w:lang w:eastAsia="zh-TW"/>
        </w:rPr>
      </w:pPr>
      <w:r>
        <w:rPr>
          <w:rFonts w:ascii="Times New Roman" w:eastAsia="標楷體-繁" w:hAnsi="Times New Roman" w:cs="Times New Roman"/>
          <w:noProof/>
          <w:lang w:eastAsia="zh-TW"/>
        </w:rPr>
        <w:drawing>
          <wp:inline distT="0" distB="0" distL="0" distR="0" wp14:anchorId="2678CDA4" wp14:editId="01506714">
            <wp:extent cx="5273493" cy="4580467"/>
            <wp:effectExtent l="0" t="0" r="0" b="4445"/>
            <wp:docPr id="734721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211" name="圖片 73472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973" cy="460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43CC" w14:textId="77777777" w:rsidR="009A509E" w:rsidRPr="008562E0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四、結論</w:t>
      </w:r>
    </w:p>
    <w:p w14:paraId="1DA3CAAB" w14:textId="77777777" w:rsidR="009A509E" w:rsidRPr="008562E0" w:rsidRDefault="00000000">
      <w:pPr>
        <w:rPr>
          <w:rFonts w:ascii="Times New Roman" w:eastAsia="標楷體-繁" w:hAnsi="Times New Roman" w:cs="Times New Roman"/>
          <w:lang w:eastAsia="zh-TW"/>
        </w:rPr>
      </w:pPr>
      <w:r w:rsidRPr="008562E0">
        <w:rPr>
          <w:rFonts w:ascii="Times New Roman" w:eastAsia="標楷體-繁" w:hAnsi="Times New Roman" w:cs="Times New Roman"/>
          <w:lang w:eastAsia="zh-TW"/>
        </w:rPr>
        <w:t>加入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2382.TW </w:t>
      </w:r>
      <w:r w:rsidRPr="008562E0">
        <w:rPr>
          <w:rFonts w:ascii="Times New Roman" w:eastAsia="標楷體-繁" w:hAnsi="Times New Roman" w:cs="Times New Roman"/>
          <w:lang w:eastAsia="zh-TW"/>
        </w:rPr>
        <w:t>後，四資產投資組合的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MVP </w:t>
      </w:r>
      <w:r w:rsidRPr="008562E0">
        <w:rPr>
          <w:rFonts w:ascii="Times New Roman" w:eastAsia="標楷體-繁" w:hAnsi="Times New Roman" w:cs="Times New Roman"/>
          <w:lang w:eastAsia="zh-TW"/>
        </w:rPr>
        <w:t>報酬率較三資產變化了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+1.21%</w:t>
      </w:r>
      <w:r w:rsidRPr="008562E0">
        <w:rPr>
          <w:rFonts w:ascii="Times New Roman" w:eastAsia="標楷體-繁" w:hAnsi="Times New Roman" w:cs="Times New Roman"/>
          <w:lang w:eastAsia="zh-TW"/>
        </w:rPr>
        <w:t>，雖然</w:t>
      </w:r>
      <w:r w:rsidRPr="008562E0">
        <w:rPr>
          <w:rFonts w:ascii="Times New Roman" w:eastAsia="標楷體-繁" w:hAnsi="Times New Roman" w:cs="Times New Roman"/>
          <w:lang w:eastAsia="zh-TW"/>
        </w:rPr>
        <w:t xml:space="preserve"> MVP </w:t>
      </w:r>
      <w:r w:rsidRPr="008562E0">
        <w:rPr>
          <w:rFonts w:ascii="Times New Roman" w:eastAsia="標楷體-繁" w:hAnsi="Times New Roman" w:cs="Times New Roman"/>
          <w:lang w:eastAsia="zh-TW"/>
        </w:rPr>
        <w:t>的風險可能略微改變，但整體的效率前緣大幅向上延伸。這顯示廣達具備極強的動能與高報酬特性，能顯著拉升投資組合的獲利潛力。綜合效率前緣與相關係數分析，廣達作為攻擊型資產，能有效提高投資組合的預期報酬，判定為具有動能投資效率的第四家標的。</w:t>
      </w:r>
    </w:p>
    <w:sectPr w:rsidR="009A509E" w:rsidRPr="008562E0" w:rsidSect="008562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973637">
    <w:abstractNumId w:val="8"/>
  </w:num>
  <w:num w:numId="2" w16cid:durableId="1596207070">
    <w:abstractNumId w:val="6"/>
  </w:num>
  <w:num w:numId="3" w16cid:durableId="1909219174">
    <w:abstractNumId w:val="5"/>
  </w:num>
  <w:num w:numId="4" w16cid:durableId="393236443">
    <w:abstractNumId w:val="4"/>
  </w:num>
  <w:num w:numId="5" w16cid:durableId="1530530022">
    <w:abstractNumId w:val="7"/>
  </w:num>
  <w:num w:numId="6" w16cid:durableId="1605186752">
    <w:abstractNumId w:val="3"/>
  </w:num>
  <w:num w:numId="7" w16cid:durableId="390496175">
    <w:abstractNumId w:val="2"/>
  </w:num>
  <w:num w:numId="8" w16cid:durableId="1991395827">
    <w:abstractNumId w:val="1"/>
  </w:num>
  <w:num w:numId="9" w16cid:durableId="143223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45B"/>
    <w:rsid w:val="008562E0"/>
    <w:rsid w:val="009A509E"/>
    <w:rsid w:val="00AA1D8D"/>
    <w:rsid w:val="00B47730"/>
    <w:rsid w:val="00CB0664"/>
    <w:rsid w:val="00DE1806"/>
    <w:rsid w:val="00F659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CE318"/>
  <w14:defaultImageDpi w14:val="300"/>
  <w15:docId w15:val="{C7348BCF-428E-014C-8BEF-324B59F5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廖國宏</cp:lastModifiedBy>
  <cp:revision>4</cp:revision>
  <dcterms:created xsi:type="dcterms:W3CDTF">2013-12-23T23:15:00Z</dcterms:created>
  <dcterms:modified xsi:type="dcterms:W3CDTF">2026-04-30T13:15:00Z</dcterms:modified>
  <cp:category/>
</cp:coreProperties>
</file>