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EF8B" w14:textId="77777777" w:rsidR="00117153" w:rsidRDefault="00000000">
      <w:pPr>
        <w:pStyle w:val="1"/>
        <w:jc w:val="center"/>
        <w:rPr>
          <w:lang w:eastAsia="zh-TW"/>
        </w:rPr>
      </w:pPr>
      <w:r>
        <w:rPr>
          <w:lang w:eastAsia="zh-TW"/>
        </w:rPr>
        <w:t>個人分析摘要</w:t>
      </w:r>
    </w:p>
    <w:p w14:paraId="031A86BC" w14:textId="77777777" w:rsidR="00117153" w:rsidRDefault="00000000">
      <w:pPr>
        <w:rPr>
          <w:lang w:eastAsia="zh-TW"/>
        </w:rPr>
      </w:pPr>
      <w:r>
        <w:rPr>
          <w:lang w:eastAsia="zh-TW"/>
        </w:rPr>
        <w:t>課程名稱：金融數據分析</w:t>
      </w:r>
    </w:p>
    <w:p w14:paraId="2BAF889B" w14:textId="77777777" w:rsidR="00117153" w:rsidRDefault="00000000">
      <w:pPr>
        <w:rPr>
          <w:lang w:eastAsia="zh-TW"/>
        </w:rPr>
      </w:pPr>
      <w:r>
        <w:rPr>
          <w:lang w:eastAsia="zh-TW"/>
        </w:rPr>
        <w:t>姓名：（王俊達）</w:t>
      </w:r>
    </w:p>
    <w:p w14:paraId="08185F88" w14:textId="77777777" w:rsidR="00117153" w:rsidRDefault="00000000">
      <w:pPr>
        <w:rPr>
          <w:lang w:eastAsia="zh-TW"/>
        </w:rPr>
      </w:pPr>
      <w:r>
        <w:rPr>
          <w:lang w:eastAsia="zh-TW"/>
        </w:rPr>
        <w:t>學號：</w:t>
      </w:r>
      <w:r>
        <w:rPr>
          <w:lang w:eastAsia="zh-TW"/>
        </w:rPr>
        <w:t>611336036</w:t>
      </w:r>
    </w:p>
    <w:p w14:paraId="2A1597E2" w14:textId="77777777" w:rsidR="00117153" w:rsidRDefault="00000000">
      <w:pPr>
        <w:rPr>
          <w:lang w:eastAsia="zh-TW"/>
        </w:rPr>
      </w:pPr>
      <w:r>
        <w:rPr>
          <w:lang w:eastAsia="zh-TW"/>
        </w:rPr>
        <w:t>分析產業：電子零組件業</w:t>
      </w:r>
      <w:r>
        <w:rPr>
          <w:lang w:eastAsia="zh-TW"/>
        </w:rPr>
        <w:t xml:space="preserve"> (10</w:t>
      </w:r>
      <w:r>
        <w:rPr>
          <w:lang w:eastAsia="zh-TW"/>
        </w:rPr>
        <w:t>家公司</w:t>
      </w:r>
      <w:r>
        <w:rPr>
          <w:lang w:eastAsia="zh-TW"/>
        </w:rPr>
        <w:t>)</w:t>
      </w:r>
    </w:p>
    <w:p w14:paraId="19708AC7" w14:textId="77777777" w:rsidR="00117153" w:rsidRDefault="00117153">
      <w:pPr>
        <w:rPr>
          <w:lang w:eastAsia="zh-TW"/>
        </w:rPr>
      </w:pPr>
    </w:p>
    <w:p w14:paraId="0D88A753" w14:textId="77777777" w:rsidR="00117153" w:rsidRDefault="00000000">
      <w:pPr>
        <w:pStyle w:val="21"/>
        <w:rPr>
          <w:lang w:eastAsia="zh-TW"/>
        </w:rPr>
      </w:pPr>
      <w:r>
        <w:rPr>
          <w:lang w:eastAsia="zh-TW"/>
        </w:rPr>
        <w:t>一、研究主題與動機</w:t>
      </w:r>
    </w:p>
    <w:p w14:paraId="4E87C303" w14:textId="77777777" w:rsidR="00117153" w:rsidRDefault="00000000">
      <w:pPr>
        <w:rPr>
          <w:lang w:eastAsia="zh-TW"/>
        </w:rPr>
      </w:pPr>
      <w:r>
        <w:rPr>
          <w:lang w:eastAsia="zh-TW"/>
        </w:rPr>
        <w:t>本次分析以台灣電子零組件業中</w:t>
      </w:r>
      <w:r>
        <w:rPr>
          <w:lang w:eastAsia="zh-TW"/>
        </w:rPr>
        <w:t xml:space="preserve"> 10 </w:t>
      </w:r>
      <w:r>
        <w:rPr>
          <w:lang w:eastAsia="zh-TW"/>
        </w:rPr>
        <w:t>家具代表性的公司為研究標的。電子零組件業為台灣科技產業的核心基礎，深受全球消費性電子與</w:t>
      </w:r>
      <w:r>
        <w:rPr>
          <w:lang w:eastAsia="zh-TW"/>
        </w:rPr>
        <w:t xml:space="preserve"> AI </w:t>
      </w:r>
      <w:r>
        <w:rPr>
          <w:lang w:eastAsia="zh-TW"/>
        </w:rPr>
        <w:t>等科技創新景氣驅動，具備較高的成長潛力與股價爆發力。本報告透過</w:t>
      </w:r>
      <w:r>
        <w:rPr>
          <w:lang w:eastAsia="zh-TW"/>
        </w:rPr>
        <w:t xml:space="preserve"> MACD</w:t>
      </w:r>
      <w:r>
        <w:rPr>
          <w:lang w:eastAsia="zh-TW"/>
        </w:rPr>
        <w:t>、</w:t>
      </w:r>
      <w:r>
        <w:rPr>
          <w:lang w:eastAsia="zh-TW"/>
        </w:rPr>
        <w:t>KD</w:t>
      </w:r>
      <w:r>
        <w:rPr>
          <w:lang w:eastAsia="zh-TW"/>
        </w:rPr>
        <w:t>、</w:t>
      </w:r>
      <w:r>
        <w:rPr>
          <w:lang w:eastAsia="zh-TW"/>
        </w:rPr>
        <w:t xml:space="preserve">RSI </w:t>
      </w:r>
      <w:r>
        <w:rPr>
          <w:lang w:eastAsia="zh-TW"/>
        </w:rPr>
        <w:t>與</w:t>
      </w:r>
      <w:r>
        <w:rPr>
          <w:lang w:eastAsia="zh-TW"/>
        </w:rPr>
        <w:t xml:space="preserve"> BIAS </w:t>
      </w:r>
      <w:r>
        <w:rPr>
          <w:lang w:eastAsia="zh-TW"/>
        </w:rPr>
        <w:t>四大技術指標建構</w:t>
      </w:r>
      <w:r>
        <w:rPr>
          <w:lang w:eastAsia="zh-TW"/>
        </w:rPr>
        <w:t xml:space="preserve"> 5 </w:t>
      </w:r>
      <w:r>
        <w:rPr>
          <w:lang w:eastAsia="zh-TW"/>
        </w:rPr>
        <w:t>種不同的量化交易策略，並設計</w:t>
      </w:r>
      <w:r>
        <w:rPr>
          <w:lang w:eastAsia="zh-TW"/>
        </w:rPr>
        <w:t xml:space="preserve"> A (</w:t>
      </w:r>
      <w:r>
        <w:rPr>
          <w:lang w:eastAsia="zh-TW"/>
        </w:rPr>
        <w:t>動態</w:t>
      </w:r>
      <w:r>
        <w:rPr>
          <w:lang w:eastAsia="zh-TW"/>
        </w:rPr>
        <w:t>30%</w:t>
      </w:r>
      <w:r>
        <w:rPr>
          <w:lang w:eastAsia="zh-TW"/>
        </w:rPr>
        <w:t>資金</w:t>
      </w:r>
      <w:r>
        <w:rPr>
          <w:lang w:eastAsia="zh-TW"/>
        </w:rPr>
        <w:t xml:space="preserve">) </w:t>
      </w:r>
      <w:r>
        <w:rPr>
          <w:lang w:eastAsia="zh-TW"/>
        </w:rPr>
        <w:t>與</w:t>
      </w:r>
      <w:r>
        <w:rPr>
          <w:lang w:eastAsia="zh-TW"/>
        </w:rPr>
        <w:t xml:space="preserve"> B (</w:t>
      </w:r>
      <w:r>
        <w:rPr>
          <w:lang w:eastAsia="zh-TW"/>
        </w:rPr>
        <w:t>固定</w:t>
      </w:r>
      <w:r>
        <w:rPr>
          <w:lang w:eastAsia="zh-TW"/>
        </w:rPr>
        <w:t>10</w:t>
      </w:r>
      <w:r>
        <w:rPr>
          <w:lang w:eastAsia="zh-TW"/>
        </w:rPr>
        <w:t>萬元</w:t>
      </w:r>
      <w:r>
        <w:rPr>
          <w:lang w:eastAsia="zh-TW"/>
        </w:rPr>
        <w:t xml:space="preserve">) </w:t>
      </w:r>
      <w:r>
        <w:rPr>
          <w:lang w:eastAsia="zh-TW"/>
        </w:rPr>
        <w:t>兩種資金投入模式，藉此檢驗不同特性之公司在不同交易邏輯下的績效差異與適配性。</w:t>
      </w:r>
    </w:p>
    <w:p w14:paraId="49513C35" w14:textId="77777777" w:rsidR="00117153" w:rsidRDefault="00117153">
      <w:pPr>
        <w:rPr>
          <w:lang w:eastAsia="zh-TW"/>
        </w:rPr>
      </w:pPr>
    </w:p>
    <w:p w14:paraId="4C7F893B" w14:textId="77777777" w:rsidR="00117153" w:rsidRDefault="00000000">
      <w:pPr>
        <w:pStyle w:val="21"/>
        <w:rPr>
          <w:lang w:eastAsia="zh-TW"/>
        </w:rPr>
      </w:pPr>
      <w:r>
        <w:rPr>
          <w:lang w:eastAsia="zh-TW"/>
        </w:rPr>
        <w:t>二、公司特性與最佳策略適配分析</w:t>
      </w:r>
    </w:p>
    <w:p w14:paraId="53C07D51" w14:textId="77777777" w:rsidR="00117153" w:rsidRDefault="00000000">
      <w:pPr>
        <w:rPr>
          <w:lang w:eastAsia="zh-TW"/>
        </w:rPr>
      </w:pPr>
      <w:r>
        <w:rPr>
          <w:lang w:eastAsia="zh-TW"/>
        </w:rPr>
        <w:t>根據回測結果，總結</w:t>
      </w:r>
      <w:r>
        <w:rPr>
          <w:lang w:eastAsia="zh-TW"/>
        </w:rPr>
        <w:t xml:space="preserve"> 10 </w:t>
      </w:r>
      <w:r>
        <w:rPr>
          <w:lang w:eastAsia="zh-TW"/>
        </w:rPr>
        <w:t>家股票的最適策略與公司特性推論如下：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7153" w14:paraId="7C856D03" w14:textId="77777777">
        <w:tc>
          <w:tcPr>
            <w:tcW w:w="2160" w:type="dxa"/>
          </w:tcPr>
          <w:p w14:paraId="1A9460F3" w14:textId="77777777" w:rsidR="00117153" w:rsidRDefault="00000000">
            <w:proofErr w:type="spellStart"/>
            <w:r>
              <w:rPr>
                <w:b/>
              </w:rPr>
              <w:t>公司名稱</w:t>
            </w:r>
            <w:proofErr w:type="spellEnd"/>
          </w:p>
        </w:tc>
        <w:tc>
          <w:tcPr>
            <w:tcW w:w="2160" w:type="dxa"/>
          </w:tcPr>
          <w:p w14:paraId="4957F98F" w14:textId="77777777" w:rsidR="00117153" w:rsidRDefault="00000000">
            <w:r>
              <w:rPr>
                <w:b/>
              </w:rPr>
              <w:t>推論特性</w:t>
            </w:r>
          </w:p>
        </w:tc>
        <w:tc>
          <w:tcPr>
            <w:tcW w:w="2160" w:type="dxa"/>
          </w:tcPr>
          <w:p w14:paraId="4F0DAE07" w14:textId="77777777" w:rsidR="00117153" w:rsidRDefault="00000000">
            <w:r>
              <w:rPr>
                <w:b/>
              </w:rPr>
              <w:t>最佳策略</w:t>
            </w:r>
            <w:r>
              <w:rPr>
                <w:b/>
              </w:rPr>
              <w:t>(</w:t>
            </w:r>
            <w:r>
              <w:rPr>
                <w:b/>
              </w:rPr>
              <w:t>依卡瑪比率</w:t>
            </w:r>
            <w:r>
              <w:rPr>
                <w:b/>
              </w:rPr>
              <w:t>)</w:t>
            </w:r>
          </w:p>
        </w:tc>
        <w:tc>
          <w:tcPr>
            <w:tcW w:w="2160" w:type="dxa"/>
          </w:tcPr>
          <w:p w14:paraId="5ADA1C88" w14:textId="77777777" w:rsidR="00117153" w:rsidRDefault="00000000">
            <w:r>
              <w:rPr>
                <w:b/>
              </w:rPr>
              <w:t>最佳報酬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最大回撤</w:t>
            </w:r>
          </w:p>
        </w:tc>
      </w:tr>
      <w:tr w:rsidR="00117153" w14:paraId="128F3E55" w14:textId="77777777">
        <w:tc>
          <w:tcPr>
            <w:tcW w:w="2160" w:type="dxa"/>
          </w:tcPr>
          <w:p w14:paraId="25B4039A" w14:textId="77777777" w:rsidR="00117153" w:rsidRDefault="00000000">
            <w:r>
              <w:t>台達電</w:t>
            </w:r>
          </w:p>
        </w:tc>
        <w:tc>
          <w:tcPr>
            <w:tcW w:w="2160" w:type="dxa"/>
          </w:tcPr>
          <w:p w14:paraId="05FAFA00" w14:textId="77777777" w:rsidR="00117153" w:rsidRDefault="00000000">
            <w:r>
              <w:t>區間震盪型</w:t>
            </w:r>
          </w:p>
        </w:tc>
        <w:tc>
          <w:tcPr>
            <w:tcW w:w="2160" w:type="dxa"/>
          </w:tcPr>
          <w:p w14:paraId="08557751" w14:textId="77777777" w:rsidR="00117153" w:rsidRDefault="00000000">
            <w:r>
              <w:t>策略</w:t>
            </w:r>
            <w:r>
              <w:t>3</w:t>
            </w:r>
          </w:p>
        </w:tc>
        <w:tc>
          <w:tcPr>
            <w:tcW w:w="2160" w:type="dxa"/>
          </w:tcPr>
          <w:p w14:paraId="51CF236F" w14:textId="77777777" w:rsidR="00117153" w:rsidRDefault="00000000">
            <w:r>
              <w:t>7.9% / -5.2%</w:t>
            </w:r>
          </w:p>
        </w:tc>
      </w:tr>
      <w:tr w:rsidR="00117153" w14:paraId="49921BF2" w14:textId="77777777">
        <w:tc>
          <w:tcPr>
            <w:tcW w:w="2160" w:type="dxa"/>
          </w:tcPr>
          <w:p w14:paraId="1C56F0AA" w14:textId="77777777" w:rsidR="00117153" w:rsidRDefault="00000000">
            <w:r>
              <w:t>國巨</w:t>
            </w:r>
          </w:p>
        </w:tc>
        <w:tc>
          <w:tcPr>
            <w:tcW w:w="2160" w:type="dxa"/>
          </w:tcPr>
          <w:p w14:paraId="4E5B5C8F" w14:textId="77777777" w:rsidR="00117153" w:rsidRDefault="00000000">
            <w:r>
              <w:t>趨勢明顯型</w:t>
            </w:r>
          </w:p>
        </w:tc>
        <w:tc>
          <w:tcPr>
            <w:tcW w:w="2160" w:type="dxa"/>
          </w:tcPr>
          <w:p w14:paraId="21FAB9A3" w14:textId="77777777" w:rsidR="00117153" w:rsidRDefault="00000000">
            <w:r>
              <w:t>策略</w:t>
            </w:r>
            <w:r>
              <w:t>2</w:t>
            </w:r>
          </w:p>
        </w:tc>
        <w:tc>
          <w:tcPr>
            <w:tcW w:w="2160" w:type="dxa"/>
          </w:tcPr>
          <w:p w14:paraId="2AB053F8" w14:textId="77777777" w:rsidR="00117153" w:rsidRDefault="00000000">
            <w:r>
              <w:t>34.1% / -14.2%</w:t>
            </w:r>
          </w:p>
        </w:tc>
      </w:tr>
      <w:tr w:rsidR="00117153" w14:paraId="1EC2F30E" w14:textId="77777777">
        <w:tc>
          <w:tcPr>
            <w:tcW w:w="2160" w:type="dxa"/>
          </w:tcPr>
          <w:p w14:paraId="0546FE5D" w14:textId="77777777" w:rsidR="00117153" w:rsidRDefault="00000000">
            <w:r>
              <w:t>欣興</w:t>
            </w:r>
          </w:p>
        </w:tc>
        <w:tc>
          <w:tcPr>
            <w:tcW w:w="2160" w:type="dxa"/>
          </w:tcPr>
          <w:p w14:paraId="0F98FB66" w14:textId="77777777" w:rsidR="00117153" w:rsidRDefault="00000000">
            <w:r>
              <w:t>乖離修正型</w:t>
            </w:r>
          </w:p>
        </w:tc>
        <w:tc>
          <w:tcPr>
            <w:tcW w:w="2160" w:type="dxa"/>
          </w:tcPr>
          <w:p w14:paraId="7AF121B6" w14:textId="77777777" w:rsidR="00117153" w:rsidRDefault="00000000">
            <w:r>
              <w:t>策略</w:t>
            </w:r>
            <w:r>
              <w:t>4</w:t>
            </w:r>
          </w:p>
        </w:tc>
        <w:tc>
          <w:tcPr>
            <w:tcW w:w="2160" w:type="dxa"/>
          </w:tcPr>
          <w:p w14:paraId="0FA74306" w14:textId="77777777" w:rsidR="00117153" w:rsidRDefault="00000000">
            <w:r>
              <w:t>42.2% / -14.0%</w:t>
            </w:r>
          </w:p>
        </w:tc>
      </w:tr>
      <w:tr w:rsidR="00117153" w14:paraId="47887D8B" w14:textId="77777777">
        <w:tc>
          <w:tcPr>
            <w:tcW w:w="2160" w:type="dxa"/>
          </w:tcPr>
          <w:p w14:paraId="37F32A91" w14:textId="77777777" w:rsidR="00117153" w:rsidRDefault="00000000">
            <w:r>
              <w:t>台光電</w:t>
            </w:r>
          </w:p>
        </w:tc>
        <w:tc>
          <w:tcPr>
            <w:tcW w:w="2160" w:type="dxa"/>
          </w:tcPr>
          <w:p w14:paraId="06B4C549" w14:textId="77777777" w:rsidR="00117153" w:rsidRDefault="00000000">
            <w:r>
              <w:t>區間震盪型</w:t>
            </w:r>
          </w:p>
        </w:tc>
        <w:tc>
          <w:tcPr>
            <w:tcW w:w="2160" w:type="dxa"/>
          </w:tcPr>
          <w:p w14:paraId="6001355E" w14:textId="77777777" w:rsidR="00117153" w:rsidRDefault="00000000">
            <w:r>
              <w:t>策略</w:t>
            </w:r>
            <w:r>
              <w:t>3</w:t>
            </w:r>
          </w:p>
        </w:tc>
        <w:tc>
          <w:tcPr>
            <w:tcW w:w="2160" w:type="dxa"/>
          </w:tcPr>
          <w:p w14:paraId="29694BAA" w14:textId="77777777" w:rsidR="00117153" w:rsidRDefault="00000000">
            <w:r>
              <w:t>30.9% / -9.4%</w:t>
            </w:r>
          </w:p>
        </w:tc>
      </w:tr>
      <w:tr w:rsidR="00117153" w14:paraId="673297F0" w14:textId="77777777">
        <w:tc>
          <w:tcPr>
            <w:tcW w:w="2160" w:type="dxa"/>
          </w:tcPr>
          <w:p w14:paraId="5A450D98" w14:textId="77777777" w:rsidR="00117153" w:rsidRDefault="00000000">
            <w:r>
              <w:t>金像電</w:t>
            </w:r>
          </w:p>
        </w:tc>
        <w:tc>
          <w:tcPr>
            <w:tcW w:w="2160" w:type="dxa"/>
          </w:tcPr>
          <w:p w14:paraId="262760BA" w14:textId="77777777" w:rsidR="00117153" w:rsidRDefault="00000000">
            <w:r>
              <w:t>區間震盪型</w:t>
            </w:r>
          </w:p>
        </w:tc>
        <w:tc>
          <w:tcPr>
            <w:tcW w:w="2160" w:type="dxa"/>
          </w:tcPr>
          <w:p w14:paraId="4FB6979C" w14:textId="77777777" w:rsidR="00117153" w:rsidRDefault="00000000">
            <w:r>
              <w:t>策略</w:t>
            </w:r>
            <w:r>
              <w:t>3</w:t>
            </w:r>
          </w:p>
        </w:tc>
        <w:tc>
          <w:tcPr>
            <w:tcW w:w="2160" w:type="dxa"/>
          </w:tcPr>
          <w:p w14:paraId="2AE325EC" w14:textId="77777777" w:rsidR="00117153" w:rsidRDefault="00000000">
            <w:r>
              <w:t>58.6% / -8.1%</w:t>
            </w:r>
          </w:p>
        </w:tc>
      </w:tr>
      <w:tr w:rsidR="00117153" w14:paraId="3949F3DE" w14:textId="77777777">
        <w:tc>
          <w:tcPr>
            <w:tcW w:w="2160" w:type="dxa"/>
          </w:tcPr>
          <w:p w14:paraId="1AFBBDCA" w14:textId="77777777" w:rsidR="00117153" w:rsidRDefault="00000000">
            <w:r>
              <w:t>臻鼎</w:t>
            </w:r>
            <w:r>
              <w:t>-KY</w:t>
            </w:r>
          </w:p>
        </w:tc>
        <w:tc>
          <w:tcPr>
            <w:tcW w:w="2160" w:type="dxa"/>
          </w:tcPr>
          <w:p w14:paraId="46AC9B91" w14:textId="77777777" w:rsidR="00117153" w:rsidRDefault="00000000">
            <w:r>
              <w:t>區間震盪型</w:t>
            </w:r>
          </w:p>
        </w:tc>
        <w:tc>
          <w:tcPr>
            <w:tcW w:w="2160" w:type="dxa"/>
          </w:tcPr>
          <w:p w14:paraId="66D8D174" w14:textId="77777777" w:rsidR="00117153" w:rsidRDefault="00000000">
            <w:r>
              <w:t>策略</w:t>
            </w:r>
            <w:r>
              <w:t>3</w:t>
            </w:r>
          </w:p>
        </w:tc>
        <w:tc>
          <w:tcPr>
            <w:tcW w:w="2160" w:type="dxa"/>
          </w:tcPr>
          <w:p w14:paraId="26E84FCB" w14:textId="77777777" w:rsidR="00117153" w:rsidRDefault="00000000">
            <w:r>
              <w:t>20.1% / -8.8%</w:t>
            </w:r>
          </w:p>
        </w:tc>
      </w:tr>
      <w:tr w:rsidR="00117153" w14:paraId="742EC8C3" w14:textId="77777777">
        <w:tc>
          <w:tcPr>
            <w:tcW w:w="2160" w:type="dxa"/>
          </w:tcPr>
          <w:p w14:paraId="651D4C4F" w14:textId="77777777" w:rsidR="00117153" w:rsidRDefault="00000000">
            <w:r>
              <w:t>華新科</w:t>
            </w:r>
          </w:p>
        </w:tc>
        <w:tc>
          <w:tcPr>
            <w:tcW w:w="2160" w:type="dxa"/>
          </w:tcPr>
          <w:p w14:paraId="30056989" w14:textId="77777777" w:rsidR="00117153" w:rsidRDefault="00000000">
            <w:r>
              <w:t>趨勢明顯型</w:t>
            </w:r>
          </w:p>
        </w:tc>
        <w:tc>
          <w:tcPr>
            <w:tcW w:w="2160" w:type="dxa"/>
          </w:tcPr>
          <w:p w14:paraId="5AAE89C1" w14:textId="77777777" w:rsidR="00117153" w:rsidRDefault="00000000">
            <w:r>
              <w:t>策略</w:t>
            </w:r>
            <w:r>
              <w:t>1</w:t>
            </w:r>
          </w:p>
        </w:tc>
        <w:tc>
          <w:tcPr>
            <w:tcW w:w="2160" w:type="dxa"/>
          </w:tcPr>
          <w:p w14:paraId="74E79AE9" w14:textId="77777777" w:rsidR="00117153" w:rsidRDefault="00000000">
            <w:r>
              <w:t>30.9% / -10.6%</w:t>
            </w:r>
          </w:p>
        </w:tc>
      </w:tr>
      <w:tr w:rsidR="00117153" w14:paraId="4A4AE28B" w14:textId="77777777">
        <w:tc>
          <w:tcPr>
            <w:tcW w:w="2160" w:type="dxa"/>
          </w:tcPr>
          <w:p w14:paraId="41D8E53D" w14:textId="77777777" w:rsidR="00117153" w:rsidRDefault="00000000">
            <w:r>
              <w:t>健鼎</w:t>
            </w:r>
          </w:p>
        </w:tc>
        <w:tc>
          <w:tcPr>
            <w:tcW w:w="2160" w:type="dxa"/>
          </w:tcPr>
          <w:p w14:paraId="38DF2D80" w14:textId="77777777" w:rsidR="00117153" w:rsidRDefault="00000000">
            <w:r>
              <w:t>趨勢明顯型</w:t>
            </w:r>
          </w:p>
        </w:tc>
        <w:tc>
          <w:tcPr>
            <w:tcW w:w="2160" w:type="dxa"/>
          </w:tcPr>
          <w:p w14:paraId="64E16742" w14:textId="77777777" w:rsidR="00117153" w:rsidRDefault="00000000">
            <w:r>
              <w:t>策略</w:t>
            </w:r>
            <w:r>
              <w:t>2</w:t>
            </w:r>
          </w:p>
        </w:tc>
        <w:tc>
          <w:tcPr>
            <w:tcW w:w="2160" w:type="dxa"/>
          </w:tcPr>
          <w:p w14:paraId="36432E10" w14:textId="77777777" w:rsidR="00117153" w:rsidRDefault="00000000">
            <w:r>
              <w:t>15.5% / -8.3%</w:t>
            </w:r>
          </w:p>
        </w:tc>
      </w:tr>
      <w:tr w:rsidR="00117153" w14:paraId="71CD5F77" w14:textId="77777777">
        <w:tc>
          <w:tcPr>
            <w:tcW w:w="2160" w:type="dxa"/>
          </w:tcPr>
          <w:p w14:paraId="35E1DA52" w14:textId="77777777" w:rsidR="00117153" w:rsidRDefault="00000000">
            <w:r>
              <w:t>聯茂</w:t>
            </w:r>
          </w:p>
        </w:tc>
        <w:tc>
          <w:tcPr>
            <w:tcW w:w="2160" w:type="dxa"/>
          </w:tcPr>
          <w:p w14:paraId="34813DE0" w14:textId="77777777" w:rsidR="00117153" w:rsidRDefault="00000000">
            <w:r>
              <w:t>乖離修正型</w:t>
            </w:r>
          </w:p>
        </w:tc>
        <w:tc>
          <w:tcPr>
            <w:tcW w:w="2160" w:type="dxa"/>
          </w:tcPr>
          <w:p w14:paraId="5D2F9C28" w14:textId="77777777" w:rsidR="00117153" w:rsidRDefault="00000000">
            <w:r>
              <w:t>策略</w:t>
            </w:r>
            <w:r>
              <w:t>4</w:t>
            </w:r>
          </w:p>
        </w:tc>
        <w:tc>
          <w:tcPr>
            <w:tcW w:w="2160" w:type="dxa"/>
          </w:tcPr>
          <w:p w14:paraId="068685F3" w14:textId="77777777" w:rsidR="00117153" w:rsidRDefault="00000000">
            <w:r>
              <w:t>27.1% / -13.5%</w:t>
            </w:r>
          </w:p>
        </w:tc>
      </w:tr>
      <w:tr w:rsidR="00117153" w14:paraId="1AD852A9" w14:textId="77777777">
        <w:tc>
          <w:tcPr>
            <w:tcW w:w="2160" w:type="dxa"/>
          </w:tcPr>
          <w:p w14:paraId="6ED44E2A" w14:textId="77777777" w:rsidR="00117153" w:rsidRDefault="00000000">
            <w:r>
              <w:t>華通</w:t>
            </w:r>
          </w:p>
        </w:tc>
        <w:tc>
          <w:tcPr>
            <w:tcW w:w="2160" w:type="dxa"/>
          </w:tcPr>
          <w:p w14:paraId="61C79DB6" w14:textId="77777777" w:rsidR="00117153" w:rsidRDefault="00000000">
            <w:r>
              <w:t>區間震盪型</w:t>
            </w:r>
          </w:p>
        </w:tc>
        <w:tc>
          <w:tcPr>
            <w:tcW w:w="2160" w:type="dxa"/>
          </w:tcPr>
          <w:p w14:paraId="41FA4415" w14:textId="77777777" w:rsidR="00117153" w:rsidRDefault="00000000">
            <w:r>
              <w:t>策略</w:t>
            </w:r>
            <w:r>
              <w:t>3</w:t>
            </w:r>
          </w:p>
        </w:tc>
        <w:tc>
          <w:tcPr>
            <w:tcW w:w="2160" w:type="dxa"/>
          </w:tcPr>
          <w:p w14:paraId="3912A1DC" w14:textId="77777777" w:rsidR="00117153" w:rsidRDefault="00000000">
            <w:r>
              <w:t>29.1% / -7.8%</w:t>
            </w:r>
          </w:p>
        </w:tc>
      </w:tr>
    </w:tbl>
    <w:p w14:paraId="77E7D9C9" w14:textId="77777777" w:rsidR="00117153" w:rsidRDefault="00117153">
      <w:pPr>
        <w:rPr>
          <w:lang w:eastAsia="zh-TW"/>
        </w:rPr>
      </w:pPr>
    </w:p>
    <w:p w14:paraId="1FC469DD" w14:textId="77777777" w:rsidR="008153F0" w:rsidRDefault="008153F0">
      <w:pPr>
        <w:rPr>
          <w:lang w:eastAsia="zh-TW"/>
        </w:rPr>
      </w:pPr>
    </w:p>
    <w:p w14:paraId="15701BE6" w14:textId="77777777" w:rsidR="008153F0" w:rsidRDefault="008153F0">
      <w:pPr>
        <w:rPr>
          <w:lang w:eastAsia="zh-TW"/>
        </w:rPr>
      </w:pPr>
    </w:p>
    <w:p w14:paraId="149ADD4C" w14:textId="77777777" w:rsidR="00117153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三、資金投入方式</w:t>
      </w:r>
      <w:r>
        <w:rPr>
          <w:lang w:eastAsia="zh-TW"/>
        </w:rPr>
        <w:t>(A</w:t>
      </w:r>
      <w:r>
        <w:rPr>
          <w:lang w:eastAsia="zh-TW"/>
        </w:rPr>
        <w:t>與</w:t>
      </w:r>
      <w:r>
        <w:rPr>
          <w:lang w:eastAsia="zh-TW"/>
        </w:rPr>
        <w:t>B)</w:t>
      </w:r>
      <w:r>
        <w:rPr>
          <w:lang w:eastAsia="zh-TW"/>
        </w:rPr>
        <w:t>比較結論</w:t>
      </w:r>
    </w:p>
    <w:p w14:paraId="14286808" w14:textId="77777777" w:rsidR="00117153" w:rsidRDefault="00000000">
      <w:pPr>
        <w:rPr>
          <w:lang w:eastAsia="zh-TW"/>
        </w:rPr>
      </w:pPr>
      <w:r>
        <w:rPr>
          <w:lang w:eastAsia="zh-TW"/>
        </w:rPr>
        <w:t>A</w:t>
      </w:r>
      <w:r>
        <w:rPr>
          <w:lang w:eastAsia="zh-TW"/>
        </w:rPr>
        <w:t>模式（動態投入現有資金</w:t>
      </w:r>
      <w:r>
        <w:rPr>
          <w:lang w:eastAsia="zh-TW"/>
        </w:rPr>
        <w:t>30%</w:t>
      </w:r>
      <w:r>
        <w:rPr>
          <w:lang w:eastAsia="zh-TW"/>
        </w:rPr>
        <w:t>）具備複利效果，在趨勢明確且長期獲利的標的上，能有效放大獲利；然而若初期面臨大回撤，復原難度較高。</w:t>
      </w:r>
      <w:r>
        <w:rPr>
          <w:lang w:eastAsia="zh-TW"/>
        </w:rPr>
        <w:t>B</w:t>
      </w:r>
      <w:r>
        <w:rPr>
          <w:lang w:eastAsia="zh-TW"/>
        </w:rPr>
        <w:t>模式（固定投入</w:t>
      </w:r>
      <w:r>
        <w:rPr>
          <w:lang w:eastAsia="zh-TW"/>
        </w:rPr>
        <w:t>10</w:t>
      </w:r>
      <w:r>
        <w:rPr>
          <w:lang w:eastAsia="zh-TW"/>
        </w:rPr>
        <w:t>萬元）則部位固定，風險相對可控，較能純粹反映出交易訊號本身的品質。對於波動較大的個股，</w:t>
      </w:r>
      <w:r>
        <w:rPr>
          <w:lang w:eastAsia="zh-TW"/>
        </w:rPr>
        <w:t>B</w:t>
      </w:r>
      <w:r>
        <w:rPr>
          <w:lang w:eastAsia="zh-TW"/>
        </w:rPr>
        <w:t>模式通常能提供較佳的風險調整後報酬（如</w:t>
      </w:r>
      <w:r>
        <w:rPr>
          <w:lang w:eastAsia="zh-TW"/>
        </w:rPr>
        <w:t xml:space="preserve"> Calmar Ratio </w:t>
      </w:r>
      <w:r>
        <w:rPr>
          <w:lang w:eastAsia="zh-TW"/>
        </w:rPr>
        <w:t>較高）。</w:t>
      </w:r>
    </w:p>
    <w:p w14:paraId="6D2BAFF4" w14:textId="0624BD80" w:rsidR="00117153" w:rsidRDefault="00915EDF">
      <w:pPr>
        <w:rPr>
          <w:lang w:eastAsia="zh-TW"/>
        </w:rPr>
      </w:pPr>
      <w:r w:rsidRPr="00915EDF">
        <w:rPr>
          <w:lang w:eastAsia="zh-TW"/>
        </w:rPr>
        <w:drawing>
          <wp:inline distT="0" distB="0" distL="0" distR="0" wp14:anchorId="4A868DAC" wp14:editId="48479F15">
            <wp:extent cx="5486400" cy="2736215"/>
            <wp:effectExtent l="0" t="0" r="0" b="0"/>
            <wp:docPr id="12995761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76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7B5D" w14:textId="5472E58E" w:rsidR="008153F0" w:rsidRDefault="00915EDF">
      <w:pPr>
        <w:rPr>
          <w:lang w:eastAsia="zh-TW"/>
        </w:rPr>
      </w:pPr>
      <w:r w:rsidRPr="00915EDF">
        <w:rPr>
          <w:lang w:eastAsia="zh-TW"/>
        </w:rPr>
        <w:drawing>
          <wp:inline distT="0" distB="0" distL="0" distR="0" wp14:anchorId="56DD63F5" wp14:editId="31587806">
            <wp:extent cx="5486400" cy="2736215"/>
            <wp:effectExtent l="0" t="0" r="0" b="0"/>
            <wp:docPr id="417996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6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C642" w14:textId="3DD5316E" w:rsidR="008153F0" w:rsidRDefault="00915EDF">
      <w:pPr>
        <w:rPr>
          <w:lang w:eastAsia="zh-TW"/>
        </w:rPr>
      </w:pPr>
      <w:r w:rsidRPr="00915EDF">
        <w:rPr>
          <w:lang w:eastAsia="zh-TW"/>
        </w:rPr>
        <w:lastRenderedPageBreak/>
        <w:drawing>
          <wp:inline distT="0" distB="0" distL="0" distR="0" wp14:anchorId="36D62726" wp14:editId="7EA9E15C">
            <wp:extent cx="5486400" cy="2736215"/>
            <wp:effectExtent l="0" t="0" r="0" b="0"/>
            <wp:docPr id="20598840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4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A2E0" w14:textId="529BC012" w:rsidR="008153F0" w:rsidRDefault="00915EDF">
      <w:pPr>
        <w:rPr>
          <w:lang w:eastAsia="zh-TW"/>
        </w:rPr>
      </w:pPr>
      <w:r w:rsidRPr="00915EDF">
        <w:rPr>
          <w:lang w:eastAsia="zh-TW"/>
        </w:rPr>
        <w:drawing>
          <wp:inline distT="0" distB="0" distL="0" distR="0" wp14:anchorId="3C244A5B" wp14:editId="1B32D856">
            <wp:extent cx="5486400" cy="2736215"/>
            <wp:effectExtent l="0" t="0" r="0" b="0"/>
            <wp:docPr id="14797787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78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40EA" w14:textId="63E2A59E" w:rsidR="008153F0" w:rsidRDefault="00915EDF">
      <w:pPr>
        <w:rPr>
          <w:lang w:eastAsia="zh-TW"/>
        </w:rPr>
      </w:pPr>
      <w:r w:rsidRPr="00915EDF">
        <w:rPr>
          <w:lang w:eastAsia="zh-TW"/>
        </w:rPr>
        <w:lastRenderedPageBreak/>
        <w:drawing>
          <wp:inline distT="0" distB="0" distL="0" distR="0" wp14:anchorId="08F88C19" wp14:editId="4C0153AF">
            <wp:extent cx="5486400" cy="2736215"/>
            <wp:effectExtent l="0" t="0" r="0" b="0"/>
            <wp:docPr id="621744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4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996D" w14:textId="77777777" w:rsidR="008153F0" w:rsidRDefault="008153F0">
      <w:pPr>
        <w:rPr>
          <w:lang w:eastAsia="zh-TW"/>
        </w:rPr>
      </w:pPr>
    </w:p>
    <w:p w14:paraId="400A148F" w14:textId="77777777" w:rsidR="00117153" w:rsidRDefault="00000000">
      <w:pPr>
        <w:pStyle w:val="21"/>
        <w:rPr>
          <w:lang w:eastAsia="zh-TW"/>
        </w:rPr>
      </w:pPr>
      <w:r>
        <w:rPr>
          <w:lang w:eastAsia="zh-TW"/>
        </w:rPr>
        <w:t>四、綜合結論與反思</w:t>
      </w:r>
    </w:p>
    <w:p w14:paraId="5DC38199" w14:textId="77777777" w:rsidR="00117153" w:rsidRDefault="000000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產業一致性與個股差異：雖然</w:t>
      </w:r>
      <w:r>
        <w:rPr>
          <w:lang w:eastAsia="zh-TW"/>
        </w:rPr>
        <w:t xml:space="preserve"> 10 </w:t>
      </w:r>
      <w:r>
        <w:rPr>
          <w:lang w:eastAsia="zh-TW"/>
        </w:rPr>
        <w:t>家公司同屬電子零組件業，但表現出不同的價格慣性。大型權值股較容易走出長波段趨勢，適合趨勢追蹤型策略；而部分中小型個股波動劇烈，可能更適合乖離修正或震盪反轉策略。</w:t>
      </w:r>
    </w:p>
    <w:p w14:paraId="304FA7A5" w14:textId="77777777" w:rsidR="00117153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風險與報酬的權衡：分析結果顯示，報酬率最高的策略往往伴隨極大的回撤。因此，不能單看總報酬率，必須納入最大回撤與卡瑪比率共同考量，才能選出真正適合的穩健策略。</w:t>
      </w:r>
    </w:p>
    <w:p w14:paraId="7ADF2F58" w14:textId="77777777" w:rsidR="00117153" w:rsidRDefault="00000000">
      <w:pPr>
        <w:rPr>
          <w:lang w:eastAsia="zh-TW"/>
        </w:rPr>
      </w:pPr>
      <w:r>
        <w:rPr>
          <w:lang w:eastAsia="zh-TW"/>
        </w:rPr>
        <w:t xml:space="preserve">3. AI </w:t>
      </w:r>
      <w:r>
        <w:rPr>
          <w:lang w:eastAsia="zh-TW"/>
        </w:rPr>
        <w:t>協作效益：透過與</w:t>
      </w:r>
      <w:r>
        <w:rPr>
          <w:lang w:eastAsia="zh-TW"/>
        </w:rPr>
        <w:t xml:space="preserve"> AI </w:t>
      </w:r>
      <w:r>
        <w:rPr>
          <w:lang w:eastAsia="zh-TW"/>
        </w:rPr>
        <w:t>協作，大幅提升了技術指標運算、回測邏輯防呆（如避免未來函數）以及圖表自動化產製的效率，讓我能將主要精力集中在策略參數設定與報表結果的解讀分析上。</w:t>
      </w:r>
    </w:p>
    <w:sectPr w:rsidR="001171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093851">
    <w:abstractNumId w:val="8"/>
  </w:num>
  <w:num w:numId="2" w16cid:durableId="1010255324">
    <w:abstractNumId w:val="6"/>
  </w:num>
  <w:num w:numId="3" w16cid:durableId="1166747304">
    <w:abstractNumId w:val="5"/>
  </w:num>
  <w:num w:numId="4" w16cid:durableId="178351663">
    <w:abstractNumId w:val="4"/>
  </w:num>
  <w:num w:numId="5" w16cid:durableId="112866385">
    <w:abstractNumId w:val="7"/>
  </w:num>
  <w:num w:numId="6" w16cid:durableId="356126788">
    <w:abstractNumId w:val="3"/>
  </w:num>
  <w:num w:numId="7" w16cid:durableId="1915814883">
    <w:abstractNumId w:val="2"/>
  </w:num>
  <w:num w:numId="8" w16cid:durableId="711616914">
    <w:abstractNumId w:val="1"/>
  </w:num>
  <w:num w:numId="9" w16cid:durableId="78041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EE2"/>
    <w:rsid w:val="00117153"/>
    <w:rsid w:val="0015074B"/>
    <w:rsid w:val="0029639D"/>
    <w:rsid w:val="00326F90"/>
    <w:rsid w:val="008153F0"/>
    <w:rsid w:val="00915E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BB9F7"/>
  <w14:defaultImageDpi w14:val="300"/>
  <w15:docId w15:val="{65ED18B6-7B26-1047-8310-90D8FD0D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3</cp:revision>
  <dcterms:created xsi:type="dcterms:W3CDTF">2013-12-23T23:15:00Z</dcterms:created>
  <dcterms:modified xsi:type="dcterms:W3CDTF">2026-06-11T18:30:00Z</dcterms:modified>
  <cp:category/>
</cp:coreProperties>
</file>