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00"/>
        <w:jc w:val="center"/>
      </w:pPr>
      <w:r>
        <w:rPr>
          <w:rFonts w:ascii="Times New Roman" w:hAnsi="Times New Roman" w:eastAsia="DFKai-SB" w:cs="Times New Roman"/>
          <w:b/>
          <w:sz w:val="40"/>
        </w:rPr>
        <w:t>判決文本會說話嗎？ 臺灣智慧財產權裁判結果之文字探勘與分類研究</w:t>
      </w:r>
    </w:p>
    <w:p>
      <w:pPr>
        <w:spacing w:line="240" w:lineRule="auto" w:before="0" w:after="120"/>
        <w:jc w:val="center"/>
      </w:pPr>
      <w:r>
        <w:rPr>
          <w:rFonts w:ascii="Times New Roman" w:hAnsi="Times New Roman" w:eastAsia="DFKai-SB" w:cs="Times New Roman"/>
          <w:b/>
          <w:sz w:val="28"/>
        </w:rPr>
        <w:t>Do Court Judgments Speak? Text Mining and Classification of Intellectual Property Judgment Outcomes in Taiwan</w:t>
      </w:r>
    </w:p>
    <w:p>
      <w:pPr>
        <w:spacing w:line="240" w:lineRule="auto" w:before="0" w:after="40"/>
        <w:jc w:val="center"/>
      </w:pPr>
      <w:r>
        <w:rPr>
          <w:rFonts w:ascii="Times New Roman" w:hAnsi="Times New Roman" w:eastAsia="DFKai-SB" w:cs="Times New Roman"/>
          <w:b/>
          <w:sz w:val="28"/>
        </w:rPr>
        <w:t>摘要</w:t>
      </w:r>
    </w:p>
    <w:p>
      <w:pPr>
        <w:spacing w:line="240" w:lineRule="auto" w:before="0" w:after="40"/>
        <w:ind w:firstLine="420"/>
        <w:jc w:val="both"/>
      </w:pPr>
      <w:r>
        <w:rPr>
          <w:rFonts w:ascii="Times New Roman" w:hAnsi="Times New Roman" w:eastAsia="DFKai-SB" w:cs="Times New Roman"/>
          <w:b w:val="0"/>
          <w:sz w:val="20"/>
        </w:rPr>
        <w:t>隨著司法資料公開與法律科技（Legal Technology, LegalTech）發展，判決文本分析已成為實證法律研究的重要議題。如何從大量裁判書中擷取有效資訊，並分析裁判結果，是法律文字探勘（Text Mining）的重要任務。智慧財產權判決具有法律術語密集、案件類型差異明顯、文本結構複雜與裁判結果分布不均衡等特性。因此，智慧財產權判決適合作為文字探勘與機器學習（Machine Learning）分類任務之研究對象。</w:t>
        <w:br/>
        <w:t>本研究以臺灣智慧財產權相關裁判書為資料來源。本文將裁判結果整理為敗訴（Lose）、部分勝訴（Mixed）與勝訴（Win）三類。並依案件類型區分為行政、民事、刑事與刑事附帶民事案件。各案件類型分別建立模型，以比較其分類表現。在研究方法上，本文首先進行案件篩選、文本清理、停用詞移除與中文斷詞。接著建立三種文字特徵表示，包括詞袋模型（Bag-of-Words, BoW）、詞頻表示（Term Frequency, TF）與詞頻－逆文件頻率（Term Frequency-Inverse Document Frequency, TF-IDF）。本文再透過卡方特徵選擇（Chi-square feature selection, Chi-square），篩選與裁判結果較具關聯的詞彙特徵。模型流程方面，本文比較兩種方法。第一種為 Chi-square + 多項式逆迴歸（Multinomial Inverse Regression, MNIR） + 支持向量機（Support Vector Machine, SVM）。第二種為 Chi-square + SVM。前者用以檢驗 MNIR 監督式特徵轉換是否能改善高維法律文</w:t>
      </w:r>
    </w:p>
    <w:p>
      <w:pPr>
        <w:spacing w:line="240" w:lineRule="auto" w:before="0" w:after="80"/>
      </w:pPr>
      <w:r>
        <w:rPr>
          <w:rFonts w:ascii="Times New Roman" w:hAnsi="Times New Roman" w:eastAsia="DFKai-SB" w:cs="Times New Roman"/>
          <w:b/>
          <w:sz w:val="19"/>
        </w:rPr>
        <w:t>Keywords: LegalTech, text mining, intellectual property, judgment outcome classification, machine learning</w:t>
      </w:r>
    </w:p>
    <w:p>
      <w:pPr>
        <w:spacing w:line="240" w:lineRule="auto" w:before="0" w:after="40"/>
        <w:jc w:val="center"/>
      </w:pPr>
      <w:r>
        <w:rPr>
          <w:rFonts w:ascii="Times New Roman" w:hAnsi="Times New Roman" w:eastAsia="DFKai-SB" w:cs="Times New Roman"/>
          <w:b/>
          <w:sz w:val="28"/>
        </w:rPr>
        <w:t>Abstract</w:t>
      </w:r>
    </w:p>
    <w:p>
      <w:pPr>
        <w:spacing w:line="240" w:lineRule="auto" w:before="0" w:after="0"/>
        <w:jc w:val="both"/>
      </w:pPr>
      <w:r>
        <w:rPr>
          <w:rFonts w:ascii="Times New Roman" w:hAnsi="Times New Roman" w:eastAsia="DFKai-SB" w:cs="Times New Roman"/>
          <w:b w:val="0"/>
          <w:sz w:val="17"/>
        </w:rPr>
        <w:t>With the development of open judicial data and legal technology, court judgment text analysis has become an important issue in empirical legal studies. Extracting useful information from large-scale judgments and analyzing case outcomes are central tasks in legal text mining. Intellectual property judgments contain dense legal terminology, involve different case types, have complex textual structures, and exhibit imbalanced judgment outcomes. These characteristics make them suitable subjects for text mining and machine learning classification. This study uses Taiwanese intellectual property court judgments as its research data. Judgment outcomes are classified into three categories: Lose, Mixed, and Win. The data are further divided into four case types: administrative, civil, criminal, and criminal cases with attached civil actions. In terms of methodology, this study conducts case filtering, text cleaning, stop-word removal, and Chine</w:t>
      </w:r>
    </w:p>
    <w:p>
      <w:pPr>
        <w:sectPr>
          <w:footerReference w:type="default" r:id="rId9"/>
          <w:pgSz w:w="11906" w:h="16838"/>
          <w:pgMar w:top="1134" w:right="1417" w:bottom="1134" w:left="1417" w:header="567" w:footer="567" w:gutter="0"/>
          <w:cols w:space="720"/>
          <w:docGrid w:linePitch="360"/>
        </w:sectPr>
      </w:pPr>
    </w:p>
    <w:p>
      <w:pPr>
        <w:pStyle w:val="Heading1"/>
        <w:spacing w:line="240" w:lineRule="auto" w:before="160" w:after="120"/>
        <w:jc w:val="center"/>
      </w:pPr>
      <w:r>
        <w:rPr>
          <w:rFonts w:ascii="Times New Roman" w:hAnsi="Times New Roman" w:eastAsia="DFKai-SB" w:cs="Times New Roman"/>
          <w:b/>
          <w:sz w:val="32"/>
        </w:rPr>
        <w:t>第一章 緒論</w:t>
      </w:r>
    </w:p>
    <w:p>
      <w:pPr>
        <w:pStyle w:val="Heading2"/>
        <w:spacing w:line="240" w:lineRule="auto" w:before="120" w:after="60"/>
        <w:jc w:val="left"/>
      </w:pPr>
      <w:r>
        <w:rPr>
          <w:rFonts w:ascii="Times New Roman" w:hAnsi="Times New Roman" w:eastAsia="DFKai-SB" w:cs="Times New Roman"/>
          <w:b/>
          <w:sz w:val="28"/>
        </w:rPr>
        <w:t>1.1 研究背景與動機</w:t>
      </w:r>
    </w:p>
    <w:p>
      <w:pPr>
        <w:spacing w:line="240" w:lineRule="auto" w:before="0" w:after="60"/>
        <w:ind w:firstLine="420"/>
        <w:jc w:val="both"/>
      </w:pPr>
      <w:r>
        <w:rPr>
          <w:rFonts w:ascii="Times New Roman" w:hAnsi="Times New Roman" w:eastAsia="DFKai-SB" w:cs="Times New Roman"/>
          <w:b w:val="0"/>
          <w:sz w:val="24"/>
        </w:rPr>
        <w:t>近年來，大數據（Big Data）與人工智慧（Artificial Intelligence）的發展，使法律研究逐漸從傳統法釋義學與個案分析，延伸至以資料為基礎的實證研究。傳統法學研究多側重於法釋義學的內在邏輯與解釋，亦即所謂「書本上的法律」（Law in Books）；然而，隨著法律經濟學、社會科學方法與資料科學工具的導入，研究者也開始關注法律在實際案件中的運作方式，亦即「行動中的法律」（Law in Action）。在此脈絡下，實證法律研究（Empirical Legal Studies, ELS）逐漸成為觀察法院裁判、司法行為與訴訟結果的重要方法。</w:t>
      </w:r>
    </w:p>
    <w:p>
      <w:pPr>
        <w:spacing w:line="240" w:lineRule="auto" w:before="0" w:after="60"/>
        <w:ind w:firstLine="420"/>
        <w:jc w:val="both"/>
      </w:pPr>
      <w:r>
        <w:rPr>
          <w:rFonts w:ascii="Times New Roman" w:hAnsi="Times New Roman" w:eastAsia="DFKai-SB" w:cs="Times New Roman"/>
          <w:b w:val="0"/>
          <w:sz w:val="24"/>
        </w:rPr>
        <w:t>臺灣司法體系在資料透明與開放方面具備制度性優勢。林常青（2019）指出，司法院公開之裁判書查詢系統提供大量完整判決全文資料，可供研究者取得與分析，為法律實證研究提供重要的資料基礎。判決全文雖具有主文、事實與理由等書寫格式，但其核心資訊主要以自然語言段落呈現，尚未整理為可直接進行量化分析的固定欄位或數值特徵，因此稱非結構化文本。由於裁判書同時包含案件事實、當事人主張、法律適用與裁判理由，且具有篇幅長、法律術語密集與論述結構複雜等特性，如何將其轉換為可供模型辨識之特徵，仍是法律科技（Legal Technology, LegalTech）與法律文本分析中的重要問題。智慧財產權案件尤其具有高度專業性與技術性。張添榜等人（2013）指出，在智慧財產權案件中，判決預測的挑戰往往來自法律解釋與事實認定兩個層面。以專利侵權判斷為例，法院常需處理文義侵害與均等論（Doctrine of Equivalents）等問題。均等論雖可作為專利權保護的重要機制，但因其涉及專利權範圍是否擴張至請求項文字之外，容易與專利制度所重視之公示作用產生緊張關係，使法院判斷具有高度解釋空間。此類案件中，單純依靠少數關鍵字往往難以完整呈現法院判斷的依據。</w:t>
      </w:r>
    </w:p>
    <w:p>
      <w:pPr>
        <w:spacing w:line="240" w:lineRule="auto" w:before="0" w:after="60"/>
        <w:ind w:firstLine="420"/>
        <w:jc w:val="both"/>
      </w:pPr>
      <w:r>
        <w:rPr>
          <w:rFonts w:ascii="Times New Roman" w:hAnsi="Times New Roman" w:eastAsia="DFKai-SB" w:cs="Times New Roman"/>
          <w:b w:val="0"/>
          <w:sz w:val="24"/>
        </w:rPr>
        <w:t>此外，在新興技術領域中，事實認定的複雜度亦進一步提高。以智慧財產法院 108 年民專訴字第 59 號民事判決為例，該案涉及行動支付方法與複數執行者問題。當專利方法步驟分別由商店端、消費者端與銀行伺服器端共同完成時，法院須進一步判斷不同行為主體之行為與損害結果之間是否具有相當因果關係（陳秉訓，2021）。此類案件顯示，智慧財產權判決文本不僅包含法律規範，也包含技術事實、權利範圍、行為主體與因果關係等多層次資訊，因此適合作為法律文本探勘與裁判結果分類之研究對象。另一方面，智慧財產權案件亦存在明顯的裁判結果不均衡問題。郭建中、陳羿愷（2020）整理智慧財產法院相關實務數據後指出，專利權人於部分年度之勝訴率偏低，顯示智慧財產權民事訴訟中不同裁判結果之分布並非均衡。此一現象對機器學習（Machine Learning）模型具有重要影響：若模型僅追求整體準確率（Accuracy），便可能因大量預測多數類別而取得表面上較高的分數，卻無法有效辨識勝訴或部分勝訴等少數類別。因此，在智慧財產權判決分類任務中，研究者不僅需要建立模型，也必須檢視模型是否受到類別不平衡影響，並進一步分析其對不同裁判結果類別之辨識能力。</w:t>
      </w:r>
    </w:p>
    <w:p>
      <w:pPr>
        <w:spacing w:line="240" w:lineRule="auto" w:before="0" w:after="60"/>
        <w:ind w:firstLine="420"/>
        <w:jc w:val="both"/>
      </w:pPr>
      <w:r>
        <w:rPr>
          <w:rFonts w:ascii="Times New Roman" w:hAnsi="Times New Roman" w:eastAsia="DFKai-SB" w:cs="Times New Roman"/>
          <w:b w:val="0"/>
          <w:sz w:val="24"/>
        </w:rPr>
        <w:t>基於上述背景，本研究以臺灣智慧財產權相關判決為研究對象，運用文字探勘（Text Mining）與機器學習方法建立裁判結果分類流程。本研究並不將重點放在單純追求最高準確率，而是進一步比較不同案件類型、不同文字特徵表示與不同模型流程之分類表現。具體而言，本研究將裁判結果整理為敗訴、部分勝訴與勝訴三類，並依案件類型區分為行政、民事、刑事與刑事附帶民事案件；在方法上，則比較 卡方特徵選擇（Chi-square feature selection, Chi-square） + 多項式逆迴歸（Multinomial Inverse Regression, MNIR） + 支持向量機與 卡方特徵選擇 + 支持向量機 兩種流程，以檢驗 MNIR 監督式特徵轉換是否能在高維法律文本分類任務中帶來額外增益，並同時評估傳統稀疏文字特徵模型之基準價值。</w:t>
      </w:r>
    </w:p>
    <w:p>
      <w:pPr>
        <w:pStyle w:val="Heading2"/>
        <w:spacing w:line="240" w:lineRule="auto" w:before="120" w:after="60"/>
        <w:jc w:val="left"/>
      </w:pPr>
      <w:r>
        <w:rPr>
          <w:rFonts w:ascii="Times New Roman" w:hAnsi="Times New Roman" w:eastAsia="DFKai-SB" w:cs="Times New Roman"/>
          <w:b/>
          <w:sz w:val="28"/>
        </w:rPr>
        <w:t>1.2 研究目的</w:t>
      </w:r>
    </w:p>
    <w:p>
      <w:pPr>
        <w:pStyle w:val="Heading2"/>
        <w:spacing w:line="240" w:lineRule="auto" w:before="120" w:after="60"/>
        <w:jc w:val="left"/>
      </w:pPr>
      <w:r>
        <w:rPr>
          <w:rFonts w:ascii="Times New Roman" w:hAnsi="Times New Roman" w:eastAsia="DFKai-SB" w:cs="Times New Roman"/>
          <w:b/>
          <w:sz w:val="28"/>
        </w:rPr>
        <w:t>1.3 研究問題</w:t>
      </w:r>
    </w:p>
    <w:p>
      <w:pPr>
        <w:pStyle w:val="Heading2"/>
        <w:spacing w:line="240" w:lineRule="auto" w:before="120" w:after="60"/>
        <w:jc w:val="left"/>
      </w:pPr>
      <w:r>
        <w:rPr>
          <w:rFonts w:ascii="Times New Roman" w:hAnsi="Times New Roman" w:eastAsia="DFKai-SB" w:cs="Times New Roman"/>
          <w:b/>
          <w:sz w:val="28"/>
        </w:rPr>
        <w:t>1.4 研究定位與論文架構</w:t>
      </w:r>
    </w:p>
    <w:p>
      <w:pPr>
        <w:pStyle w:val="Heading1"/>
        <w:spacing w:line="240" w:lineRule="auto" w:before="160" w:after="120"/>
        <w:jc w:val="center"/>
      </w:pPr>
      <w:r>
        <w:rPr>
          <w:rFonts w:ascii="Times New Roman" w:hAnsi="Times New Roman" w:eastAsia="DFKai-SB" w:cs="Times New Roman"/>
          <w:b/>
          <w:sz w:val="32"/>
        </w:rPr>
        <w:t>第二章 文獻回顧</w:t>
      </w:r>
    </w:p>
    <w:p>
      <w:pPr>
        <w:pStyle w:val="Heading2"/>
        <w:spacing w:line="240" w:lineRule="auto" w:before="120" w:after="60"/>
        <w:jc w:val="left"/>
      </w:pPr>
      <w:r>
        <w:rPr>
          <w:rFonts w:ascii="Times New Roman" w:hAnsi="Times New Roman" w:eastAsia="DFKai-SB" w:cs="Times New Roman"/>
          <w:b/>
          <w:sz w:val="28"/>
        </w:rPr>
        <w:t>2.1 前言</w:t>
      </w:r>
    </w:p>
    <w:p>
      <w:pPr>
        <w:spacing w:line="240" w:lineRule="auto" w:before="0" w:after="60"/>
        <w:ind w:firstLine="420"/>
        <w:jc w:val="both"/>
      </w:pPr>
      <w:r>
        <w:rPr>
          <w:rFonts w:ascii="Times New Roman" w:hAnsi="Times New Roman" w:eastAsia="DFKai-SB" w:cs="Times New Roman"/>
          <w:b w:val="0"/>
          <w:sz w:val="24"/>
        </w:rPr>
        <w:t>隨著司法判決資料逐漸公開，法律文本開始成為實證研究的重要資料來源。過去法律研究多以法釋義學、個案分析與法理推演為主。近年來，研究者則逐漸嘗試運用自然語言處理（Natural Language Processing, NLP）、文字探勘（Text Mining）與機器學習方法，分析大量判決文本（Ariai et al., 2025）。在此脈絡下，法律判決不再只是個案閱讀的對象，也可以被轉換為可量化的文字資料。透過文字特徵建構與分類模型，研究者得以檢驗判決文本中是否存在可供模型辨識的分類訊號。例如，特定法律爭點、案件事實、請求類型或裁判理由用語，可能與案件類型或裁判結果具有關聯。然而，法律判決文本不同於一般新聞、社群媒體或消費評論。判決書通常包含案件事實、當事人主張、法院理由、法律構成要件與裁判結果等資訊。此類文本篇幅較長，術語密度較高，且同一法律概念可能以不同方式表述。因此，如何將法律文本轉換為適合模型處理的特徵，並同時維持一定的可解釋性，是法律文本分類與判決預測研究的重要問題。本章將依序回顧實證法律研究與法律文本分析的發展，說明 BoW、TF 與 TF-IDF 等傳統文字特徵表示在法律文本分類中的角色，接著討論機器學習模型與模型可解釋性之必要性，最後說明本研究在臺灣智慧財產權判決文本脈絡下，採用三類裁判結果分類、MNIR 監督式特徵轉換與 Chi-square + SVM 對照流程之研究定位。</w:t>
      </w:r>
    </w:p>
    <w:p>
      <w:pPr>
        <w:pStyle w:val="Heading2"/>
        <w:spacing w:line="240" w:lineRule="auto" w:before="120" w:after="60"/>
        <w:jc w:val="left"/>
      </w:pPr>
      <w:r>
        <w:rPr>
          <w:rFonts w:ascii="Times New Roman" w:hAnsi="Times New Roman" w:eastAsia="DFKai-SB" w:cs="Times New Roman"/>
          <w:b/>
          <w:sz w:val="28"/>
        </w:rPr>
        <w:t>2.2 實證法律研究與量化分析的發展</w:t>
      </w:r>
    </w:p>
    <w:p>
      <w:pPr>
        <w:spacing w:line="240" w:lineRule="auto" w:before="0" w:after="60"/>
        <w:ind w:firstLine="420"/>
        <w:jc w:val="both"/>
      </w:pPr>
      <w:r>
        <w:rPr>
          <w:rFonts w:ascii="Times New Roman" w:hAnsi="Times New Roman" w:eastAsia="DFKai-SB" w:cs="Times New Roman"/>
          <w:b w:val="0"/>
          <w:sz w:val="24"/>
        </w:rPr>
        <w:t>實證法律研究強調以資料觀察法律制度的實際運作，並透過統計分析、計量方法或文字探勘，檢視法院裁判、司法行為與訴訟結果所呈現的規律。相較於傳統法學研究主要透過法規、判決與學說，探討法律應如何解釋與適用，實證法律研究則將判決書、裁判結果、訴訟期間與其他案件資訊轉化為可觀察、可量化的研究資料，以回答法院實際如何裁判，以及不同因素是否與裁判結果具有關聯等問題。兩種研究取向並非互相取代，而是分別從規範解釋與實際運作的角度理解法律。</w:t>
      </w:r>
    </w:p>
    <w:p>
      <w:pPr>
        <w:spacing w:line="240" w:lineRule="auto" w:before="0" w:after="60"/>
        <w:ind w:firstLine="420"/>
        <w:jc w:val="both"/>
      </w:pPr>
      <w:r>
        <w:rPr>
          <w:rFonts w:ascii="Times New Roman" w:hAnsi="Times New Roman" w:eastAsia="DFKai-SB" w:cs="Times New Roman"/>
          <w:b w:val="0"/>
          <w:sz w:val="24"/>
        </w:rPr>
        <w:t>國外研究中，已有文獻運用大量法院資料分析司法決策。例如 Eren and Mocan（2018）探討外部事件是否影響法官量刑；Heyes and Saberian（2019）則以美國移民法院案件為資料，檢驗案件裁決當日的外部氣溫是否與法官作出有利於申請人的裁決機率相關。這類研究顯示，法院判決可被視為可觀察、可量化並可進一步分析的實證資料，而不僅是單純的法理文本。在臺灣，司法資料公開亦為法律實證研究提供重要基礎。林常青（2019）指出，司法院裁判書查詢系統提供大量完整判決資料，使研究者能夠從判決全文、案件類型、裁判結果等面向進行實證分析。Chen et al.（2015）透過最高法院民事案件資料分析訴訟資源與裁判結果之關係；Chang et al.（2018）則檢驗法院賠償金額判斷中的定錨效果，亦即先前出現的金額資訊是否會成為法官後續判斷賠償金額時的參考基準。這些文獻不僅證明臺灣司法資料庫具備量化研究價值，也確立了將判決文本轉化為可計算特徵的正當性。然而，智慧財產權判決文本具有更高的專業性與技術性。智慧財產權案件常涉及專利範圍解釋、侵權認定、商標混淆、著作權利用、營業秘密與損害賠償等問題。此類案件中的裁判結果往往不只受到單一事實影響，而是涉及當事人主張、技術內容、權利範圍、法律要件與法院理由之綜合判斷。因此，若要以文字探勘方法預測智慧財產權判決結果，除了需要處理大量文本資料，也必須面對法律術語密集、文本結構複雜與裁判結果類別不平衡等問題。</w:t>
      </w:r>
    </w:p>
    <w:p>
      <w:pPr>
        <w:pStyle w:val="Heading2"/>
        <w:spacing w:line="240" w:lineRule="auto" w:before="120" w:after="60"/>
        <w:jc w:val="left"/>
      </w:pPr>
      <w:r>
        <w:rPr>
          <w:rFonts w:ascii="Times New Roman" w:hAnsi="Times New Roman" w:eastAsia="DFKai-SB" w:cs="Times New Roman"/>
          <w:b/>
          <w:sz w:val="28"/>
        </w:rPr>
        <w:t>2.3 法律文本之特徵表示：BoW、TF 與 TF-IDF</w:t>
      </w:r>
    </w:p>
    <w:p>
      <w:pPr>
        <w:spacing w:line="240" w:lineRule="auto" w:before="0" w:after="60"/>
        <w:ind w:firstLine="420"/>
        <w:jc w:val="both"/>
      </w:pPr>
      <w:r>
        <w:rPr>
          <w:rFonts w:ascii="Times New Roman" w:hAnsi="Times New Roman" w:eastAsia="DFKai-SB" w:cs="Times New Roman"/>
          <w:b w:val="0"/>
          <w:sz w:val="24"/>
        </w:rPr>
        <w:t>在文字探勘與文本分類任務中，第一個關鍵步驟是將非結構化文本轉換為模型可處理的數值特徵。傳統文本分類常用的方式包括詞袋模型（Bag-of-Words, BoW）、詞頻表示（Term Frequency, TF）與詞頻－逆文件頻率（Term Frequency–Inverse Document Frequency, TF-IDF）。這些方法雖然不直接處理詞序與深層語意，但在許多專業文本分類任務中仍具備良好的基準價值。法律裁判書具備篇幅冗長且充滿專業術語之特性，傳統上常被認為需要較複雜的語意模型來處理。然而，近年實證研究指出，在特定專業領域，例如金融與法律等具備高度編碼化語意之文本中，傳統詞袋模型在部分語意任務上仍可能具有競爭力，甚至在特定條件下超越部分密集語意嵌入模型（Mamakas et al., 2022; Tang &amp; Yang, 2025）。此一發現表示，對高度制度化與專業化文本而言，詞彙本身的出現與分布仍可能包含重要分類訊號。</w:t>
      </w:r>
    </w:p>
    <w:p>
      <w:pPr>
        <w:pStyle w:val="Heading2"/>
        <w:spacing w:line="240" w:lineRule="auto" w:before="120" w:after="60"/>
        <w:jc w:val="left"/>
      </w:pPr>
      <w:r>
        <w:rPr>
          <w:rFonts w:ascii="Times New Roman" w:hAnsi="Times New Roman" w:eastAsia="DFKai-SB" w:cs="Times New Roman"/>
          <w:b/>
          <w:sz w:val="28"/>
        </w:rPr>
        <w:t>2.4 預測模型建構與可解釋性之必要性</w:t>
      </w:r>
    </w:p>
    <w:p>
      <w:pPr>
        <w:pStyle w:val="Heading2"/>
        <w:spacing w:line="240" w:lineRule="auto" w:before="120" w:after="60"/>
        <w:jc w:val="left"/>
      </w:pPr>
      <w:r>
        <w:rPr>
          <w:rFonts w:ascii="Times New Roman" w:hAnsi="Times New Roman" w:eastAsia="DFKai-SB" w:cs="Times New Roman"/>
          <w:b/>
          <w:sz w:val="28"/>
        </w:rPr>
        <w:t>2.5 MNIR 監督式特徵轉換與本研究定位</w:t>
      </w:r>
    </w:p>
    <w:p>
      <w:pPr>
        <w:pStyle w:val="Heading2"/>
        <w:spacing w:line="240" w:lineRule="auto" w:before="120" w:after="60"/>
        <w:jc w:val="left"/>
      </w:pPr>
      <w:r>
        <w:rPr>
          <w:rFonts w:ascii="Times New Roman" w:hAnsi="Times New Roman" w:eastAsia="DFKai-SB" w:cs="Times New Roman"/>
          <w:b/>
          <w:sz w:val="28"/>
        </w:rPr>
        <w:t>2.6 總結與研究缺口</w:t>
      </w:r>
    </w:p>
    <w:p>
      <w:pPr>
        <w:pStyle w:val="Heading1"/>
        <w:spacing w:line="240" w:lineRule="auto" w:before="160" w:after="120"/>
        <w:jc w:val="center"/>
      </w:pPr>
      <w:r>
        <w:rPr>
          <w:rFonts w:ascii="Times New Roman" w:hAnsi="Times New Roman" w:eastAsia="DFKai-SB" w:cs="Times New Roman"/>
          <w:b/>
          <w:sz w:val="32"/>
        </w:rPr>
        <w:t>第三章 研究方法與資料</w:t>
      </w:r>
    </w:p>
    <w:p>
      <w:pPr>
        <w:pStyle w:val="Heading2"/>
        <w:spacing w:line="240" w:lineRule="auto" w:before="120" w:after="60"/>
        <w:jc w:val="left"/>
      </w:pPr>
      <w:r>
        <w:rPr>
          <w:rFonts w:ascii="Times New Roman" w:hAnsi="Times New Roman" w:eastAsia="DFKai-SB" w:cs="Times New Roman"/>
          <w:b/>
          <w:sz w:val="28"/>
        </w:rPr>
        <w:t>3.1 研究流程</w:t>
      </w:r>
    </w:p>
    <w:p>
      <w:pPr>
        <w:spacing w:line="240" w:lineRule="auto" w:before="0" w:after="60"/>
        <w:ind w:firstLine="420"/>
        <w:jc w:val="both"/>
      </w:pPr>
      <w:r>
        <w:rPr>
          <w:rFonts w:ascii="Times New Roman" w:hAnsi="Times New Roman" w:eastAsia="DFKai-SB" w:cs="Times New Roman"/>
          <w:b w:val="0"/>
          <w:sz w:val="24"/>
        </w:rPr>
        <w:t>本研究旨在運用文字探勘（Text Mining）與機器學習（Machine Learning）方法，對臺灣智慧財產權相關判決文本進行裁判結果分類。整體研究流程包含資料蒐集、智慧財產權案件篩選、文本清理與斷詞、樣本標籤整理、文字特徵建構、卡方特徵選擇、模型訓練與模型評估。裁判結果整理為敗訴、部分勝訴與勝訴三類，並依案件類型區分為行政、民事、刑事與刑事附帶民事四類資料集。由於不同案件類型在樣本規模、法律用語、裁判邏輯與裁判結果分布上可能存在差異，本研究不將所有案件直接合併為單一資料集，而是分別建立模型並比較其分類表現。在文字特徵表示方面，本研究比較 BoW、TF 與 TF-IDF 三種方法。在模型流程方面，本研究比較兩條主要流程：第一，Chi-square + MNIR + SVM，亦即先以卡方統計量進行特徵選擇，再透過 MNIR 進行監督式特徵轉換，最後以 SVM 進行分類；第二，Chi-square + SVM，亦即不經 MNIR 轉換，直接以卡方篩選後之稀疏文字特徵訓練 SVM。透過兩者比較，本研究檢驗 MNIR 監督式特徵轉換是否能在智慧財產權判決分類任務中帶來額外增益。</w:t>
      </w:r>
    </w:p>
    <w:p>
      <w:pPr>
        <w:spacing w:line="240" w:lineRule="auto" w:before="0" w:after="60"/>
        <w:ind w:firstLine="420"/>
        <w:jc w:val="both"/>
      </w:pPr>
      <w:r>
        <w:rPr>
          <w:rFonts w:ascii="Times New Roman" w:hAnsi="Times New Roman" w:eastAsia="DFKai-SB" w:cs="Times New Roman"/>
          <w:b w:val="0"/>
          <w:sz w:val="24"/>
        </w:rPr>
        <w:t>研究流程可概括如下：</w:t>
      </w:r>
    </w:p>
    <w:p>
      <w:pPr>
        <w:spacing w:line="240" w:lineRule="auto" w:before="0" w:after="60"/>
        <w:ind w:firstLine="420"/>
        <w:jc w:val="both"/>
      </w:pPr>
      <w:r>
        <w:rPr>
          <w:rFonts w:ascii="Times New Roman" w:hAnsi="Times New Roman" w:eastAsia="DFKai-SB" w:cs="Times New Roman"/>
          <w:b w:val="0"/>
          <w:sz w:val="24"/>
        </w:rPr>
        <w:t>資料蒐集 → 智慧財產權案件篩選 → 文本清理與斷詞 → 樣本與標籤整理 → BoW / TF / TF-IDF 特徵建構 → Chi-square 降維 → Chi-square + MNIR + SVM 與 Chi-square + SVM 模型訓練 → 驗證集參數選擇 → 測試集模型評估。</w:t>
      </w:r>
    </w:p>
    <w:p>
      <w:pPr>
        <w:pStyle w:val="Heading2"/>
        <w:spacing w:line="240" w:lineRule="auto" w:before="120" w:after="60"/>
        <w:jc w:val="left"/>
      </w:pPr>
      <w:r>
        <w:rPr>
          <w:rFonts w:ascii="Times New Roman" w:hAnsi="Times New Roman" w:eastAsia="DFKai-SB" w:cs="Times New Roman"/>
          <w:b/>
          <w:sz w:val="28"/>
        </w:rPr>
        <w:t>3.2 資料獲取與前處理</w:t>
      </w:r>
    </w:p>
    <w:p>
      <w:pPr>
        <w:spacing w:line="240" w:lineRule="auto" w:before="0" w:after="40"/>
        <w:jc w:val="center"/>
      </w:pPr>
      <w:r>
        <w:rPr>
          <w:rFonts w:ascii="Times New Roman" w:hAnsi="Times New Roman" w:eastAsia="DFKai-SB" w:cs="Times New Roman"/>
          <w:b/>
          <w:sz w:val="24"/>
        </w:rPr>
        <w:t>Table 1 Research design controls</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spacing w:line="240" w:lineRule="auto" w:after="0"/>
              <w:jc w:val="center"/>
            </w:pPr>
            <w:r/>
            <w:r>
              <w:rPr>
                <w:rFonts w:ascii="Times New Roman" w:hAnsi="Times New Roman" w:eastAsia="DFKai-SB" w:cs="Times New Roman"/>
                <w:b/>
                <w:sz w:val="18"/>
              </w:rPr>
              <w:t>Item</w:t>
            </w:r>
          </w:p>
        </w:tc>
        <w:tc>
          <w:tcPr>
            <w:tcW w:type="dxa" w:w="3024"/>
            <w:vAlign w:val="center"/>
          </w:tcPr>
          <w:p>
            <w:pPr>
              <w:spacing w:line="240" w:lineRule="auto" w:after="0"/>
              <w:jc w:val="center"/>
            </w:pPr>
            <w:r/>
            <w:r>
              <w:rPr>
                <w:rFonts w:ascii="Times New Roman" w:hAnsi="Times New Roman" w:eastAsia="DFKai-SB" w:cs="Times New Roman"/>
                <w:b/>
                <w:sz w:val="18"/>
              </w:rPr>
              <w:t>Setting</w:t>
            </w:r>
          </w:p>
        </w:tc>
        <w:tc>
          <w:tcPr>
            <w:tcW w:type="dxa" w:w="3024"/>
            <w:vAlign w:val="center"/>
          </w:tcPr>
          <w:p>
            <w:pPr>
              <w:spacing w:line="240" w:lineRule="auto" w:after="0"/>
              <w:jc w:val="center"/>
            </w:pPr>
            <w:r/>
            <w:r>
              <w:rPr>
                <w:rFonts w:ascii="Times New Roman" w:hAnsi="Times New Roman" w:eastAsia="DFKai-SB" w:cs="Times New Roman"/>
                <w:b/>
                <w:sz w:val="18"/>
              </w:rPr>
              <w:t>Purpose</w:t>
            </w:r>
          </w:p>
        </w:tc>
      </w:tr>
      <w:tr>
        <w:tc>
          <w:tcPr>
            <w:tcW w:type="dxa" w:w="3024"/>
            <w:vAlign w:val="center"/>
          </w:tcPr>
          <w:p>
            <w:pPr>
              <w:spacing w:line="240" w:lineRule="auto" w:after="0"/>
              <w:jc w:val="left"/>
            </w:pPr>
            <w:r/>
            <w:r>
              <w:rPr>
                <w:rFonts w:ascii="Times New Roman" w:hAnsi="Times New Roman" w:eastAsia="DFKai-SB" w:cs="Times New Roman"/>
                <w:b w:val="0"/>
                <w:sz w:val="17"/>
              </w:rPr>
              <w:t>Split</w:t>
            </w:r>
          </w:p>
        </w:tc>
        <w:tc>
          <w:tcPr>
            <w:tcW w:type="dxa" w:w="3024"/>
            <w:vAlign w:val="center"/>
          </w:tcPr>
          <w:p>
            <w:pPr>
              <w:spacing w:line="240" w:lineRule="auto" w:after="0"/>
              <w:jc w:val="center"/>
            </w:pPr>
            <w:r/>
            <w:r>
              <w:rPr>
                <w:rFonts w:ascii="Times New Roman" w:hAnsi="Times New Roman" w:eastAsia="DFKai-SB" w:cs="Times New Roman"/>
                <w:b w:val="0"/>
                <w:sz w:val="17"/>
              </w:rPr>
              <w:t>Train / validation / test</w:t>
            </w:r>
          </w:p>
        </w:tc>
        <w:tc>
          <w:tcPr>
            <w:tcW w:type="dxa" w:w="3024"/>
            <w:vAlign w:val="center"/>
          </w:tcPr>
          <w:p>
            <w:pPr>
              <w:spacing w:line="240" w:lineRule="auto" w:after="0"/>
              <w:jc w:val="left"/>
            </w:pPr>
            <w:r/>
            <w:r>
              <w:rPr>
                <w:rFonts w:ascii="Times New Roman" w:hAnsi="Times New Roman" w:eastAsia="DFKai-SB" w:cs="Times New Roman"/>
                <w:b w:val="0"/>
                <w:sz w:val="17"/>
              </w:rPr>
              <w:t>Avoid tuning on test data</w:t>
            </w:r>
          </w:p>
        </w:tc>
      </w:tr>
      <w:tr>
        <w:tc>
          <w:tcPr>
            <w:tcW w:type="dxa" w:w="3024"/>
            <w:vAlign w:val="center"/>
          </w:tcPr>
          <w:p>
            <w:pPr>
              <w:spacing w:line="240" w:lineRule="auto" w:after="0"/>
              <w:jc w:val="left"/>
            </w:pPr>
            <w:r/>
            <w:r>
              <w:rPr>
                <w:rFonts w:ascii="Times New Roman" w:hAnsi="Times New Roman" w:eastAsia="DFKai-SB" w:cs="Times New Roman"/>
                <w:b w:val="0"/>
                <w:sz w:val="17"/>
              </w:rPr>
              <w:t>Leakage control</w:t>
            </w:r>
          </w:p>
        </w:tc>
        <w:tc>
          <w:tcPr>
            <w:tcW w:type="dxa" w:w="3024"/>
            <w:vAlign w:val="center"/>
          </w:tcPr>
          <w:p>
            <w:pPr>
              <w:spacing w:line="240" w:lineRule="auto" w:after="0"/>
              <w:jc w:val="center"/>
            </w:pPr>
            <w:r/>
            <w:r>
              <w:rPr>
                <w:rFonts w:ascii="Times New Roman" w:hAnsi="Times New Roman" w:eastAsia="DFKai-SB" w:cs="Times New Roman"/>
                <w:b w:val="0"/>
                <w:sz w:val="17"/>
              </w:rPr>
              <w:t>Remove direct outcome terms</w:t>
            </w:r>
          </w:p>
        </w:tc>
        <w:tc>
          <w:tcPr>
            <w:tcW w:type="dxa" w:w="3024"/>
            <w:vAlign w:val="center"/>
          </w:tcPr>
          <w:p>
            <w:pPr>
              <w:spacing w:line="240" w:lineRule="auto" w:after="0"/>
              <w:jc w:val="left"/>
            </w:pPr>
            <w:r/>
            <w:r>
              <w:rPr>
                <w:rFonts w:ascii="Times New Roman" w:hAnsi="Times New Roman" w:eastAsia="DFKai-SB" w:cs="Times New Roman"/>
                <w:b w:val="0"/>
                <w:sz w:val="17"/>
              </w:rPr>
              <w:t>Reduce label leakage from judgment conclusions</w:t>
            </w:r>
          </w:p>
        </w:tc>
      </w:tr>
      <w:tr>
        <w:tc>
          <w:tcPr>
            <w:tcW w:type="dxa" w:w="3024"/>
            <w:vAlign w:val="center"/>
          </w:tcPr>
          <w:p>
            <w:pPr>
              <w:spacing w:line="240" w:lineRule="auto" w:after="0"/>
              <w:jc w:val="left"/>
            </w:pPr>
            <w:r/>
            <w:r>
              <w:rPr>
                <w:rFonts w:ascii="Times New Roman" w:hAnsi="Times New Roman" w:eastAsia="DFKai-SB" w:cs="Times New Roman"/>
                <w:b w:val="0"/>
                <w:sz w:val="17"/>
              </w:rPr>
              <w:t>Features</w:t>
            </w:r>
          </w:p>
        </w:tc>
        <w:tc>
          <w:tcPr>
            <w:tcW w:type="dxa" w:w="3024"/>
            <w:vAlign w:val="center"/>
          </w:tcPr>
          <w:p>
            <w:pPr>
              <w:spacing w:line="240" w:lineRule="auto" w:after="0"/>
              <w:jc w:val="center"/>
            </w:pPr>
            <w:r/>
            <w:r>
              <w:rPr>
                <w:rFonts w:ascii="Times New Roman" w:hAnsi="Times New Roman" w:eastAsia="DFKai-SB" w:cs="Times New Roman"/>
                <w:b w:val="0"/>
                <w:sz w:val="17"/>
              </w:rPr>
              <w:t>BoW / TF / TF-IDF</w:t>
            </w:r>
          </w:p>
        </w:tc>
        <w:tc>
          <w:tcPr>
            <w:tcW w:type="dxa" w:w="3024"/>
            <w:vAlign w:val="center"/>
          </w:tcPr>
          <w:p>
            <w:pPr>
              <w:spacing w:line="240" w:lineRule="auto" w:after="0"/>
              <w:jc w:val="left"/>
            </w:pPr>
            <w:r/>
            <w:r>
              <w:rPr>
                <w:rFonts w:ascii="Times New Roman" w:hAnsi="Times New Roman" w:eastAsia="DFKai-SB" w:cs="Times New Roman"/>
                <w:b w:val="0"/>
                <w:sz w:val="17"/>
              </w:rPr>
              <w:t>Compare different text representations</w:t>
            </w:r>
          </w:p>
        </w:tc>
      </w:tr>
      <w:tr>
        <w:tc>
          <w:tcPr>
            <w:tcW w:type="dxa" w:w="3024"/>
            <w:vAlign w:val="center"/>
          </w:tcPr>
          <w:p>
            <w:pPr>
              <w:spacing w:line="240" w:lineRule="auto" w:after="0"/>
              <w:jc w:val="left"/>
            </w:pPr>
            <w:r/>
            <w:r>
              <w:rPr>
                <w:rFonts w:ascii="Times New Roman" w:hAnsi="Times New Roman" w:eastAsia="DFKai-SB" w:cs="Times New Roman"/>
                <w:b w:val="0"/>
                <w:sz w:val="17"/>
              </w:rPr>
              <w:t>Metrics</w:t>
            </w:r>
          </w:p>
        </w:tc>
        <w:tc>
          <w:tcPr>
            <w:tcW w:type="dxa" w:w="3024"/>
            <w:vAlign w:val="center"/>
          </w:tcPr>
          <w:p>
            <w:pPr>
              <w:spacing w:line="240" w:lineRule="auto" w:after="0"/>
              <w:jc w:val="center"/>
            </w:pPr>
            <w:r/>
            <w:r>
              <w:rPr>
                <w:rFonts w:ascii="Times New Roman" w:hAnsi="Times New Roman" w:eastAsia="DFKai-SB" w:cs="Times New Roman"/>
                <w:b w:val="0"/>
                <w:sz w:val="17"/>
              </w:rPr>
              <w:t>Accuracy / Macro F1 / confusion matrix</w:t>
            </w:r>
          </w:p>
        </w:tc>
        <w:tc>
          <w:tcPr>
            <w:tcW w:type="dxa" w:w="3024"/>
            <w:vAlign w:val="center"/>
          </w:tcPr>
          <w:p>
            <w:pPr>
              <w:spacing w:line="240" w:lineRule="auto" w:after="0"/>
              <w:jc w:val="left"/>
            </w:pPr>
            <w:r/>
            <w:r>
              <w:rPr>
                <w:rFonts w:ascii="Times New Roman" w:hAnsi="Times New Roman" w:eastAsia="DFKai-SB" w:cs="Times New Roman"/>
                <w:b w:val="0"/>
                <w:sz w:val="17"/>
              </w:rPr>
              <w:t>Inspect overall and minority-class performance</w:t>
            </w:r>
          </w:p>
        </w:tc>
      </w:tr>
    </w:tbl>
    <w:p>
      <w:pPr>
        <w:spacing w:after="40"/>
      </w:pPr>
    </w:p>
    <w:p>
      <w:pPr>
        <w:spacing w:line="240" w:lineRule="auto" w:before="0" w:after="60"/>
        <w:ind w:firstLine="420"/>
        <w:jc w:val="both"/>
      </w:pPr>
      <w:r>
        <w:rPr>
          <w:rFonts w:ascii="Times New Roman" w:hAnsi="Times New Roman" w:eastAsia="DFKai-SB" w:cs="Times New Roman"/>
          <w:b w:val="0"/>
          <w:sz w:val="24"/>
        </w:rPr>
        <w:t>本研究資料來自司法院資料開放平台，蒐集期間為 1996 年1 月至 2024 年12 月，涵蓋資料蒐集當時平台可取得的全部裁判書資料，並使用 Python 執行自動化資料下載，取得裁判書壓縮檔後，再呼叫 7-Zip 進行解壓縮，取得 JSON（JavaScript Object Notation）格式之裁判書檔案。</w:t>
      </w:r>
    </w:p>
    <w:p>
      <w:pPr>
        <w:spacing w:line="240" w:lineRule="auto" w:before="0" w:after="60"/>
        <w:ind w:firstLine="420"/>
        <w:jc w:val="both"/>
      </w:pPr>
      <w:r>
        <w:rPr>
          <w:rFonts w:ascii="Times New Roman" w:hAnsi="Times New Roman" w:eastAsia="DFKai-SB" w:cs="Times New Roman"/>
          <w:b w:val="0"/>
          <w:sz w:val="24"/>
        </w:rPr>
        <w:t>原始資料主要欄位如下表所示。</w:t>
      </w:r>
    </w:p>
    <w:p>
      <w:pPr>
        <w:spacing w:line="240" w:lineRule="auto" w:before="0" w:after="40"/>
        <w:jc w:val="center"/>
      </w:pPr>
      <w:r>
        <w:rPr>
          <w:rFonts w:ascii="Times New Roman" w:hAnsi="Times New Roman" w:eastAsia="DFKai-SB" w:cs="Times New Roman"/>
          <w:b/>
          <w:sz w:val="24"/>
        </w:rPr>
        <w:t>表 3-1 原始資料欄位說明</w:t>
      </w:r>
    </w:p>
    <w:p>
      <w:pPr>
        <w:spacing w:line="240" w:lineRule="auto" w:before="0" w:after="60"/>
        <w:ind w:firstLine="420"/>
        <w:jc w:val="both"/>
      </w:pPr>
      <w:r>
        <w:rPr>
          <w:rFonts w:ascii="Times New Roman" w:hAnsi="Times New Roman" w:eastAsia="DFKai-SB" w:cs="Times New Roman"/>
          <w:b w:val="0"/>
          <w:sz w:val="24"/>
        </w:rPr>
        <w:t>其中，JTITLE 可用於判斷案件案由與智慧財產權相關性，JFULL 則為本研究文字探勘與模型建構之主要文本來源。由於本研究目標為裁判結果分類，因此後續處理係以判決全文、案件類型與裁判結果標籤作為主要分析資料。</w:t>
      </w:r>
    </w:p>
    <w:p>
      <w:pPr>
        <w:pStyle w:val="Heading2"/>
        <w:spacing w:line="240" w:lineRule="auto" w:before="120" w:after="60"/>
        <w:jc w:val="left"/>
      </w:pPr>
      <w:r>
        <w:rPr>
          <w:rFonts w:ascii="Times New Roman" w:hAnsi="Times New Roman" w:eastAsia="DFKai-SB" w:cs="Times New Roman"/>
          <w:b/>
          <w:sz w:val="28"/>
        </w:rPr>
        <w:t>3.3 智慧財產權案件篩選與文本前處理</w:t>
      </w:r>
    </w:p>
    <w:p>
      <w:pPr>
        <w:spacing w:line="240" w:lineRule="auto" w:before="0" w:after="60"/>
        <w:ind w:firstLine="420"/>
        <w:jc w:val="both"/>
      </w:pPr>
      <w:r>
        <w:rPr>
          <w:rFonts w:ascii="Times New Roman" w:hAnsi="Times New Roman" w:eastAsia="DFKai-SB" w:cs="Times New Roman"/>
          <w:b w:val="0"/>
          <w:sz w:val="24"/>
        </w:rPr>
        <w:t>本研究首先透過正則表達式（regular expression）篩選智慧財產權相關案件。篩選條件包含兩類：第一，若 JTITLE 中出現智慧財產權相關字詞，則歸類為智慧財產權相關案件；第二，若 JCASE 中含有「智」字，亦納入智慧財產權相關案件之初步篩選範圍。共有 90,027 篇裁判書檔案。</w:t>
      </w:r>
    </w:p>
    <w:p>
      <w:pPr>
        <w:spacing w:line="240" w:lineRule="auto" w:before="0" w:after="60"/>
        <w:ind w:firstLine="420"/>
        <w:jc w:val="both"/>
      </w:pPr>
      <w:r>
        <w:rPr>
          <w:rFonts w:ascii="Times New Roman" w:hAnsi="Times New Roman" w:eastAsia="DFKai-SB" w:cs="Times New Roman"/>
          <w:b w:val="0"/>
          <w:sz w:val="24"/>
        </w:rPr>
        <w:t>本研究採用之智慧財產權相關關鍵字包含：「違反商標法」、「違反著作權法」、「商標異議」、「新型專利舉發」、「商標評定」、「新型專利異議」、「侵害專利權有關財產權爭議」等。經關鍵字與案由篩選後，本研究進一步進行文本清理、停止詞移除與斷詞處理，作為後續模型輸入資料。</w:t>
      </w:r>
    </w:p>
    <w:p>
      <w:pPr>
        <w:spacing w:line="240" w:lineRule="auto" w:before="0" w:after="60"/>
        <w:ind w:firstLine="420"/>
        <w:jc w:val="both"/>
      </w:pPr>
      <w:r>
        <w:rPr>
          <w:rFonts w:ascii="Times New Roman" w:hAnsi="Times New Roman" w:eastAsia="DFKai-SB" w:cs="Times New Roman"/>
          <w:b w:val="0"/>
          <w:sz w:val="24"/>
        </w:rPr>
        <w:t>在文本清理方面，本研究主要針對裁判書全文進行以下處理：第一，移除文本中的換行符號，例如 \r\n；第二，移除多餘空白與格式符號；第三，保留與判決內容相關之文字資訊；第四，使用 Jieba stop words 字典移除停用詞，以降低常見但缺乏分類意義之詞彙對模型造成干擾。在斷詞方面，本研究結合司法院裁判書用語辭典資料庫與中研院中文詞知識庫小組（Chinese Knowledge and Information Processing, CKIP）開發之 CKIP Transformers 進行中文斷詞（CKIP Lab, n.d.）。由於法律文本具有大量專業詞彙與固定法律用語，若僅依一般中文斷詞工具處理，可能產生法律詞彙切分不完整的問題。因此，本研究透過法律用語辭典與 CKIP Transformers 輔助斷詞，使後續文字特徵能更貼近法律文本語境。此外，為降低模型直接依賴裁判結果詞彙進行分類的疑慮，本研究於主要實證結果中採用「移除明顯裁判結果詞彙後」之文本版本。亦即，將「駁回」、「有理由」、「准許」、「撤銷」等可能直接揭露裁判結果之詞彙移除，再進行模型訓練與測試。此處理可降低明顯結果詞彙造成資料洩漏的可能，但仍不能保證完全排除所有間接裁判結果線索，因此後續結果解讀仍須限縮於此一文本處理條件下。</w:t>
      </w:r>
    </w:p>
    <w:p>
      <w:pPr>
        <w:pStyle w:val="Heading2"/>
        <w:spacing w:line="240" w:lineRule="auto" w:before="120" w:after="60"/>
        <w:jc w:val="left"/>
      </w:pPr>
      <w:r>
        <w:rPr>
          <w:rFonts w:ascii="Times New Roman" w:hAnsi="Times New Roman" w:eastAsia="DFKai-SB" w:cs="Times New Roman"/>
          <w:b/>
          <w:sz w:val="28"/>
        </w:rPr>
        <w:t>3.4 樣本篩選、標籤整理與樣本分布</w:t>
      </w:r>
    </w:p>
    <w:p>
      <w:pPr>
        <w:pStyle w:val="Heading3"/>
        <w:spacing w:line="240" w:lineRule="auto" w:before="60" w:after="40"/>
        <w:jc w:val="left"/>
      </w:pPr>
      <w:r>
        <w:rPr>
          <w:rFonts w:ascii="Times New Roman" w:hAnsi="Times New Roman" w:eastAsia="DFKai-SB" w:cs="Times New Roman"/>
          <w:b/>
          <w:sz w:val="24"/>
        </w:rPr>
        <w:t>3.4.1 案件類型之法律性質</w:t>
      </w:r>
    </w:p>
    <w:p>
      <w:pPr>
        <w:spacing w:line="240" w:lineRule="auto" w:before="0" w:after="60"/>
        <w:ind w:firstLine="420"/>
        <w:jc w:val="both"/>
      </w:pPr>
      <w:r>
        <w:rPr>
          <w:rFonts w:ascii="Times New Roman" w:hAnsi="Times New Roman" w:eastAsia="DFKai-SB" w:cs="Times New Roman"/>
          <w:b w:val="0"/>
          <w:sz w:val="24"/>
        </w:rPr>
        <w:t>本研究將智慧財產權相關判決依案件性質區分為行政案件、民事案件、刑事案件與刑事附帶民事案件。此一分類並非僅為資料整理上的便利，而是因為不同案件類型在當事人結構、爭點性質、裁判目的與判決用語上皆有所差異。根據《智慧財產及商業法院組織法》，智慧財產及商業法院依法掌理智慧財產之民事、刑事及行政訴訟；同法亦明定其管轄案件包括智慧財產權益所生之民事事件、涉及商標法、著作權法、營業秘密法等之刑事案件，以及因專利法、商標法、著作權法等涉及智慧財產權所生之行政事件（全國法規資料庫，2023）。因此，本研究將不同案件類型分開建模與比較，有其法律制度與資料性質上的基礎。</w:t>
      </w:r>
    </w:p>
    <w:p>
      <w:pPr>
        <w:spacing w:line="240" w:lineRule="auto" w:before="0" w:after="60"/>
        <w:ind w:firstLine="420"/>
        <w:jc w:val="both"/>
      </w:pPr>
      <w:r>
        <w:rPr>
          <w:rFonts w:ascii="Times New Roman" w:hAnsi="Times New Roman" w:eastAsia="DFKai-SB" w:cs="Times New Roman"/>
          <w:b w:val="0"/>
          <w:sz w:val="24"/>
        </w:rPr>
        <w:t>行政案件主要涉及人民、法人或其他當事人與行政機關之間的公法爭議。在智慧財產權脈絡下，行政案件常見於當事人不服主管機關就專利、商標或其他智慧財產權事項所作成之行政處分，進而提起行政訴訟。司法院行政訴訟須知中亦指出，提起行政訴訟時，起訴狀須記載訴訟標的、原因事實、證據及相關法律規定；若案件曾經訴願程序，亦應附具訴願決定書。 因此，行政案件的文本通常較常出現「原處分」、「訴願決定」、「撤銷」、「行政機關」、「審定」等語彙。以智慧財產權案件為例，若商標申請人不服商標註冊遭駁回，或專利權人不服專利舉發成立之處分，即可能形成行政訴訟（司法院，2026）。</w:t>
      </w:r>
    </w:p>
    <w:p>
      <w:pPr>
        <w:pStyle w:val="Heading3"/>
        <w:spacing w:line="240" w:lineRule="auto" w:before="60" w:after="40"/>
        <w:jc w:val="left"/>
      </w:pPr>
      <w:r>
        <w:rPr>
          <w:rFonts w:ascii="Times New Roman" w:hAnsi="Times New Roman" w:eastAsia="DFKai-SB" w:cs="Times New Roman"/>
          <w:b/>
          <w:sz w:val="24"/>
        </w:rPr>
        <w:t>3.4.2 樣本篩選與標籤整理</w:t>
      </w:r>
    </w:p>
    <w:p>
      <w:pPr>
        <w:pStyle w:val="Heading3"/>
        <w:spacing w:line="240" w:lineRule="auto" w:before="60" w:after="40"/>
        <w:jc w:val="left"/>
      </w:pPr>
      <w:r>
        <w:rPr>
          <w:rFonts w:ascii="Times New Roman" w:hAnsi="Times New Roman" w:eastAsia="DFKai-SB" w:cs="Times New Roman"/>
          <w:b/>
          <w:sz w:val="24"/>
        </w:rPr>
        <w:t>3.4.3 樣本分布</w:t>
      </w:r>
    </w:p>
    <w:p>
      <w:pPr>
        <w:pStyle w:val="Heading3"/>
        <w:spacing w:line="240" w:lineRule="auto" w:before="60" w:after="40"/>
        <w:jc w:val="left"/>
      </w:pPr>
      <w:r>
        <w:rPr>
          <w:rFonts w:ascii="Times New Roman" w:hAnsi="Times New Roman" w:eastAsia="DFKai-SB" w:cs="Times New Roman"/>
          <w:b/>
          <w:sz w:val="24"/>
        </w:rPr>
        <w:t>3.4.4 不同案件類型之代表性詞彙分佈</w:t>
      </w:r>
    </w:p>
    <w:p>
      <w:pPr>
        <w:pStyle w:val="Heading2"/>
        <w:spacing w:line="240" w:lineRule="auto" w:before="120" w:after="60"/>
        <w:jc w:val="left"/>
      </w:pPr>
      <w:r>
        <w:rPr>
          <w:rFonts w:ascii="Times New Roman" w:hAnsi="Times New Roman" w:eastAsia="DFKai-SB" w:cs="Times New Roman"/>
          <w:b/>
          <w:sz w:val="28"/>
        </w:rPr>
        <w:t>3.5 文字特徵建構</w:t>
      </w:r>
    </w:p>
    <w:p>
      <w:pPr>
        <w:pStyle w:val="Heading3"/>
        <w:spacing w:line="240" w:lineRule="auto" w:before="60" w:after="40"/>
        <w:jc w:val="left"/>
      </w:pPr>
      <w:r>
        <w:rPr>
          <w:rFonts w:ascii="Times New Roman" w:hAnsi="Times New Roman" w:eastAsia="DFKai-SB" w:cs="Times New Roman"/>
          <w:b/>
          <w:sz w:val="24"/>
        </w:rPr>
        <w:t>3.5.1 詞袋模型（BoW）</w:t>
      </w:r>
    </w:p>
    <w:p>
      <w:pPr>
        <w:spacing w:line="240" w:lineRule="auto" w:before="0" w:after="60"/>
        <w:ind w:firstLine="420"/>
        <w:jc w:val="both"/>
      </w:pPr>
      <w:r>
        <w:rPr>
          <w:rFonts w:ascii="Times New Roman" w:hAnsi="Times New Roman" w:eastAsia="DFKai-SB" w:cs="Times New Roman"/>
          <w:b w:val="0"/>
          <w:sz w:val="24"/>
        </w:rPr>
        <w:t>第一，詞袋模型將每篇裁判書視為詞彙集合，並依詞項出現次數建立文件－詞彙矩陣。此方法忽略詞彙順序、語法結構與上下文關係，但能保留詞彙在不同裁判文本中的分布情形。對法律裁判書而言，許多詞彙本身即可能具有分類訊號，例如特定請求類型、程序用語、侵權判斷用語或裁判理由用語，因此 BoW 可作為本研究的基礎文字特徵表示。</w:t>
      </w:r>
    </w:p>
    <w:p>
      <w:pPr>
        <w:pStyle w:val="Heading3"/>
        <w:spacing w:line="240" w:lineRule="auto" w:before="60" w:after="40"/>
        <w:jc w:val="left"/>
      </w:pPr>
      <w:r>
        <w:rPr>
          <w:rFonts w:ascii="Times New Roman" w:hAnsi="Times New Roman" w:eastAsia="DFKai-SB" w:cs="Times New Roman"/>
          <w:b/>
          <w:sz w:val="24"/>
        </w:rPr>
        <w:t>3.5.2 詞頻表示（TF）</w:t>
      </w:r>
    </w:p>
    <w:p>
      <w:pPr>
        <w:spacing w:line="240" w:lineRule="auto" w:before="0" w:after="60"/>
        <w:ind w:firstLine="420"/>
        <w:jc w:val="both"/>
      </w:pPr>
      <w:r>
        <w:rPr>
          <w:rFonts w:ascii="Times New Roman" w:hAnsi="Times New Roman" w:eastAsia="DFKai-SB" w:cs="Times New Roman"/>
          <w:b w:val="0"/>
          <w:sz w:val="24"/>
        </w:rPr>
        <w:t>第二，詞頻表示是在 BoW 的基礎上，進一步將詞彙出現次數轉換為該詞彙在單篇文件中的相對次數。BoW 使用原始詞彙次數，容易受到裁判書長度影響；若某篇裁判書篇幅較長，其所有詞彙的出現次數通常也較高。TF 則透過詞頻標準化，使不同長度的裁判書具有較高可比性。因此，TF 可用來衡量某一詞彙在特定裁判書中的相對次數，而非僅觀察其原始出現次數。</w:t>
      </w:r>
    </w:p>
    <w:p>
      <w:pPr>
        <w:pStyle w:val="Heading3"/>
        <w:spacing w:line="240" w:lineRule="auto" w:before="60" w:after="40"/>
        <w:jc w:val="left"/>
      </w:pPr>
      <w:r>
        <w:rPr>
          <w:rFonts w:ascii="Times New Roman" w:hAnsi="Times New Roman" w:eastAsia="DFKai-SB" w:cs="Times New Roman"/>
          <w:b/>
          <w:sz w:val="24"/>
        </w:rPr>
        <w:t>3.5.3 詞頻－逆文件頻率（TF-IDF）</w:t>
      </w:r>
    </w:p>
    <w:p>
      <w:pPr>
        <w:spacing w:line="240" w:lineRule="auto" w:before="0" w:after="60"/>
        <w:ind w:firstLine="420"/>
        <w:jc w:val="both"/>
      </w:pPr>
      <w:r>
        <w:rPr>
          <w:rFonts w:ascii="Times New Roman" w:hAnsi="Times New Roman" w:eastAsia="DFKai-SB" w:cs="Times New Roman"/>
          <w:b w:val="0"/>
          <w:sz w:val="24"/>
        </w:rPr>
        <w:t>第三，詞頻－逆文件頻率是在 TF 的基礎上，進一步加入詞彙於整體語料中普遍程度的調整。TF 僅衡量某詞彙在單篇裁判書中的相對出現頻率，但若某些詞彙在大量裁判書中皆頻繁出現，則其區分不同裁判結果的能力可能有限。TF-IDF 因此透過逆文件頻率降低常見詞彙的權重，並提高相對少見但可能具有區辨力詞彙的權重。</w:t>
      </w:r>
    </w:p>
    <w:p>
      <w:pPr>
        <w:pStyle w:val="Heading2"/>
        <w:spacing w:line="240" w:lineRule="auto" w:before="120" w:after="60"/>
        <w:jc w:val="left"/>
      </w:pPr>
      <w:r>
        <w:rPr>
          <w:rFonts w:ascii="Times New Roman" w:hAnsi="Times New Roman" w:eastAsia="DFKai-SB" w:cs="Times New Roman"/>
          <w:b/>
          <w:sz w:val="28"/>
        </w:rPr>
        <w:t>3.6 卡方特徵選擇</w:t>
      </w:r>
    </w:p>
    <w:p>
      <w:pPr>
        <w:pStyle w:val="Heading2"/>
        <w:spacing w:line="240" w:lineRule="auto" w:before="120" w:after="60"/>
        <w:jc w:val="left"/>
      </w:pPr>
      <w:r>
        <w:rPr>
          <w:rFonts w:ascii="Times New Roman" w:hAnsi="Times New Roman" w:eastAsia="DFKai-SB" w:cs="Times New Roman"/>
          <w:b/>
          <w:sz w:val="28"/>
        </w:rPr>
        <w:t>3.7 MNIR 監督式特徵轉換</w:t>
      </w:r>
    </w:p>
    <w:p>
      <w:pPr>
        <w:pStyle w:val="Heading3"/>
        <w:spacing w:line="240" w:lineRule="auto" w:before="60" w:after="40"/>
        <w:jc w:val="left"/>
      </w:pPr>
      <w:r>
        <w:rPr>
          <w:rFonts w:ascii="Times New Roman" w:hAnsi="Times New Roman" w:eastAsia="DFKai-SB" w:cs="Times New Roman"/>
          <w:b/>
          <w:sz w:val="24"/>
        </w:rPr>
        <w:t>3.7.1 MNIR 之模型設定與 inverse regression</w:t>
      </w:r>
    </w:p>
    <w:p>
      <w:pPr>
        <w:pStyle w:val="Heading3"/>
        <w:spacing w:line="240" w:lineRule="auto" w:before="60" w:after="40"/>
        <w:jc w:val="left"/>
      </w:pPr>
      <w:r>
        <w:rPr>
          <w:rFonts w:ascii="Times New Roman" w:hAnsi="Times New Roman" w:eastAsia="DFKai-SB" w:cs="Times New Roman"/>
          <w:b/>
          <w:sz w:val="24"/>
        </w:rPr>
        <w:t>3.7.2 Gamma-Lasso 估計法與正則化</w:t>
      </w:r>
    </w:p>
    <w:p>
      <w:pPr>
        <w:pStyle w:val="Heading3"/>
        <w:spacing w:line="240" w:lineRule="auto" w:before="60" w:after="40"/>
        <w:jc w:val="left"/>
      </w:pPr>
      <w:r>
        <w:rPr>
          <w:rFonts w:ascii="Times New Roman" w:hAnsi="Times New Roman" w:eastAsia="DFKai-SB" w:cs="Times New Roman"/>
          <w:b/>
          <w:sz w:val="24"/>
        </w:rPr>
        <w:t>3.7.3 充分縮減分數與降維邏輯</w:t>
      </w:r>
    </w:p>
    <w:p>
      <w:pPr>
        <w:pStyle w:val="Heading2"/>
        <w:spacing w:line="240" w:lineRule="auto" w:before="120" w:after="60"/>
        <w:jc w:val="left"/>
      </w:pPr>
      <w:r>
        <w:rPr>
          <w:rFonts w:ascii="Times New Roman" w:hAnsi="Times New Roman" w:eastAsia="DFKai-SB" w:cs="Times New Roman"/>
          <w:b/>
          <w:sz w:val="28"/>
        </w:rPr>
        <w:t>3.8 模型流程設計</w:t>
      </w:r>
    </w:p>
    <w:p>
      <w:pPr>
        <w:pStyle w:val="Heading3"/>
        <w:spacing w:line="240" w:lineRule="auto" w:before="60" w:after="40"/>
        <w:jc w:val="left"/>
      </w:pPr>
      <w:r>
        <w:rPr>
          <w:rFonts w:ascii="Times New Roman" w:hAnsi="Times New Roman" w:eastAsia="DFKai-SB" w:cs="Times New Roman"/>
          <w:b/>
          <w:sz w:val="24"/>
        </w:rPr>
        <w:t>3.8.1 SVM 分類器設定</w:t>
      </w:r>
    </w:p>
    <w:p>
      <w:pPr>
        <w:pStyle w:val="Heading3"/>
        <w:spacing w:line="240" w:lineRule="auto" w:before="60" w:after="40"/>
        <w:jc w:val="left"/>
      </w:pPr>
      <w:r>
        <w:rPr>
          <w:rFonts w:ascii="Times New Roman" w:hAnsi="Times New Roman" w:eastAsia="DFKai-SB" w:cs="Times New Roman"/>
          <w:b/>
          <w:sz w:val="24"/>
        </w:rPr>
        <w:t>3.8.2 Chi-square + MNIR + SVM 流程</w:t>
      </w:r>
    </w:p>
    <w:p>
      <w:pPr>
        <w:spacing w:line="240" w:lineRule="auto" w:before="0" w:after="60"/>
        <w:ind w:firstLine="420"/>
        <w:jc w:val="both"/>
      </w:pPr>
      <w:r>
        <w:rPr>
          <w:rFonts w:ascii="Times New Roman" w:hAnsi="Times New Roman" w:eastAsia="DFKai-SB" w:cs="Times New Roman"/>
          <w:b w:val="0"/>
          <w:sz w:val="24"/>
        </w:rPr>
        <w:t>第一條模型流程為 Chi-square + MNIR + SVM。此流程的目的，是檢驗 MNIR 監督式特徵轉換是否能在卡方特徵選擇之後，進一步將高維法律文本特徵轉換為較具判別力的低維表徵，並提升 SVM 對裁判結果的分類能力。此流程與 Chi-square + SVM 的主要差異在於：本流程不直接將卡方篩選後的詞彙特徵輸入 SVM，而是先透過 MNIR 轉換為充分縮減分數，再進行分類。</w:t>
      </w:r>
    </w:p>
    <w:p>
      <w:pPr>
        <w:pStyle w:val="Heading3"/>
        <w:spacing w:line="240" w:lineRule="auto" w:before="60" w:after="40"/>
        <w:jc w:val="left"/>
      </w:pPr>
      <w:r>
        <w:rPr>
          <w:rFonts w:ascii="Times New Roman" w:hAnsi="Times New Roman" w:eastAsia="DFKai-SB" w:cs="Times New Roman"/>
          <w:b/>
          <w:sz w:val="24"/>
        </w:rPr>
        <w:t>3.8.3 Chi-square + SVM 對照流程</w:t>
      </w:r>
    </w:p>
    <w:p>
      <w:pPr>
        <w:spacing w:line="240" w:lineRule="auto" w:before="0" w:after="60"/>
        <w:ind w:firstLine="420"/>
        <w:jc w:val="both"/>
      </w:pPr>
      <w:r>
        <w:rPr>
          <w:rFonts w:ascii="Times New Roman" w:hAnsi="Times New Roman" w:eastAsia="DFKai-SB" w:cs="Times New Roman"/>
          <w:b w:val="0"/>
          <w:sz w:val="24"/>
        </w:rPr>
        <w:t>第二條模型流程為 Chi-square + SVM。此流程的目的，是作為 Chi-square + MNIR + SVM 的對照組，用以檢驗在不經 MNIR 監督式特徵轉換的情況下，卡方篩選後的稀疏文字特徵本身是否已具有足夠的分類能力。與 Chi-square + MNIR + SVM 流程不同，SVM 不會將文字特徵轉換為充分縮減分數，而是直接使用卡方特徵選擇後的 BoW、TF 或 TF-IDF 特徵矩陣訓練 SVM 分類器。換言之，此流程保留卡方篩選後的高維稀疏文字特徵，讓 SVM 直接根據這些詞彙特徵判斷裁判結果。</w:t>
      </w:r>
    </w:p>
    <w:p>
      <w:pPr>
        <w:pStyle w:val="Heading3"/>
        <w:spacing w:line="240" w:lineRule="auto" w:before="60" w:after="40"/>
        <w:jc w:val="left"/>
      </w:pPr>
      <w:r>
        <w:rPr>
          <w:rFonts w:ascii="Times New Roman" w:hAnsi="Times New Roman" w:eastAsia="DFKai-SB" w:cs="Times New Roman"/>
          <w:b/>
          <w:sz w:val="24"/>
        </w:rPr>
        <w:t>3.8.4 Majority Class baseline</w:t>
      </w:r>
    </w:p>
    <w:p>
      <w:pPr>
        <w:pStyle w:val="Heading3"/>
        <w:spacing w:line="240" w:lineRule="auto" w:before="60" w:after="40"/>
        <w:jc w:val="left"/>
      </w:pPr>
      <w:r>
        <w:rPr>
          <w:rFonts w:ascii="Times New Roman" w:hAnsi="Times New Roman" w:eastAsia="DFKai-SB" w:cs="Times New Roman"/>
          <w:b/>
          <w:sz w:val="24"/>
        </w:rPr>
        <w:t>3.8.5 模型評估方式</w:t>
      </w:r>
    </w:p>
    <w:p>
      <w:pPr>
        <w:pStyle w:val="Heading3"/>
        <w:spacing w:line="240" w:lineRule="auto" w:before="60" w:after="40"/>
        <w:jc w:val="left"/>
      </w:pPr>
      <w:r>
        <w:rPr>
          <w:rFonts w:ascii="Times New Roman" w:hAnsi="Times New Roman" w:eastAsia="DFKai-SB" w:cs="Times New Roman"/>
          <w:b/>
          <w:sz w:val="24"/>
        </w:rPr>
        <w:t>3.8.6 本研究各方法之功能與流程比較</w:t>
      </w:r>
    </w:p>
    <w:p>
      <w:pPr>
        <w:pStyle w:val="Heading2"/>
        <w:spacing w:line="240" w:lineRule="auto" w:before="120" w:after="60"/>
        <w:jc w:val="left"/>
      </w:pPr>
      <w:r>
        <w:rPr>
          <w:rFonts w:ascii="Times New Roman" w:hAnsi="Times New Roman" w:eastAsia="DFKai-SB" w:cs="Times New Roman"/>
          <w:b/>
          <w:sz w:val="28"/>
        </w:rPr>
        <w:t>3.9 資料集劃分與參數選擇</w:t>
      </w:r>
    </w:p>
    <w:p>
      <w:pPr>
        <w:pStyle w:val="Heading2"/>
        <w:spacing w:line="240" w:lineRule="auto" w:before="120" w:after="60"/>
        <w:jc w:val="left"/>
      </w:pPr>
      <w:r>
        <w:rPr>
          <w:rFonts w:ascii="Times New Roman" w:hAnsi="Times New Roman" w:eastAsia="DFKai-SB" w:cs="Times New Roman"/>
          <w:b/>
          <w:sz w:val="28"/>
        </w:rPr>
        <w:t>3.10 小結</w:t>
      </w:r>
    </w:p>
    <w:p>
      <w:pPr>
        <w:pStyle w:val="Heading1"/>
        <w:spacing w:line="240" w:lineRule="auto" w:before="160" w:after="120"/>
        <w:jc w:val="center"/>
      </w:pPr>
      <w:r>
        <w:rPr>
          <w:rFonts w:ascii="Times New Roman" w:hAnsi="Times New Roman" w:eastAsia="DFKai-SB" w:cs="Times New Roman"/>
          <w:b/>
          <w:sz w:val="32"/>
        </w:rPr>
        <w:t>第四章 研究結果與分析</w:t>
      </w:r>
    </w:p>
    <w:p>
      <w:pPr>
        <w:pStyle w:val="Heading2"/>
        <w:spacing w:line="240" w:lineRule="auto" w:before="120" w:after="60"/>
        <w:jc w:val="left"/>
      </w:pPr>
      <w:r>
        <w:rPr>
          <w:rFonts w:ascii="Times New Roman" w:hAnsi="Times New Roman" w:eastAsia="DFKai-SB" w:cs="Times New Roman"/>
          <w:b/>
          <w:sz w:val="28"/>
        </w:rPr>
        <w:t>4.1 實驗設定與評估邏輯</w:t>
      </w:r>
    </w:p>
    <w:p>
      <w:pPr>
        <w:spacing w:line="240" w:lineRule="auto" w:before="0" w:after="60"/>
        <w:ind w:firstLine="420"/>
        <w:jc w:val="both"/>
      </w:pPr>
      <w:r>
        <w:rPr>
          <w:rFonts w:ascii="Times New Roman" w:hAnsi="Times New Roman" w:eastAsia="DFKai-SB" w:cs="Times New Roman"/>
          <w:b w:val="0"/>
          <w:sz w:val="24"/>
        </w:rPr>
        <w:t>依據第三章之模型流程，針對行政、民事、刑事與刑事附帶民事四類智慧財產權判決資料集進行裁判結果三分類實驗。本文比較兩條模型流程：其一為 Chi-square + MNIR + SVM，亦即先以卡方統計量進行特徵選擇，再透過 MNIR 進行監督式特徵轉換，最後以 SVM 分類；其二為 Chi-square + SVM，亦即不經 MNIR 轉換，直接以卡方篩選後之稀疏文字特徵訓練 SVM。前者用以檢驗 MNIR 監督式特徵轉換是否能改善高維法律文本分類，後者則作為直接對照流程。</w:t>
      </w:r>
    </w:p>
    <w:p>
      <w:pPr>
        <w:spacing w:line="240" w:lineRule="auto" w:before="0" w:after="60"/>
        <w:ind w:firstLine="420"/>
        <w:jc w:val="both"/>
      </w:pPr>
      <w:r>
        <w:rPr>
          <w:rFonts w:ascii="Times New Roman" w:hAnsi="Times New Roman" w:eastAsia="DFKai-SB" w:cs="Times New Roman"/>
          <w:b w:val="0"/>
          <w:sz w:val="24"/>
        </w:rPr>
        <w:t>本章統一採用「移除明顯裁判結果詞彙後」之文本版本作為主要實證結果。亦即，本文先移除「駁回」、「有理由」、「准許」、「撤銷」等可能直接揭露裁判結果之詞彙，再進行模型訓練與評估。此一處理可降低模型直接依賴結果詞彙進行分類的疑慮，但仍不能保證完全排除所有間接反映裁判結果的語境、程序用語或裁判理由線索。因此，本章結果應限縮理解為在此一文本處理條件下的模型比較結果。模型訓練與評估採固定資料集劃分。訓練集用於特徵選擇與模型估計，驗證集用於選擇卡方特徵數 與 SVM 懲罰參數 ，測試集則僅用於最終模型評估。第四章各表所列之 Accuracy、Macro F1、各類別 F1-score 與混淆矩陣，皆為模型於測試集上的結果；最佳參數則依驗證集表現選定。由於 Lose、Mixed 與 Win 三類裁判結果分布不均衡，本章以 Macro F1 作為主要模型比較依據，並搭配 Accuracy、各類別 F1-score 與混淆矩陣進行解讀。此一評估方式可同時觀察模型整體分類能力，以及模型是否偏向多數類別，或對 Mixed 與 Win 等少數類別產生較多誤判。</w:t>
      </w:r>
    </w:p>
    <w:p>
      <w:pPr>
        <w:spacing w:line="240" w:lineRule="auto" w:before="0" w:after="60"/>
        <w:ind w:firstLine="420"/>
        <w:jc w:val="both"/>
      </w:pPr>
      <w:r>
        <w:rPr>
          <w:rFonts w:ascii="Times New Roman" w:hAnsi="Times New Roman" w:eastAsia="DFKai-SB" w:cs="Times New Roman"/>
          <w:b w:val="0"/>
          <w:sz w:val="24"/>
        </w:rPr>
        <w:t>本章依序分析以下問題：第一，Chi-square + MNIR + SVM 之分類表現；第二，Chi-square + SVM 對照流程之分類表現；第三，加入 MNIR 特徵轉換後是否產生額外增益；第四，不同文字特徵表示是否影響分類結果；第五，不同參數組合下的驗證集表現；第六，模型錯誤是否集中於特定裁判結果類別。</w:t>
      </w:r>
    </w:p>
    <w:p>
      <w:pPr>
        <w:pStyle w:val="Heading2"/>
        <w:spacing w:line="240" w:lineRule="auto" w:before="120" w:after="60"/>
        <w:jc w:val="left"/>
      </w:pPr>
      <w:r>
        <w:rPr>
          <w:rFonts w:ascii="Times New Roman" w:hAnsi="Times New Roman" w:eastAsia="DFKai-SB" w:cs="Times New Roman"/>
          <w:b/>
          <w:sz w:val="28"/>
        </w:rPr>
        <w:t>4.2 Chi-square + MNIR + SVM 核心流程之模型表現</w:t>
      </w:r>
    </w:p>
    <w:p>
      <w:pPr>
        <w:spacing w:line="240" w:lineRule="auto" w:before="0" w:after="60"/>
        <w:ind w:firstLine="420"/>
        <w:jc w:val="both"/>
      </w:pPr>
      <w:r>
        <w:rPr>
          <w:rFonts w:ascii="Times New Roman" w:hAnsi="Times New Roman" w:eastAsia="DFKai-SB" w:cs="Times New Roman"/>
          <w:b w:val="0"/>
          <w:sz w:val="24"/>
        </w:rPr>
        <w:t>Chi-square + MNIR + SVM 在四類案件資料集中的最佳測試結果如表 4-1 所示。</w:t>
      </w:r>
    </w:p>
    <w:p>
      <w:pPr>
        <w:spacing w:line="240" w:lineRule="auto" w:before="0" w:after="40"/>
        <w:jc w:val="center"/>
      </w:pPr>
      <w:r>
        <w:rPr>
          <w:rFonts w:ascii="Times New Roman" w:hAnsi="Times New Roman" w:eastAsia="DFKai-SB" w:cs="Times New Roman"/>
          <w:b/>
          <w:sz w:val="24"/>
        </w:rPr>
        <w:t>表 4-1 Chi-square + MNIR + SVM 於各資料集之最佳表現</w:t>
      </w:r>
    </w:p>
    <w:p>
      <w:pPr>
        <w:spacing w:line="240" w:lineRule="auto" w:before="0" w:after="60"/>
        <w:ind w:firstLine="420"/>
        <w:jc w:val="both"/>
      </w:pPr>
      <w:r>
        <w:rPr>
          <w:rFonts w:ascii="Times New Roman" w:hAnsi="Times New Roman" w:eastAsia="DFKai-SB" w:cs="Times New Roman"/>
          <w:b w:val="0"/>
          <w:sz w:val="24"/>
        </w:rPr>
        <w:t>結果顯示，刑事附帶民事資料集之表現最佳，Macro F1 為 0.545；行政資料集則最低，為 0.318。行政與刑事資料集雖分別取得 0.875 與 0.928 的 Accuracy，但其 Macro F1 僅為 0.318 與 0.390，顯示模型整體正確率主要受到多數類別影響，尚未能均衡辨識 Lose、Mixed 與 Win 三類裁判結果。相較之下，刑事附帶民事資料集的三類平均辨識表現較佳，但是否能穩定辨識各裁判結果類別，仍須配合後續分類報告與混淆矩陣進一步檢視。整體而言，Chi-square + MNIR + SVM 在不同案件類型下的分類表現有所差異，且模型評估不能僅依 Accuracy 判斷。</w:t>
      </w:r>
    </w:p>
    <w:p>
      <w:pPr>
        <w:pStyle w:val="Heading2"/>
        <w:spacing w:line="240" w:lineRule="auto" w:before="120" w:after="60"/>
        <w:jc w:val="left"/>
      </w:pPr>
      <w:r>
        <w:rPr>
          <w:rFonts w:ascii="Times New Roman" w:hAnsi="Times New Roman" w:eastAsia="DFKai-SB" w:cs="Times New Roman"/>
          <w:b/>
          <w:sz w:val="28"/>
        </w:rPr>
        <w:t>4.3 Chi-square + SVM 對照流程之模型表現</w:t>
      </w:r>
    </w:p>
    <w:p>
      <w:pPr>
        <w:spacing w:line="240" w:lineRule="auto" w:before="0" w:after="40"/>
        <w:jc w:val="center"/>
      </w:pPr>
      <w:r>
        <w:rPr>
          <w:rFonts w:ascii="Times New Roman" w:hAnsi="Times New Roman" w:eastAsia="DFKai-SB" w:cs="Times New Roman"/>
          <w:b/>
          <w:sz w:val="24"/>
        </w:rPr>
        <w:t>Table 2 Best direct SVM performance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spacing w:line="240" w:lineRule="auto" w:after="0"/>
              <w:jc w:val="center"/>
            </w:pPr>
            <w:r/>
            <w:r>
              <w:rPr>
                <w:rFonts w:ascii="Times New Roman" w:hAnsi="Times New Roman" w:eastAsia="DFKai-SB" w:cs="Times New Roman"/>
                <w:b/>
                <w:sz w:val="18"/>
              </w:rPr>
              <w:t>Case type</w:t>
            </w:r>
          </w:p>
        </w:tc>
        <w:tc>
          <w:tcPr>
            <w:tcW w:type="dxa" w:w="1814"/>
            <w:vAlign w:val="center"/>
          </w:tcPr>
          <w:p>
            <w:pPr>
              <w:spacing w:line="240" w:lineRule="auto" w:after="0"/>
              <w:jc w:val="center"/>
            </w:pPr>
            <w:r/>
            <w:r>
              <w:rPr>
                <w:rFonts w:ascii="Times New Roman" w:hAnsi="Times New Roman" w:eastAsia="DFKai-SB" w:cs="Times New Roman"/>
                <w:b/>
                <w:sz w:val="18"/>
              </w:rPr>
              <w:t>Feature</w:t>
            </w:r>
          </w:p>
        </w:tc>
        <w:tc>
          <w:tcPr>
            <w:tcW w:type="dxa" w:w="1814"/>
            <w:vAlign w:val="center"/>
          </w:tcPr>
          <w:p>
            <w:pPr>
              <w:spacing w:line="240" w:lineRule="auto" w:after="0"/>
              <w:jc w:val="center"/>
            </w:pPr>
            <w:r/>
            <w:r>
              <w:rPr>
                <w:rFonts w:ascii="Times New Roman" w:hAnsi="Times New Roman" w:eastAsia="DFKai-SB" w:cs="Times New Roman"/>
                <w:b/>
                <w:sz w:val="18"/>
              </w:rPr>
              <w:t>Accuracy</w:t>
            </w:r>
          </w:p>
        </w:tc>
        <w:tc>
          <w:tcPr>
            <w:tcW w:type="dxa" w:w="1814"/>
            <w:vAlign w:val="center"/>
          </w:tcPr>
          <w:p>
            <w:pPr>
              <w:spacing w:line="240" w:lineRule="auto" w:after="0"/>
              <w:jc w:val="center"/>
            </w:pPr>
            <w:r/>
            <w:r>
              <w:rPr>
                <w:rFonts w:ascii="Times New Roman" w:hAnsi="Times New Roman" w:eastAsia="DFKai-SB" w:cs="Times New Roman"/>
                <w:b/>
                <w:sz w:val="18"/>
              </w:rPr>
              <w:t>Macro F1</w:t>
            </w:r>
          </w:p>
        </w:tc>
        <w:tc>
          <w:tcPr>
            <w:tcW w:type="dxa" w:w="1814"/>
            <w:vAlign w:val="center"/>
          </w:tcPr>
          <w:p>
            <w:pPr>
              <w:spacing w:line="240" w:lineRule="auto" w:after="0"/>
              <w:jc w:val="center"/>
            </w:pPr>
            <w:r/>
            <w:r>
              <w:rPr>
                <w:rFonts w:ascii="Times New Roman" w:hAnsi="Times New Roman" w:eastAsia="DFKai-SB" w:cs="Times New Roman"/>
                <w:b/>
                <w:sz w:val="18"/>
              </w:rPr>
              <w:t>MNIR Macro F1</w:t>
            </w:r>
          </w:p>
        </w:tc>
      </w:tr>
      <w:tr>
        <w:tc>
          <w:tcPr>
            <w:tcW w:type="dxa" w:w="1814"/>
            <w:vAlign w:val="center"/>
          </w:tcPr>
          <w:p>
            <w:pPr>
              <w:spacing w:line="240" w:lineRule="auto" w:after="0"/>
              <w:jc w:val="left"/>
            </w:pPr>
            <w:r/>
            <w:r>
              <w:rPr>
                <w:rFonts w:ascii="Times New Roman" w:hAnsi="Times New Roman" w:eastAsia="DFKai-SB" w:cs="Times New Roman"/>
                <w:b w:val="0"/>
                <w:sz w:val="17"/>
              </w:rPr>
              <w:t>Administrative</w:t>
            </w:r>
          </w:p>
        </w:tc>
        <w:tc>
          <w:tcPr>
            <w:tcW w:type="dxa" w:w="1814"/>
            <w:vAlign w:val="center"/>
          </w:tcPr>
          <w:p>
            <w:pPr>
              <w:spacing w:line="240" w:lineRule="auto" w:after="0"/>
              <w:jc w:val="center"/>
            </w:pPr>
            <w:r/>
            <w:r>
              <w:rPr>
                <w:rFonts w:ascii="Times New Roman" w:hAnsi="Times New Roman" w:eastAsia="DFKai-SB" w:cs="Times New Roman"/>
                <w:b w:val="0"/>
                <w:sz w:val="17"/>
              </w:rPr>
              <w:t>BoW</w:t>
            </w:r>
          </w:p>
        </w:tc>
        <w:tc>
          <w:tcPr>
            <w:tcW w:type="dxa" w:w="1814"/>
            <w:vAlign w:val="center"/>
          </w:tcPr>
          <w:p>
            <w:pPr>
              <w:spacing w:line="240" w:lineRule="auto" w:after="0"/>
              <w:jc w:val="center"/>
            </w:pPr>
            <w:r/>
            <w:r>
              <w:rPr>
                <w:rFonts w:ascii="Times New Roman" w:hAnsi="Times New Roman" w:eastAsia="DFKai-SB" w:cs="Times New Roman"/>
                <w:b w:val="0"/>
                <w:sz w:val="17"/>
              </w:rPr>
              <w:t>0.831</w:t>
            </w:r>
          </w:p>
        </w:tc>
        <w:tc>
          <w:tcPr>
            <w:tcW w:type="dxa" w:w="1814"/>
            <w:vAlign w:val="center"/>
          </w:tcPr>
          <w:p>
            <w:pPr>
              <w:spacing w:line="240" w:lineRule="auto" w:after="0"/>
              <w:jc w:val="center"/>
            </w:pPr>
            <w:r/>
            <w:r>
              <w:rPr>
                <w:rFonts w:ascii="Times New Roman" w:hAnsi="Times New Roman" w:eastAsia="DFKai-SB" w:cs="Times New Roman"/>
                <w:b w:val="0"/>
                <w:sz w:val="17"/>
              </w:rPr>
              <w:t>0.380</w:t>
            </w:r>
          </w:p>
        </w:tc>
        <w:tc>
          <w:tcPr>
            <w:tcW w:type="dxa" w:w="1814"/>
            <w:vAlign w:val="center"/>
          </w:tcPr>
          <w:p>
            <w:pPr>
              <w:spacing w:line="240" w:lineRule="auto" w:after="0"/>
              <w:jc w:val="left"/>
            </w:pPr>
            <w:r/>
            <w:r>
              <w:rPr>
                <w:rFonts w:ascii="Times New Roman" w:hAnsi="Times New Roman" w:eastAsia="DFKai-SB" w:cs="Times New Roman"/>
                <w:b w:val="0"/>
                <w:sz w:val="17"/>
              </w:rPr>
              <w:t>0.318</w:t>
            </w:r>
          </w:p>
        </w:tc>
      </w:tr>
      <w:tr>
        <w:tc>
          <w:tcPr>
            <w:tcW w:type="dxa" w:w="1814"/>
            <w:vAlign w:val="center"/>
          </w:tcPr>
          <w:p>
            <w:pPr>
              <w:spacing w:line="240" w:lineRule="auto" w:after="0"/>
              <w:jc w:val="left"/>
            </w:pPr>
            <w:r/>
            <w:r>
              <w:rPr>
                <w:rFonts w:ascii="Times New Roman" w:hAnsi="Times New Roman" w:eastAsia="DFKai-SB" w:cs="Times New Roman"/>
                <w:b w:val="0"/>
                <w:sz w:val="17"/>
              </w:rPr>
              <w:t>Civil</w:t>
            </w:r>
          </w:p>
        </w:tc>
        <w:tc>
          <w:tcPr>
            <w:tcW w:type="dxa" w:w="1814"/>
            <w:vAlign w:val="center"/>
          </w:tcPr>
          <w:p>
            <w:pPr>
              <w:spacing w:line="240" w:lineRule="auto" w:after="0"/>
              <w:jc w:val="center"/>
            </w:pPr>
            <w:r/>
            <w:r>
              <w:rPr>
                <w:rFonts w:ascii="Times New Roman" w:hAnsi="Times New Roman" w:eastAsia="DFKai-SB" w:cs="Times New Roman"/>
                <w:b w:val="0"/>
                <w:sz w:val="17"/>
              </w:rPr>
              <w:t>TF-IDF</w:t>
            </w:r>
          </w:p>
        </w:tc>
        <w:tc>
          <w:tcPr>
            <w:tcW w:type="dxa" w:w="1814"/>
            <w:vAlign w:val="center"/>
          </w:tcPr>
          <w:p>
            <w:pPr>
              <w:spacing w:line="240" w:lineRule="auto" w:after="0"/>
              <w:jc w:val="center"/>
            </w:pPr>
            <w:r/>
            <w:r>
              <w:rPr>
                <w:rFonts w:ascii="Times New Roman" w:hAnsi="Times New Roman" w:eastAsia="DFKai-SB" w:cs="Times New Roman"/>
                <w:b w:val="0"/>
                <w:sz w:val="17"/>
              </w:rPr>
              <w:t>0.680</w:t>
            </w:r>
          </w:p>
        </w:tc>
        <w:tc>
          <w:tcPr>
            <w:tcW w:type="dxa" w:w="1814"/>
            <w:vAlign w:val="center"/>
          </w:tcPr>
          <w:p>
            <w:pPr>
              <w:spacing w:line="240" w:lineRule="auto" w:after="0"/>
              <w:jc w:val="center"/>
            </w:pPr>
            <w:r/>
            <w:r>
              <w:rPr>
                <w:rFonts w:ascii="Times New Roman" w:hAnsi="Times New Roman" w:eastAsia="DFKai-SB" w:cs="Times New Roman"/>
                <w:b w:val="0"/>
                <w:sz w:val="17"/>
              </w:rPr>
              <w:t>0.428</w:t>
            </w:r>
          </w:p>
        </w:tc>
        <w:tc>
          <w:tcPr>
            <w:tcW w:type="dxa" w:w="1814"/>
            <w:vAlign w:val="center"/>
          </w:tcPr>
          <w:p>
            <w:pPr>
              <w:spacing w:line="240" w:lineRule="auto" w:after="0"/>
              <w:jc w:val="left"/>
            </w:pPr>
            <w:r/>
            <w:r>
              <w:rPr>
                <w:rFonts w:ascii="Times New Roman" w:hAnsi="Times New Roman" w:eastAsia="DFKai-SB" w:cs="Times New Roman"/>
                <w:b w:val="0"/>
                <w:sz w:val="17"/>
              </w:rPr>
              <w:t>0.353</w:t>
            </w:r>
          </w:p>
        </w:tc>
      </w:tr>
      <w:tr>
        <w:tc>
          <w:tcPr>
            <w:tcW w:type="dxa" w:w="1814"/>
            <w:vAlign w:val="center"/>
          </w:tcPr>
          <w:p>
            <w:pPr>
              <w:spacing w:line="240" w:lineRule="auto" w:after="0"/>
              <w:jc w:val="left"/>
            </w:pPr>
            <w:r/>
            <w:r>
              <w:rPr>
                <w:rFonts w:ascii="Times New Roman" w:hAnsi="Times New Roman" w:eastAsia="DFKai-SB" w:cs="Times New Roman"/>
                <w:b w:val="0"/>
                <w:sz w:val="17"/>
              </w:rPr>
              <w:t>Criminal</w:t>
            </w:r>
          </w:p>
        </w:tc>
        <w:tc>
          <w:tcPr>
            <w:tcW w:type="dxa" w:w="1814"/>
            <w:vAlign w:val="center"/>
          </w:tcPr>
          <w:p>
            <w:pPr>
              <w:spacing w:line="240" w:lineRule="auto" w:after="0"/>
              <w:jc w:val="center"/>
            </w:pPr>
            <w:r/>
            <w:r>
              <w:rPr>
                <w:rFonts w:ascii="Times New Roman" w:hAnsi="Times New Roman" w:eastAsia="DFKai-SB" w:cs="Times New Roman"/>
                <w:b w:val="0"/>
                <w:sz w:val="17"/>
              </w:rPr>
              <w:t>TF</w:t>
            </w:r>
          </w:p>
        </w:tc>
        <w:tc>
          <w:tcPr>
            <w:tcW w:type="dxa" w:w="1814"/>
            <w:vAlign w:val="center"/>
          </w:tcPr>
          <w:p>
            <w:pPr>
              <w:spacing w:line="240" w:lineRule="auto" w:after="0"/>
              <w:jc w:val="center"/>
            </w:pPr>
            <w:r/>
            <w:r>
              <w:rPr>
                <w:rFonts w:ascii="Times New Roman" w:hAnsi="Times New Roman" w:eastAsia="DFKai-SB" w:cs="Times New Roman"/>
                <w:b w:val="0"/>
                <w:sz w:val="17"/>
              </w:rPr>
              <w:t>0.951</w:t>
            </w:r>
          </w:p>
        </w:tc>
        <w:tc>
          <w:tcPr>
            <w:tcW w:type="dxa" w:w="1814"/>
            <w:vAlign w:val="center"/>
          </w:tcPr>
          <w:p>
            <w:pPr>
              <w:spacing w:line="240" w:lineRule="auto" w:after="0"/>
              <w:jc w:val="center"/>
            </w:pPr>
            <w:r/>
            <w:r>
              <w:rPr>
                <w:rFonts w:ascii="Times New Roman" w:hAnsi="Times New Roman" w:eastAsia="DFKai-SB" w:cs="Times New Roman"/>
                <w:b w:val="0"/>
                <w:sz w:val="17"/>
              </w:rPr>
              <w:t>0.577</w:t>
            </w:r>
          </w:p>
        </w:tc>
        <w:tc>
          <w:tcPr>
            <w:tcW w:type="dxa" w:w="1814"/>
            <w:vAlign w:val="center"/>
          </w:tcPr>
          <w:p>
            <w:pPr>
              <w:spacing w:line="240" w:lineRule="auto" w:after="0"/>
              <w:jc w:val="left"/>
            </w:pPr>
            <w:r/>
            <w:r>
              <w:rPr>
                <w:rFonts w:ascii="Times New Roman" w:hAnsi="Times New Roman" w:eastAsia="DFKai-SB" w:cs="Times New Roman"/>
                <w:b w:val="0"/>
                <w:sz w:val="17"/>
              </w:rPr>
              <w:t>0.390</w:t>
            </w:r>
          </w:p>
        </w:tc>
      </w:tr>
      <w:tr>
        <w:tc>
          <w:tcPr>
            <w:tcW w:type="dxa" w:w="1814"/>
            <w:vAlign w:val="center"/>
          </w:tcPr>
          <w:p>
            <w:pPr>
              <w:spacing w:line="240" w:lineRule="auto" w:after="0"/>
              <w:jc w:val="left"/>
            </w:pPr>
            <w:r/>
            <w:r>
              <w:rPr>
                <w:rFonts w:ascii="Times New Roman" w:hAnsi="Times New Roman" w:eastAsia="DFKai-SB" w:cs="Times New Roman"/>
                <w:b w:val="0"/>
                <w:sz w:val="17"/>
              </w:rPr>
              <w:t>Criminal with attached civil</w:t>
            </w:r>
          </w:p>
        </w:tc>
        <w:tc>
          <w:tcPr>
            <w:tcW w:type="dxa" w:w="1814"/>
            <w:vAlign w:val="center"/>
          </w:tcPr>
          <w:p>
            <w:pPr>
              <w:spacing w:line="240" w:lineRule="auto" w:after="0"/>
              <w:jc w:val="center"/>
            </w:pPr>
            <w:r/>
            <w:r>
              <w:rPr>
                <w:rFonts w:ascii="Times New Roman" w:hAnsi="Times New Roman" w:eastAsia="DFKai-SB" w:cs="Times New Roman"/>
                <w:b w:val="0"/>
                <w:sz w:val="17"/>
              </w:rPr>
              <w:t>BoW</w:t>
            </w:r>
          </w:p>
        </w:tc>
        <w:tc>
          <w:tcPr>
            <w:tcW w:type="dxa" w:w="1814"/>
            <w:vAlign w:val="center"/>
          </w:tcPr>
          <w:p>
            <w:pPr>
              <w:spacing w:line="240" w:lineRule="auto" w:after="0"/>
              <w:jc w:val="center"/>
            </w:pPr>
            <w:r/>
            <w:r>
              <w:rPr>
                <w:rFonts w:ascii="Times New Roman" w:hAnsi="Times New Roman" w:eastAsia="DFKai-SB" w:cs="Times New Roman"/>
                <w:b w:val="0"/>
                <w:sz w:val="17"/>
              </w:rPr>
              <w:t>0.854</w:t>
            </w:r>
          </w:p>
        </w:tc>
        <w:tc>
          <w:tcPr>
            <w:tcW w:type="dxa" w:w="1814"/>
            <w:vAlign w:val="center"/>
          </w:tcPr>
          <w:p>
            <w:pPr>
              <w:spacing w:line="240" w:lineRule="auto" w:after="0"/>
              <w:jc w:val="center"/>
            </w:pPr>
            <w:r/>
            <w:r>
              <w:rPr>
                <w:rFonts w:ascii="Times New Roman" w:hAnsi="Times New Roman" w:eastAsia="DFKai-SB" w:cs="Times New Roman"/>
                <w:b w:val="0"/>
                <w:sz w:val="17"/>
              </w:rPr>
              <w:t>0.654</w:t>
            </w:r>
          </w:p>
        </w:tc>
        <w:tc>
          <w:tcPr>
            <w:tcW w:type="dxa" w:w="1814"/>
            <w:vAlign w:val="center"/>
          </w:tcPr>
          <w:p>
            <w:pPr>
              <w:spacing w:line="240" w:lineRule="auto" w:after="0"/>
              <w:jc w:val="left"/>
            </w:pPr>
            <w:r/>
            <w:r>
              <w:rPr>
                <w:rFonts w:ascii="Times New Roman" w:hAnsi="Times New Roman" w:eastAsia="DFKai-SB" w:cs="Times New Roman"/>
                <w:b w:val="0"/>
                <w:sz w:val="17"/>
              </w:rPr>
              <w:t>0.545</w:t>
            </w:r>
          </w:p>
        </w:tc>
      </w:tr>
    </w:tbl>
    <w:p>
      <w:pPr>
        <w:spacing w:after="40"/>
      </w:pPr>
    </w:p>
    <w:p>
      <w:pPr>
        <w:spacing w:line="240" w:lineRule="auto" w:before="0" w:after="40"/>
        <w:jc w:val="center"/>
      </w:pPr>
      <w:r>
        <w:rPr>
          <w:rFonts w:ascii="Times New Roman" w:hAnsi="Times New Roman" w:eastAsia="DFKai-SB" w:cs="Times New Roman"/>
          <w:b/>
          <w:sz w:val="24"/>
        </w:rPr>
        <w:t>Table 3 Balanced class-weight experiment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spacing w:line="240" w:lineRule="auto" w:after="0"/>
              <w:jc w:val="center"/>
            </w:pPr>
            <w:r/>
            <w:r>
              <w:rPr>
                <w:rFonts w:ascii="Times New Roman" w:hAnsi="Times New Roman" w:eastAsia="DFKai-SB" w:cs="Times New Roman"/>
                <w:b/>
                <w:sz w:val="18"/>
              </w:rPr>
              <w:t>Case type</w:t>
            </w:r>
          </w:p>
        </w:tc>
        <w:tc>
          <w:tcPr>
            <w:tcW w:type="dxa" w:w="1814"/>
            <w:vAlign w:val="center"/>
          </w:tcPr>
          <w:p>
            <w:pPr>
              <w:spacing w:line="240" w:lineRule="auto" w:after="0"/>
              <w:jc w:val="center"/>
            </w:pPr>
            <w:r/>
            <w:r>
              <w:rPr>
                <w:rFonts w:ascii="Times New Roman" w:hAnsi="Times New Roman" w:eastAsia="DFKai-SB" w:cs="Times New Roman"/>
                <w:b/>
                <w:sz w:val="18"/>
              </w:rPr>
              <w:t>Feature</w:t>
            </w:r>
          </w:p>
        </w:tc>
        <w:tc>
          <w:tcPr>
            <w:tcW w:type="dxa" w:w="1814"/>
            <w:vAlign w:val="center"/>
          </w:tcPr>
          <w:p>
            <w:pPr>
              <w:spacing w:line="240" w:lineRule="auto" w:after="0"/>
              <w:jc w:val="center"/>
            </w:pPr>
            <w:r/>
            <w:r>
              <w:rPr>
                <w:rFonts w:ascii="Times New Roman" w:hAnsi="Times New Roman" w:eastAsia="DFKai-SB" w:cs="Times New Roman"/>
                <w:b/>
                <w:sz w:val="18"/>
              </w:rPr>
              <w:t>Accuracy</w:t>
            </w:r>
          </w:p>
        </w:tc>
        <w:tc>
          <w:tcPr>
            <w:tcW w:type="dxa" w:w="1814"/>
            <w:vAlign w:val="center"/>
          </w:tcPr>
          <w:p>
            <w:pPr>
              <w:spacing w:line="240" w:lineRule="auto" w:after="0"/>
              <w:jc w:val="center"/>
            </w:pPr>
            <w:r/>
            <w:r>
              <w:rPr>
                <w:rFonts w:ascii="Times New Roman" w:hAnsi="Times New Roman" w:eastAsia="DFKai-SB" w:cs="Times New Roman"/>
                <w:b/>
                <w:sz w:val="18"/>
              </w:rPr>
              <w:t>Macro F1</w:t>
            </w:r>
          </w:p>
        </w:tc>
        <w:tc>
          <w:tcPr>
            <w:tcW w:type="dxa" w:w="1814"/>
            <w:vAlign w:val="center"/>
          </w:tcPr>
          <w:p>
            <w:pPr>
              <w:spacing w:line="240" w:lineRule="auto" w:after="0"/>
              <w:jc w:val="center"/>
            </w:pPr>
            <w:r/>
            <w:r>
              <w:rPr>
                <w:rFonts w:ascii="Times New Roman" w:hAnsi="Times New Roman" w:eastAsia="DFKai-SB" w:cs="Times New Roman"/>
                <w:b/>
                <w:sz w:val="18"/>
              </w:rPr>
              <w:t>Interpretation</w:t>
            </w:r>
          </w:p>
        </w:tc>
      </w:tr>
      <w:tr>
        <w:tc>
          <w:tcPr>
            <w:tcW w:type="dxa" w:w="1814"/>
            <w:vAlign w:val="center"/>
          </w:tcPr>
          <w:p>
            <w:pPr>
              <w:spacing w:line="240" w:lineRule="auto" w:after="0"/>
              <w:jc w:val="left"/>
            </w:pPr>
            <w:r/>
            <w:r>
              <w:rPr>
                <w:rFonts w:ascii="Times New Roman" w:hAnsi="Times New Roman" w:eastAsia="DFKai-SB" w:cs="Times New Roman"/>
                <w:b w:val="0"/>
                <w:sz w:val="17"/>
              </w:rPr>
              <w:t>Administrative</w:t>
            </w:r>
          </w:p>
        </w:tc>
        <w:tc>
          <w:tcPr>
            <w:tcW w:type="dxa" w:w="1814"/>
            <w:vAlign w:val="center"/>
          </w:tcPr>
          <w:p>
            <w:pPr>
              <w:spacing w:line="240" w:lineRule="auto" w:after="0"/>
              <w:jc w:val="center"/>
            </w:pPr>
            <w:r/>
            <w:r>
              <w:rPr>
                <w:rFonts w:ascii="Times New Roman" w:hAnsi="Times New Roman" w:eastAsia="DFKai-SB" w:cs="Times New Roman"/>
                <w:b w:val="0"/>
                <w:sz w:val="17"/>
              </w:rPr>
              <w:t>TF-IDF</w:t>
            </w:r>
          </w:p>
        </w:tc>
        <w:tc>
          <w:tcPr>
            <w:tcW w:type="dxa" w:w="1814"/>
            <w:vAlign w:val="center"/>
          </w:tcPr>
          <w:p>
            <w:pPr>
              <w:spacing w:line="240" w:lineRule="auto" w:after="0"/>
              <w:jc w:val="center"/>
            </w:pPr>
            <w:r/>
            <w:r>
              <w:rPr>
                <w:rFonts w:ascii="Times New Roman" w:hAnsi="Times New Roman" w:eastAsia="DFKai-SB" w:cs="Times New Roman"/>
                <w:b w:val="0"/>
                <w:sz w:val="17"/>
              </w:rPr>
              <w:t>0.834</w:t>
            </w:r>
          </w:p>
        </w:tc>
        <w:tc>
          <w:tcPr>
            <w:tcW w:type="dxa" w:w="1814"/>
            <w:vAlign w:val="center"/>
          </w:tcPr>
          <w:p>
            <w:pPr>
              <w:spacing w:line="240" w:lineRule="auto" w:after="0"/>
              <w:jc w:val="center"/>
            </w:pPr>
            <w:r/>
            <w:r>
              <w:rPr>
                <w:rFonts w:ascii="Times New Roman" w:hAnsi="Times New Roman" w:eastAsia="DFKai-SB" w:cs="Times New Roman"/>
                <w:b w:val="0"/>
                <w:sz w:val="17"/>
              </w:rPr>
              <w:t>0.412</w:t>
            </w:r>
          </w:p>
        </w:tc>
        <w:tc>
          <w:tcPr>
            <w:tcW w:type="dxa" w:w="1814"/>
            <w:vAlign w:val="center"/>
          </w:tcPr>
          <w:p>
            <w:pPr>
              <w:spacing w:line="240" w:lineRule="auto" w:after="0"/>
              <w:jc w:val="left"/>
            </w:pPr>
            <w:r/>
            <w:r>
              <w:rPr>
                <w:rFonts w:ascii="Times New Roman" w:hAnsi="Times New Roman" w:eastAsia="DFKai-SB" w:cs="Times New Roman"/>
                <w:b w:val="0"/>
                <w:sz w:val="17"/>
              </w:rPr>
              <w:t>Minority-class recognition improved</w:t>
            </w:r>
          </w:p>
        </w:tc>
      </w:tr>
      <w:tr>
        <w:tc>
          <w:tcPr>
            <w:tcW w:type="dxa" w:w="1814"/>
            <w:vAlign w:val="center"/>
          </w:tcPr>
          <w:p>
            <w:pPr>
              <w:spacing w:line="240" w:lineRule="auto" w:after="0"/>
              <w:jc w:val="left"/>
            </w:pPr>
            <w:r/>
            <w:r>
              <w:rPr>
                <w:rFonts w:ascii="Times New Roman" w:hAnsi="Times New Roman" w:eastAsia="DFKai-SB" w:cs="Times New Roman"/>
                <w:b w:val="0"/>
                <w:sz w:val="17"/>
              </w:rPr>
              <w:t>Civil</w:t>
            </w:r>
          </w:p>
        </w:tc>
        <w:tc>
          <w:tcPr>
            <w:tcW w:type="dxa" w:w="1814"/>
            <w:vAlign w:val="center"/>
          </w:tcPr>
          <w:p>
            <w:pPr>
              <w:spacing w:line="240" w:lineRule="auto" w:after="0"/>
              <w:jc w:val="center"/>
            </w:pPr>
            <w:r/>
            <w:r>
              <w:rPr>
                <w:rFonts w:ascii="Times New Roman" w:hAnsi="Times New Roman" w:eastAsia="DFKai-SB" w:cs="Times New Roman"/>
                <w:b w:val="0"/>
                <w:sz w:val="17"/>
              </w:rPr>
              <w:t>TF</w:t>
            </w:r>
          </w:p>
        </w:tc>
        <w:tc>
          <w:tcPr>
            <w:tcW w:type="dxa" w:w="1814"/>
            <w:vAlign w:val="center"/>
          </w:tcPr>
          <w:p>
            <w:pPr>
              <w:spacing w:line="240" w:lineRule="auto" w:after="0"/>
              <w:jc w:val="center"/>
            </w:pPr>
            <w:r/>
            <w:r>
              <w:rPr>
                <w:rFonts w:ascii="Times New Roman" w:hAnsi="Times New Roman" w:eastAsia="DFKai-SB" w:cs="Times New Roman"/>
                <w:b w:val="0"/>
                <w:sz w:val="17"/>
              </w:rPr>
              <w:t>0.662</w:t>
            </w:r>
          </w:p>
        </w:tc>
        <w:tc>
          <w:tcPr>
            <w:tcW w:type="dxa" w:w="1814"/>
            <w:vAlign w:val="center"/>
          </w:tcPr>
          <w:p>
            <w:pPr>
              <w:spacing w:line="240" w:lineRule="auto" w:after="0"/>
              <w:jc w:val="center"/>
            </w:pPr>
            <w:r/>
            <w:r>
              <w:rPr>
                <w:rFonts w:ascii="Times New Roman" w:hAnsi="Times New Roman" w:eastAsia="DFKai-SB" w:cs="Times New Roman"/>
                <w:b w:val="0"/>
                <w:sz w:val="17"/>
              </w:rPr>
              <w:t>0.468</w:t>
            </w:r>
          </w:p>
        </w:tc>
        <w:tc>
          <w:tcPr>
            <w:tcW w:type="dxa" w:w="1814"/>
            <w:vAlign w:val="center"/>
          </w:tcPr>
          <w:p>
            <w:pPr>
              <w:spacing w:line="240" w:lineRule="auto" w:after="0"/>
              <w:jc w:val="left"/>
            </w:pPr>
            <w:r/>
            <w:r>
              <w:rPr>
                <w:rFonts w:ascii="Times New Roman" w:hAnsi="Times New Roman" w:eastAsia="DFKai-SB" w:cs="Times New Roman"/>
                <w:b w:val="0"/>
                <w:sz w:val="17"/>
              </w:rPr>
              <w:t>Macro F1 improved despite lower accuracy</w:t>
            </w:r>
          </w:p>
        </w:tc>
      </w:tr>
      <w:tr>
        <w:tc>
          <w:tcPr>
            <w:tcW w:type="dxa" w:w="1814"/>
            <w:vAlign w:val="center"/>
          </w:tcPr>
          <w:p>
            <w:pPr>
              <w:spacing w:line="240" w:lineRule="auto" w:after="0"/>
              <w:jc w:val="left"/>
            </w:pPr>
            <w:r/>
            <w:r>
              <w:rPr>
                <w:rFonts w:ascii="Times New Roman" w:hAnsi="Times New Roman" w:eastAsia="DFKai-SB" w:cs="Times New Roman"/>
                <w:b w:val="0"/>
                <w:sz w:val="17"/>
              </w:rPr>
              <w:t>Criminal</w:t>
            </w:r>
          </w:p>
        </w:tc>
        <w:tc>
          <w:tcPr>
            <w:tcW w:type="dxa" w:w="1814"/>
            <w:vAlign w:val="center"/>
          </w:tcPr>
          <w:p>
            <w:pPr>
              <w:spacing w:line="240" w:lineRule="auto" w:after="0"/>
              <w:jc w:val="center"/>
            </w:pPr>
            <w:r/>
            <w:r>
              <w:rPr>
                <w:rFonts w:ascii="Times New Roman" w:hAnsi="Times New Roman" w:eastAsia="DFKai-SB" w:cs="Times New Roman"/>
                <w:b w:val="0"/>
                <w:sz w:val="17"/>
              </w:rPr>
              <w:t>BoW</w:t>
            </w:r>
          </w:p>
        </w:tc>
        <w:tc>
          <w:tcPr>
            <w:tcW w:type="dxa" w:w="1814"/>
            <w:vAlign w:val="center"/>
          </w:tcPr>
          <w:p>
            <w:pPr>
              <w:spacing w:line="240" w:lineRule="auto" w:after="0"/>
              <w:jc w:val="center"/>
            </w:pPr>
            <w:r/>
            <w:r>
              <w:rPr>
                <w:rFonts w:ascii="Times New Roman" w:hAnsi="Times New Roman" w:eastAsia="DFKai-SB" w:cs="Times New Roman"/>
                <w:b w:val="0"/>
                <w:sz w:val="17"/>
              </w:rPr>
              <w:t>0.954</w:t>
            </w:r>
          </w:p>
        </w:tc>
        <w:tc>
          <w:tcPr>
            <w:tcW w:type="dxa" w:w="1814"/>
            <w:vAlign w:val="center"/>
          </w:tcPr>
          <w:p>
            <w:pPr>
              <w:spacing w:line="240" w:lineRule="auto" w:after="0"/>
              <w:jc w:val="center"/>
            </w:pPr>
            <w:r/>
            <w:r>
              <w:rPr>
                <w:rFonts w:ascii="Times New Roman" w:hAnsi="Times New Roman" w:eastAsia="DFKai-SB" w:cs="Times New Roman"/>
                <w:b w:val="0"/>
                <w:sz w:val="17"/>
              </w:rPr>
              <w:t>0.623</w:t>
            </w:r>
          </w:p>
        </w:tc>
        <w:tc>
          <w:tcPr>
            <w:tcW w:type="dxa" w:w="1814"/>
            <w:vAlign w:val="center"/>
          </w:tcPr>
          <w:p>
            <w:pPr>
              <w:spacing w:line="240" w:lineRule="auto" w:after="0"/>
              <w:jc w:val="left"/>
            </w:pPr>
            <w:r/>
            <w:r>
              <w:rPr>
                <w:rFonts w:ascii="Times New Roman" w:hAnsi="Times New Roman" w:eastAsia="DFKai-SB" w:cs="Times New Roman"/>
                <w:b w:val="0"/>
                <w:sz w:val="17"/>
              </w:rPr>
              <w:t>Both overall and macro performance improved</w:t>
            </w:r>
          </w:p>
        </w:tc>
      </w:tr>
      <w:tr>
        <w:tc>
          <w:tcPr>
            <w:tcW w:type="dxa" w:w="1814"/>
            <w:vAlign w:val="center"/>
          </w:tcPr>
          <w:p>
            <w:pPr>
              <w:spacing w:line="240" w:lineRule="auto" w:after="0"/>
              <w:jc w:val="left"/>
            </w:pPr>
            <w:r/>
            <w:r>
              <w:rPr>
                <w:rFonts w:ascii="Times New Roman" w:hAnsi="Times New Roman" w:eastAsia="DFKai-SB" w:cs="Times New Roman"/>
                <w:b w:val="0"/>
                <w:sz w:val="17"/>
              </w:rPr>
              <w:t>Criminal with attached civil</w:t>
            </w:r>
          </w:p>
        </w:tc>
        <w:tc>
          <w:tcPr>
            <w:tcW w:type="dxa" w:w="1814"/>
            <w:vAlign w:val="center"/>
          </w:tcPr>
          <w:p>
            <w:pPr>
              <w:spacing w:line="240" w:lineRule="auto" w:after="0"/>
              <w:jc w:val="center"/>
            </w:pPr>
            <w:r/>
            <w:r>
              <w:rPr>
                <w:rFonts w:ascii="Times New Roman" w:hAnsi="Times New Roman" w:eastAsia="DFKai-SB" w:cs="Times New Roman"/>
                <w:b w:val="0"/>
                <w:sz w:val="17"/>
              </w:rPr>
              <w:t>BoW</w:t>
            </w:r>
          </w:p>
        </w:tc>
        <w:tc>
          <w:tcPr>
            <w:tcW w:type="dxa" w:w="1814"/>
            <w:vAlign w:val="center"/>
          </w:tcPr>
          <w:p>
            <w:pPr>
              <w:spacing w:line="240" w:lineRule="auto" w:after="0"/>
              <w:jc w:val="center"/>
            </w:pPr>
            <w:r/>
            <w:r>
              <w:rPr>
                <w:rFonts w:ascii="Times New Roman" w:hAnsi="Times New Roman" w:eastAsia="DFKai-SB" w:cs="Times New Roman"/>
                <w:b w:val="0"/>
                <w:sz w:val="17"/>
              </w:rPr>
              <w:t>0.843</w:t>
            </w:r>
          </w:p>
        </w:tc>
        <w:tc>
          <w:tcPr>
            <w:tcW w:type="dxa" w:w="1814"/>
            <w:vAlign w:val="center"/>
          </w:tcPr>
          <w:p>
            <w:pPr>
              <w:spacing w:line="240" w:lineRule="auto" w:after="0"/>
              <w:jc w:val="center"/>
            </w:pPr>
            <w:r/>
            <w:r>
              <w:rPr>
                <w:rFonts w:ascii="Times New Roman" w:hAnsi="Times New Roman" w:eastAsia="DFKai-SB" w:cs="Times New Roman"/>
                <w:b w:val="0"/>
                <w:sz w:val="17"/>
              </w:rPr>
              <w:t>0.631</w:t>
            </w:r>
          </w:p>
        </w:tc>
        <w:tc>
          <w:tcPr>
            <w:tcW w:type="dxa" w:w="1814"/>
            <w:vAlign w:val="center"/>
          </w:tcPr>
          <w:p>
            <w:pPr>
              <w:spacing w:line="240" w:lineRule="auto" w:after="0"/>
              <w:jc w:val="left"/>
            </w:pPr>
            <w:r/>
            <w:r>
              <w:rPr>
                <w:rFonts w:ascii="Times New Roman" w:hAnsi="Times New Roman" w:eastAsia="DFKai-SB" w:cs="Times New Roman"/>
                <w:b w:val="0"/>
                <w:sz w:val="17"/>
              </w:rPr>
              <w:t>Weighting did not improve the original model</w:t>
            </w:r>
          </w:p>
        </w:tc>
      </w:tr>
    </w:tbl>
    <w:p>
      <w:pPr>
        <w:spacing w:after="40"/>
      </w:pPr>
    </w:p>
    <w:p>
      <w:pPr>
        <w:spacing w:line="240" w:lineRule="auto" w:before="0" w:after="60"/>
        <w:ind w:firstLine="420"/>
        <w:jc w:val="both"/>
      </w:pPr>
      <w:r>
        <w:rPr>
          <w:rFonts w:ascii="Times New Roman" w:hAnsi="Times New Roman" w:eastAsia="DFKai-SB" w:cs="Times New Roman"/>
          <w:b w:val="0"/>
          <w:sz w:val="24"/>
        </w:rPr>
        <w:t>本節進一步呈現 Chi-square + SVM 對照流程之表現。SVM 不經 MNIR 特徵轉換，而是直接使用卡方篩選後的稀疏文字特徵訓練 SVM，因此可作為檢驗 MNIR 轉換是否帶來額外增益的對照基準。研究另設置 Majority Class baseline 作為最低基準模型。Majority Class baseline 是指模型不根據文本內容進行判斷，而是一律預測訓練資料中樣本數最多的裁判結果類別。若 SVM 僅略高於或接近此基準，代表模型可能只是受到多數類別分布影響；若明顯高於此基準，則表示模型至少學習到部分文本分類訊息。</w:t>
      </w:r>
    </w:p>
    <w:p>
      <w:pPr>
        <w:spacing w:line="240" w:lineRule="auto" w:before="0" w:after="40"/>
        <w:jc w:val="center"/>
      </w:pPr>
      <w:r>
        <w:rPr>
          <w:rFonts w:ascii="Times New Roman" w:hAnsi="Times New Roman" w:eastAsia="DFKai-SB" w:cs="Times New Roman"/>
          <w:b/>
          <w:sz w:val="24"/>
        </w:rPr>
        <w:t>表 4-2 呈現 Chi-square + SVM 於各資料集之最佳表現。Chi-square + SVM 在四類資料集中的 Macro F1 介於 0.392 至 0.654，且皆高於 Majority Class baseline。其中，刑事附帶民事資料集之 Macro F1 最高，為 0.654；刑事資料集次之，為 0.577；民事與行政資料集分別為 0.428 與 0.392。</w:t>
      </w:r>
    </w:p>
    <w:p>
      <w:pPr>
        <w:spacing w:line="240" w:lineRule="auto" w:before="0" w:after="40"/>
        <w:jc w:val="center"/>
      </w:pPr>
      <w:r>
        <w:rPr>
          <w:rFonts w:ascii="Times New Roman" w:hAnsi="Times New Roman" w:eastAsia="DFKai-SB" w:cs="Times New Roman"/>
          <w:b/>
          <w:sz w:val="24"/>
        </w:rPr>
        <w:t>表 4-2 Chi-square + SVM 於各資料集之最佳表現</w:t>
      </w:r>
    </w:p>
    <w:p>
      <w:pPr>
        <w:spacing w:line="240" w:lineRule="auto" w:before="0" w:after="60"/>
        <w:ind w:firstLine="420"/>
        <w:jc w:val="both"/>
      </w:pPr>
      <w:r>
        <w:rPr>
          <w:rFonts w:ascii="Times New Roman" w:hAnsi="Times New Roman" w:eastAsia="DFKai-SB" w:cs="Times New Roman"/>
          <w:b w:val="0"/>
          <w:sz w:val="24"/>
        </w:rPr>
        <w:t>與 Majority Class baseline 相比，四類資料集的 Chi-square + SVM 皆有明顯提升。其中刑事附帶民事資料集由 0.245 提升至 0.654，刑事資料集由 0.322 提升至 0.577，顯示 SVM 並非僅透過預測多數類別取得表面上的表現，而是能從文本詞彙中學習到與裁判結果相關的分類訊息。</w:t>
      </w:r>
    </w:p>
    <w:p>
      <w:pPr>
        <w:pStyle w:val="Heading2"/>
        <w:spacing w:line="240" w:lineRule="auto" w:before="120" w:after="60"/>
        <w:jc w:val="left"/>
      </w:pPr>
      <w:r>
        <w:rPr>
          <w:rFonts w:ascii="Times New Roman" w:hAnsi="Times New Roman" w:eastAsia="DFKai-SB" w:cs="Times New Roman"/>
          <w:b/>
          <w:sz w:val="28"/>
        </w:rPr>
        <w:t>4.4 Chi-square + MNIR + SVM 與 Chi-square + SVM 之整體流程比較</w:t>
      </w:r>
    </w:p>
    <w:p>
      <w:pPr>
        <w:spacing w:line="240" w:lineRule="auto" w:before="0" w:after="40"/>
        <w:jc w:val="center"/>
      </w:pPr>
      <w:r>
        <w:rPr>
          <w:rFonts w:ascii="Times New Roman" w:hAnsi="Times New Roman" w:eastAsia="DFKai-SB" w:cs="Times New Roman"/>
          <w:b/>
          <w:sz w:val="24"/>
        </w:rPr>
        <w:t>表 4-3 比較兩種模型流程各自最佳設定下的整體表現，包括各自選定的文字特徵表示與參數組合。因此，此處並非在完全控制相同特徵表示與參數後，單獨檢定 MNIR 所造成的效果，後續結果應解讀為兩種模型流程的整體比較。為進一步檢視兩種模型流程之 Macro F1 差異，本研究另採 paired bootstrap 重抽樣方法。在每次重抽樣中，本研究對同一測試集進行有放回抽樣，並使用相同的樣本索引分別計算兩種模型流程之 Macro F1，以維持兩模型比較的配對性。接著，依重抽樣所得之  分布建立 95% bootstrap 信賴區間。若信賴區間未包含 0，表示在本研究固定資料集劃分、固定訓練結果與固定測試集下，兩種模型流程之 Macro F1 差異在測試樣本重抽樣下具有一定穩定性。</w:t>
      </w:r>
    </w:p>
    <w:p>
      <w:pPr>
        <w:spacing w:line="240" w:lineRule="auto" w:before="0" w:after="40"/>
        <w:jc w:val="center"/>
      </w:pPr>
      <w:r>
        <w:rPr>
          <w:rFonts w:ascii="Times New Roman" w:hAnsi="Times New Roman" w:eastAsia="DFKai-SB" w:cs="Times New Roman"/>
          <w:b/>
          <w:sz w:val="24"/>
        </w:rPr>
        <w:t>表 4-3 Chi-square + SVM 與 Chi-square + MNIR + SVM 之 Macro F1 比較</w:t>
      </w:r>
    </w:p>
    <w:p>
      <w:pPr>
        <w:spacing w:line="240" w:lineRule="auto" w:before="0" w:after="60"/>
        <w:ind w:firstLine="420"/>
        <w:jc w:val="both"/>
      </w:pPr>
      <w:r>
        <w:rPr>
          <w:rFonts w:ascii="Times New Roman" w:hAnsi="Times New Roman" w:eastAsia="DFKai-SB" w:cs="Times New Roman"/>
          <w:b w:val="0"/>
          <w:sz w:val="24"/>
        </w:rPr>
        <w:t>結果顯示，Chi-square + SVM 在四類案件資料集中的 Macro F1 均高於 Chi-square + MNIR + SVM。行政、民事、刑事與刑事附帶民事資料集之差值分別為 0.073、0.075、0.187 與 0.109，且四類資料集的 95% bootstrap 信賴區間皆未包含 0。此結果表示，在本研究固定資料集劃分、固定訓練結果與固定測試集下，Chi-square + SVM 的分類表現較佳，且此差異在測試樣本重抽樣下具有一定穩定性。其中，刑事案件之差距最大， 為 0.187；刑事附帶民事案件之信賴區間最寬，表示其差異估計的不確定性相對較高。</w:t>
      </w:r>
    </w:p>
    <w:p>
      <w:pPr>
        <w:spacing w:line="240" w:lineRule="auto" w:before="0" w:after="60"/>
        <w:ind w:firstLine="420"/>
        <w:jc w:val="both"/>
      </w:pPr>
      <w:r>
        <w:rPr>
          <w:rFonts w:ascii="Times New Roman" w:hAnsi="Times New Roman" w:eastAsia="DFKai-SB" w:cs="Times New Roman"/>
          <w:b w:val="0"/>
          <w:sz w:val="24"/>
        </w:rPr>
        <w:t>整體而言，四類資料集結果方向一致，顯示在本研究資料與超參數設定下，Chi-square + SVM 對比 Chi-square + MNIR + SVM 取得較佳分類表現。換言之，在本研究的實驗設定中，加入 MNIR 特徵轉換並未在 Chi-square + SVM 的基礎上帶來額外分類增益。此一結果可從法律文本特性、特徵壓縮效果與高維稀疏表示三個面向加以理解。</w:t>
      </w:r>
    </w:p>
    <w:p>
      <w:pPr>
        <w:spacing w:line="240" w:lineRule="auto" w:before="0" w:after="60"/>
        <w:ind w:firstLine="420"/>
        <w:jc w:val="both"/>
      </w:pPr>
      <w:r>
        <w:rPr>
          <w:rFonts w:ascii="Times New Roman" w:hAnsi="Times New Roman" w:eastAsia="DFKai-SB" w:cs="Times New Roman"/>
          <w:b w:val="0"/>
          <w:sz w:val="24"/>
        </w:rPr>
        <w:t>第一，法律判決文本具有高度制度化與專業化的語言特性，許多詞彙本身即帶有明確的法律程序、請求類型或裁判理由訊號。例如智慧財產權判決中常見的侵權、損害賠償、商標、著作權、專利範圍、行政處分、訴願決定等詞彙，可能已能反映不同案件類型與裁判結果之差異。因此，在經過 Chi-square 特徵選擇後，Chi-square + SVM 可直接利用這些具有判別力的稀疏詞彙特徵進行分類，不一定需要再透過 MNIR 將其轉換為低維表徵。此點也可與表 4-4 相互呼應：行政案件與刑事附帶民事案件中 BoW 表現相對較佳，顯示在部分法律文本情境下，詞彙是否出現或出現次數本身即具有重要分類訊號。</w:t>
      </w:r>
    </w:p>
    <w:p>
      <w:pPr>
        <w:spacing w:line="240" w:lineRule="auto" w:before="0" w:after="60"/>
        <w:ind w:firstLine="420"/>
        <w:jc w:val="both"/>
      </w:pPr>
      <w:r>
        <w:rPr>
          <w:rFonts w:ascii="Times New Roman" w:hAnsi="Times New Roman" w:eastAsia="DFKai-SB" w:cs="Times New Roman"/>
          <w:b w:val="0"/>
          <w:sz w:val="24"/>
        </w:rPr>
        <w:t>第二，MNIR 的優點在於將高維文字特徵轉換為較低維、與裁判結果相關的充分縮減分數；然而，降維本身也可能造成資訊壓縮的代價。特別是在本研究的三類裁判結果分類任務中，Mixed 與 Win 類別樣本數相對較少，且其文字特徵可能較分散或與 Lose 類別重疊。若 MNIR 在轉換過程中主要保留能解釋整體類別差異的主要方向，部分屬於少數類別的細部詞彙訊號可能被壓縮或平滑，導致模型對少數類別的辨識能力未能提升，甚至使 Macro F1 下降。換言之，MNIR 並非無效，而是在本研究資料結構下，其低維化過程可能未能完整保留少數類別所需的判別訊息。</w:t>
      </w:r>
    </w:p>
    <w:p>
      <w:pPr>
        <w:spacing w:line="240" w:lineRule="auto" w:before="0" w:after="60"/>
        <w:ind w:firstLine="420"/>
        <w:jc w:val="both"/>
      </w:pPr>
      <w:r>
        <w:rPr>
          <w:rFonts w:ascii="Times New Roman" w:hAnsi="Times New Roman" w:eastAsia="DFKai-SB" w:cs="Times New Roman"/>
          <w:b w:val="0"/>
          <w:sz w:val="24"/>
        </w:rPr>
        <w:t>第三，本研究結果亦可能反映 SVM 對高維稀疏資料之處理能力，以及 MNIR 線性特徵轉換所帶來的資訊壓縮差異。裁判文本經 BoW、TF 或 TF-IDF 轉換後，本身已形成高維且稀疏的文字特徵空間。Chi-square + SVM 保留卡方篩選後的多個詞彙維度，使 SVM 可直接在此高維特徵空間中尋找具有較大分類間隔的決策邊界。由於文本分類訊號可能分散於大量專門詞彙、程序用語、請求類型與裁判理由詞彙中，保留較完整的高維稀疏結構，可能有助於 SVM 利用不同詞彙維度之組合區分 Lose、Mixed 與 Win 三類裁判結果。相較之下，MNIR 係依據估計所得的詞彙負載方向，將高維文字特徵投影為較少數的充分縮減分數。此種監督式特徵轉換雖可降低特徵維度與模型計算負擔，但其本質仍是將原始文字特徵壓縮至較低維空間。若裁判結果之判別訊號分散於多個詞彙維度，或不同類別之間的差異無法由少數投影方向完整保留，則 MNIR 的低維轉換可能造成部分判別資訊流失，使後續 SVM 可利用的分類訊號減少。因此，在本研究資料中，Chi-square + SVM 直接保留高維稀疏文字特徵，可能比先經 MNIR 轉換為低維充分縮減分數，更有利於 SVM 建立分類邊界。此一解釋並不代表低維轉換必然不利，而是表示當原始高維詞彙空間已經過 Chi-square 篩選，且仍包含分散於不同詞彙維度的有效分類訊號時，進一步進行 MNIR 降維未必能帶來額外效益。</w:t>
      </w:r>
    </w:p>
    <w:p>
      <w:pPr>
        <w:spacing w:line="240" w:lineRule="auto" w:before="0" w:after="60"/>
        <w:ind w:firstLine="420"/>
        <w:jc w:val="both"/>
      </w:pPr>
      <w:r>
        <w:rPr>
          <w:rFonts w:ascii="Times New Roman" w:hAnsi="Times New Roman" w:eastAsia="DFKai-SB" w:cs="Times New Roman"/>
          <w:b w:val="0"/>
          <w:sz w:val="24"/>
        </w:rPr>
        <w:t>綜合而言，Chi-square + SVM 優於 Chi-square + MNIR + SVM 的結果，不宜解讀為 MNIR 方法本身缺乏價值，而應限縮理解為：在本研究已先透過 Chi-square 篩選高關聯詞彙，且法律文本之分類訊號可能分散於多個高維詞彙特徵的情況下，SVM 直接利用高維稀疏特徵建立分類邊界，可能比先經 MNIR 投影為低維充分縮減分數，更能保留裁判結果分類所需的細部資訊。此結果說明，降維或特徵轉換並不必然提升法律文本分類表現，其效果仍取決於原始資料結構、分類訊號分布與下游分類器之特性。</w:t>
      </w:r>
    </w:p>
    <w:p>
      <w:pPr>
        <w:pStyle w:val="Heading2"/>
        <w:spacing w:line="240" w:lineRule="auto" w:before="120" w:after="60"/>
        <w:jc w:val="left"/>
      </w:pPr>
      <w:r>
        <w:rPr>
          <w:rFonts w:ascii="Times New Roman" w:hAnsi="Times New Roman" w:eastAsia="DFKai-SB" w:cs="Times New Roman"/>
          <w:b/>
          <w:sz w:val="28"/>
        </w:rPr>
        <w:t>4.5 不同文字特徵表示之影響</w:t>
      </w:r>
    </w:p>
    <w:p>
      <w:pPr>
        <w:spacing w:line="240" w:lineRule="auto" w:before="0" w:after="60"/>
        <w:ind w:firstLine="420"/>
        <w:jc w:val="both"/>
      </w:pPr>
      <w:r>
        <w:rPr>
          <w:rFonts w:ascii="Times New Roman" w:hAnsi="Times New Roman" w:eastAsia="DFKai-SB" w:cs="Times New Roman"/>
          <w:b w:val="0"/>
          <w:sz w:val="24"/>
        </w:rPr>
        <w:t>為比較不同文字特徵表示對分類結果的影響，本研究在相同文本版本與相同 Chi-square + SVM 模型流程下，分別使用 BoW、TF 與 TF-IDF 進行分析，其測試結果如表 4-4 與圖 4-2 所示。</w:t>
      </w:r>
    </w:p>
    <w:p>
      <w:pPr>
        <w:spacing w:line="240" w:lineRule="auto" w:before="0" w:after="40"/>
        <w:jc w:val="center"/>
      </w:pPr>
      <w:r>
        <w:rPr>
          <w:rFonts w:ascii="Times New Roman" w:hAnsi="Times New Roman" w:eastAsia="DFKai-SB" w:cs="Times New Roman"/>
          <w:b/>
          <w:sz w:val="24"/>
        </w:rPr>
        <w:t>表 4-4 Chi-square + SVM 下 BoW、TF、TF-IDF 之 Macro F1</w:t>
      </w:r>
    </w:p>
    <w:p>
      <w:pPr>
        <w:spacing w:line="240" w:lineRule="auto" w:before="0" w:after="60"/>
        <w:ind w:firstLine="420"/>
        <w:jc w:val="both"/>
      </w:pPr>
      <w:r>
        <w:rPr>
          <w:rFonts w:ascii="Times New Roman" w:hAnsi="Times New Roman" w:eastAsia="DFKai-SB" w:cs="Times New Roman"/>
          <w:b w:val="0"/>
          <w:sz w:val="24"/>
        </w:rPr>
        <w:t>結果顯示，不同案件類型下表現較佳的文字特徵表示並不一致。行政案件以 BoW 表現最高，Macro F1 為 0.392；民事案件以 TF-IDF 表現最高，為 0.428；刑事案件以 TF 表現最高，為 0.577；刑事附帶民事案件則以 BoW 表現最高，為 0.654。不過，部分資料集中三種文字特徵表示的表現差距有限，因此不宜過度解讀單一特徵表示的優劣。例如，行政案件中 BoW 與 TF-IDF 的 Macro F1 分別為 0.392 與 0.375，差距有限；刑事案件中 TF、BoW 與 TF-IDF 分別為 0.577、0.564 與 0.562，三者表現亦相近。相較之下，刑事附帶民事案件中，BoW 的 Macro F1 為 0.654，明顯高於 TF 的 0.580 與 TF-IDF 的 0.572，顯示原始詞頻或詞項出現資訊可能較能保留該類案件中與裁判結果相關的分類訊號。</w:t>
      </w:r>
    </w:p>
    <w:p>
      <w:pPr>
        <w:spacing w:line="240" w:lineRule="auto" w:before="0" w:after="60"/>
        <w:ind w:firstLine="420"/>
        <w:jc w:val="both"/>
      </w:pPr>
      <w:r>
        <w:rPr>
          <w:rFonts w:ascii="Times New Roman" w:hAnsi="Times New Roman" w:eastAsia="DFKai-SB" w:cs="Times New Roman"/>
          <w:b w:val="0"/>
          <w:sz w:val="24"/>
        </w:rPr>
        <w:t>第一，BoW 保留詞彙是否出現或出現次數的資訊。若某些案件類型的分類訊號主要來自程序用語、請求類型、案件事實描述或法律爭點詞彙，則 BoW 可能已足以捕捉重要分類訊號。行政案件與刑事附帶民事案件中 BoW 表現較佳，可能即與此有關。</w:t>
      </w:r>
    </w:p>
    <w:p>
      <w:pPr>
        <w:spacing w:line="240" w:lineRule="auto" w:before="0" w:after="60"/>
        <w:ind w:firstLine="420"/>
        <w:jc w:val="both"/>
      </w:pPr>
      <w:r>
        <w:rPr>
          <w:rFonts w:ascii="Times New Roman" w:hAnsi="Times New Roman" w:eastAsia="DFKai-SB" w:cs="Times New Roman"/>
          <w:b w:val="0"/>
          <w:sz w:val="24"/>
        </w:rPr>
        <w:t>第二，TF 可反映詞彙在單一文本中的相對出現比例。相較於 BoW，TF 較能降低文本長度差異對原始詞頻的影響。因此，若刑事案件中的分類訊號與特定犯罪事實、行為描述或法律用語的相對出現比例有關，TF 便可能取得較佳表現。</w:t>
      </w:r>
    </w:p>
    <w:p>
      <w:pPr>
        <w:spacing w:line="240" w:lineRule="auto" w:before="0" w:after="60"/>
        <w:ind w:firstLine="420"/>
        <w:jc w:val="both"/>
      </w:pPr>
      <w:r>
        <w:rPr>
          <w:rFonts w:ascii="Times New Roman" w:hAnsi="Times New Roman" w:eastAsia="DFKai-SB" w:cs="Times New Roman"/>
          <w:b w:val="0"/>
          <w:sz w:val="24"/>
        </w:rPr>
        <w:t>第三，TF-IDF 會降低普遍詞彙的影響，並提高相對稀有詞彙的權重。民事智慧財產權案件常涉及特定權利主張、損害賠償、技術爭點或法律概念。這些詞彙未必在所有文件中頻繁出現，但可能具有較高判別力。因此，TF-IDF 可能有助於強化民事案件中較具專屬性的分類訊號。</w:t>
      </w:r>
    </w:p>
    <w:p>
      <w:pPr>
        <w:pStyle w:val="Heading2"/>
        <w:spacing w:line="240" w:lineRule="auto" w:before="120" w:after="60"/>
        <w:jc w:val="left"/>
      </w:pPr>
      <w:r>
        <w:rPr>
          <w:rFonts w:ascii="Times New Roman" w:hAnsi="Times New Roman" w:eastAsia="DFKai-SB" w:cs="Times New Roman"/>
          <w:b/>
          <w:sz w:val="28"/>
        </w:rPr>
        <w:t>4.6 參數選擇與驗證集表現</w:t>
      </w:r>
    </w:p>
    <w:p>
      <w:pPr>
        <w:pStyle w:val="Heading2"/>
        <w:spacing w:line="240" w:lineRule="auto" w:before="120" w:after="60"/>
        <w:jc w:val="left"/>
      </w:pPr>
      <w:r>
        <w:rPr>
          <w:rFonts w:ascii="Times New Roman" w:hAnsi="Times New Roman" w:eastAsia="DFKai-SB" w:cs="Times New Roman"/>
          <w:b/>
          <w:sz w:val="28"/>
        </w:rPr>
        <w:t>4.7 錯誤分析與少數類別限制</w:t>
      </w:r>
    </w:p>
    <w:p>
      <w:pPr>
        <w:pStyle w:val="Heading2"/>
        <w:spacing w:line="240" w:lineRule="auto" w:before="120" w:after="60"/>
        <w:jc w:val="left"/>
      </w:pPr>
      <w:r>
        <w:rPr>
          <w:rFonts w:ascii="Times New Roman" w:hAnsi="Times New Roman" w:eastAsia="DFKai-SB" w:cs="Times New Roman"/>
          <w:b/>
          <w:sz w:val="28"/>
        </w:rPr>
        <w:t>4.8 小結</w:t>
      </w:r>
    </w:p>
    <w:p>
      <w:pPr>
        <w:pStyle w:val="Heading1"/>
        <w:spacing w:line="240" w:lineRule="auto" w:before="160" w:after="120"/>
        <w:jc w:val="center"/>
      </w:pPr>
      <w:r>
        <w:rPr>
          <w:rFonts w:ascii="Times New Roman" w:hAnsi="Times New Roman" w:eastAsia="DFKai-SB" w:cs="Times New Roman"/>
          <w:b/>
          <w:sz w:val="32"/>
        </w:rPr>
        <w:t>第五章 結論與建議</w:t>
      </w:r>
    </w:p>
    <w:p>
      <w:pPr>
        <w:pStyle w:val="Heading2"/>
        <w:spacing w:line="240" w:lineRule="auto" w:before="120" w:after="60"/>
        <w:jc w:val="left"/>
      </w:pPr>
      <w:r>
        <w:rPr>
          <w:rFonts w:ascii="Times New Roman" w:hAnsi="Times New Roman" w:eastAsia="DFKai-SB" w:cs="Times New Roman"/>
          <w:b/>
          <w:sz w:val="28"/>
        </w:rPr>
        <w:t>5.1 研究結論</w:t>
      </w:r>
    </w:p>
    <w:p>
      <w:pPr>
        <w:spacing w:line="240" w:lineRule="auto" w:before="0" w:after="60"/>
        <w:ind w:firstLine="420"/>
        <w:jc w:val="both"/>
      </w:pPr>
      <w:r>
        <w:rPr>
          <w:rFonts w:ascii="Times New Roman" w:hAnsi="Times New Roman" w:eastAsia="DFKai-SB" w:cs="Times New Roman"/>
          <w:b w:val="0"/>
          <w:sz w:val="24"/>
        </w:rPr>
        <w:t>本研究以臺灣智慧財產權相關裁判書為研究對象，透過文字探勘與機器學習方法，建立裁判結果分類模型，並將裁判結果整理為敗訴、部分勝訴與勝訴三類。本研究進一步依案件類型將資料區分為行政、民事、刑事與刑事附帶民事案件，分別檢驗不同案件類型下模型之分類表現。此一設計使本研究不僅能觀察整體模型表現，也能進一步檢視模型在不同裁判結果類別上的辨識能力，尤其是部分勝訴與勝訴等樣本數較少、語意界線可能較不明確之類別。既有法律判決預測文獻中，確有研究採用二元結果設定，例如歐洲人權法院案件中是否違反公約條文之預測，或智慧財產權訴訟中專利權人勝訴與被告勝訴之預測。惟法律判決預測任務本身並不限於二元分類，亦包含法條預測、罪名預測、刑期預測、多標籤分類與多任務學習等形式。因此，本研究並不主張過去文獻皆以二元分類為主，而是聚焦於臺灣智慧財產權判決文本脈絡下，建立敗訴、部分勝訴與勝訴三類裁判結果之分類流程，並分析模型在不同案件類型與不同結果類別上的辨識差異。</w:t>
      </w:r>
    </w:p>
    <w:p>
      <w:pPr>
        <w:spacing w:line="240" w:lineRule="auto" w:before="0" w:after="60"/>
        <w:ind w:firstLine="420"/>
        <w:jc w:val="both"/>
      </w:pPr>
      <w:r>
        <w:rPr>
          <w:rFonts w:ascii="Times New Roman" w:hAnsi="Times New Roman" w:eastAsia="DFKai-SB" w:cs="Times New Roman"/>
          <w:b w:val="0"/>
          <w:sz w:val="24"/>
        </w:rPr>
        <w:t>本研究首先以 Chi-square + MNIR + SVM 作為核心技術流程，目的在於檢驗 MNIR 監督式特徵轉換是否能將高維法律文本特徵轉換為較具判別力的低維表示，進而改善裁判結果分類。然而，實證結果顯示，在本研究資料、標籤設定與超參數範圍下，Chi-square + MNIR + SVM 雖可形成一套可執行的分類流程，但相較於 Chi-square + SVM 未取得更佳表現。四類案件資料集中，Chi-square + SVM 的 Macro F1 皆高於 Chi-square + MNIR + SVM，顯示卡方特徵選擇後的稀疏文字特徵已保留相當程度與裁判結果相關的分類訊息。因此，本研究並不將此結果解讀為 MNIR 方法本身無效，而是指出在本研究任務中，直接使用篩選後之高維稀疏詞彙特徵，反而較能保留分類所需訊息。其次，不同文字特徵表示在不同案件類型下呈現不同效果。BoW、TF 與 TF-IDF 並無單一方法在所有案件類型中皆為最佳。行政與刑事附帶民事案件中，BoW 表現相對較佳；民事案件中，TF-IDF 表現相對較佳；刑事案件中，TF 表現相對較佳。此結果說明，法律文本分類不宜預設某一種文字表示必然優於其他方法，而應依案件類型、文本結構與詞彙分布進行比較。最後，錯誤分析顯示，模型主要限制並非整體分數不足，而是少數類別辨識能力有限。以民事案件為例，模型對敗訴類別具有較佳辨識能力，但對部分勝訴與勝訴類別表現明顯較弱。</w:t>
      </w:r>
    </w:p>
    <w:p>
      <w:pPr>
        <w:spacing w:line="240" w:lineRule="auto" w:before="0" w:after="60"/>
        <w:ind w:firstLine="420"/>
        <w:jc w:val="both"/>
      </w:pPr>
      <w:r>
        <w:rPr>
          <w:rFonts w:ascii="Times New Roman" w:hAnsi="Times New Roman" w:eastAsia="DFKai-SB" w:cs="Times New Roman"/>
          <w:b w:val="0"/>
          <w:sz w:val="24"/>
        </w:rPr>
        <w:t>混淆矩陣顯示，許多 Mixed 與 Win 樣本被誤判為 Lose，表示模型仍有偏向多數類別的傾向。此結果說明，即使模型整體 Accuracy 與 Macro F1 高於基準模型，也不能直接解讀為模型已能完整預測所有裁判結果。較精確地說，本研究模型能在主要類別上形成一定分類能力，但對少數且語意界線較模糊的裁判結果仍存在明顯限制。</w:t>
      </w:r>
    </w:p>
    <w:p>
      <w:pPr>
        <w:pStyle w:val="Heading2"/>
        <w:spacing w:line="240" w:lineRule="auto" w:before="120" w:after="60"/>
        <w:jc w:val="left"/>
      </w:pPr>
      <w:r>
        <w:rPr>
          <w:rFonts w:ascii="Times New Roman" w:hAnsi="Times New Roman" w:eastAsia="DFKai-SB" w:cs="Times New Roman"/>
          <w:b/>
          <w:sz w:val="28"/>
        </w:rPr>
        <w:t>5.2 研究貢獻</w:t>
      </w:r>
    </w:p>
    <w:p>
      <w:pPr>
        <w:spacing w:line="240" w:lineRule="auto" w:before="0" w:after="60"/>
        <w:ind w:firstLine="420"/>
        <w:jc w:val="both"/>
      </w:pPr>
      <w:r>
        <w:rPr>
          <w:rFonts w:ascii="Times New Roman" w:hAnsi="Times New Roman" w:eastAsia="DFKai-SB" w:cs="Times New Roman"/>
          <w:b w:val="0"/>
          <w:sz w:val="24"/>
        </w:rPr>
        <w:t>本研究之貢獻可分為三個層面：理論貢獻、方法貢獻與實務貢獻。</w:t>
      </w:r>
    </w:p>
    <w:p>
      <w:pPr>
        <w:spacing w:line="240" w:lineRule="auto" w:before="0" w:after="60"/>
        <w:ind w:firstLine="420"/>
        <w:jc w:val="both"/>
      </w:pPr>
      <w:r>
        <w:rPr>
          <w:rFonts w:ascii="Times New Roman" w:hAnsi="Times New Roman" w:eastAsia="DFKai-SB" w:cs="Times New Roman"/>
          <w:b w:val="0"/>
          <w:sz w:val="24"/>
        </w:rPr>
        <w:t>第一，在理論貢獻方面，本研究補充法律文本分類與智慧財產權判決結果預測之相關研究。本文不僅檢驗模型能否分類裁判結果，也比較不同案件類型、文字特徵表示與模型流程之差異。研究結果顯示，BoW、TF 與 TF-IDF 並無單一方法在所有案件類型中皆為最佳。這表示法律文本分類效果會受到案件性質、文本結構與詞彙分布影響。因此，法律文本分類不宜預設單一特徵表示或模型流程必然適用於所有案件，而應依據案件類型與資料特性進行比較。此外，本研究亦檢驗 MNIR 監督式特徵轉換在中文智慧財產權判決文本分類中的適用性。MNIR 理論上可利用裁判結果反推詞彙分布方向，並將高維文字特徵轉換為低維表徵。然而，本研究結果顯示，在卡方特徵選擇已先保留高關聯詞彙的情況下，Chi-square + MNIR + SVM 未優於 Chi-square + SVM。此結果表示，在本研究資料、標籤設定與超參數範圍下，MNIR 的降維優勢並未轉化為較佳分類效果。相對地，卡方篩選後的高維稀疏詞彙特徵仍具有重要分類價值。因此，本研究對 MNIR 在中文智慧財產權判決文本分類中的適用條件與限制，提供了具體經驗證據。</w:t>
      </w:r>
    </w:p>
    <w:p>
      <w:pPr>
        <w:spacing w:line="240" w:lineRule="auto" w:before="0" w:after="60"/>
        <w:ind w:firstLine="420"/>
        <w:jc w:val="both"/>
      </w:pPr>
      <w:r>
        <w:rPr>
          <w:rFonts w:ascii="Times New Roman" w:hAnsi="Times New Roman" w:eastAsia="DFKai-SB" w:cs="Times New Roman"/>
          <w:b w:val="0"/>
          <w:sz w:val="24"/>
        </w:rPr>
        <w:t>第二，在方法貢獻方面，本研究建立一套可重複執行的智慧財產權判決文本分類流程。</w:t>
      </w:r>
    </w:p>
    <w:p>
      <w:pPr>
        <w:spacing w:line="240" w:lineRule="auto" w:before="0" w:after="60"/>
        <w:ind w:firstLine="420"/>
        <w:jc w:val="both"/>
      </w:pPr>
      <w:r>
        <w:rPr>
          <w:rFonts w:ascii="Times New Roman" w:hAnsi="Times New Roman" w:eastAsia="DFKai-SB" w:cs="Times New Roman"/>
          <w:b w:val="0"/>
          <w:sz w:val="24"/>
        </w:rPr>
        <w:t>本文之 baseline pipeline 包含以下步驟：</w:t>
      </w:r>
    </w:p>
    <w:p>
      <w:pPr>
        <w:spacing w:line="240" w:lineRule="auto" w:before="0" w:after="60"/>
        <w:ind w:firstLine="420"/>
        <w:jc w:val="both"/>
      </w:pPr>
      <w:r>
        <w:rPr>
          <w:rFonts w:ascii="Times New Roman" w:hAnsi="Times New Roman" w:eastAsia="DFKai-SB" w:cs="Times New Roman"/>
          <w:b w:val="0"/>
          <w:sz w:val="24"/>
        </w:rPr>
        <w:t>蒐集並篩選智慧財產權判決文本。</w:t>
      </w:r>
    </w:p>
    <w:p>
      <w:pPr>
        <w:spacing w:line="240" w:lineRule="auto" w:before="0" w:after="60"/>
        <w:ind w:firstLine="420"/>
        <w:jc w:val="both"/>
      </w:pPr>
      <w:r>
        <w:rPr>
          <w:rFonts w:ascii="Times New Roman" w:hAnsi="Times New Roman" w:eastAsia="DFKai-SB" w:cs="Times New Roman"/>
          <w:b w:val="0"/>
          <w:sz w:val="24"/>
        </w:rPr>
        <w:t>進行文本清理、停用詞移除與中文斷詞。</w:t>
      </w:r>
    </w:p>
    <w:p>
      <w:pPr>
        <w:spacing w:line="240" w:lineRule="auto" w:before="0" w:after="60"/>
        <w:ind w:firstLine="420"/>
        <w:jc w:val="both"/>
      </w:pPr>
      <w:r>
        <w:rPr>
          <w:rFonts w:ascii="Times New Roman" w:hAnsi="Times New Roman" w:eastAsia="DFKai-SB" w:cs="Times New Roman"/>
          <w:b w:val="0"/>
          <w:sz w:val="24"/>
        </w:rPr>
        <w:t>整理 Lose、Mixed 與 Win 三類裁判結果標籤。</w:t>
      </w:r>
    </w:p>
    <w:p>
      <w:pPr>
        <w:spacing w:line="240" w:lineRule="auto" w:before="0" w:after="60"/>
        <w:ind w:firstLine="420"/>
        <w:jc w:val="both"/>
      </w:pPr>
      <w:r>
        <w:rPr>
          <w:rFonts w:ascii="Times New Roman" w:hAnsi="Times New Roman" w:eastAsia="DFKai-SB" w:cs="Times New Roman"/>
          <w:b w:val="0"/>
          <w:sz w:val="24"/>
        </w:rPr>
        <w:t>建構 BoW、TF 與 TF-IDF 文字特徵。</w:t>
      </w:r>
    </w:p>
    <w:p>
      <w:pPr>
        <w:spacing w:line="240" w:lineRule="auto" w:before="0" w:after="60"/>
        <w:ind w:firstLine="420"/>
        <w:jc w:val="both"/>
      </w:pPr>
      <w:r>
        <w:rPr>
          <w:rFonts w:ascii="Times New Roman" w:hAnsi="Times New Roman" w:eastAsia="DFKai-SB" w:cs="Times New Roman"/>
          <w:b w:val="0"/>
          <w:sz w:val="24"/>
        </w:rPr>
        <w:t>使用 Chi-square 進行特徵選擇。</w:t>
      </w:r>
    </w:p>
    <w:p>
      <w:pPr>
        <w:spacing w:line="240" w:lineRule="auto" w:before="0" w:after="60"/>
        <w:ind w:firstLine="420"/>
        <w:jc w:val="both"/>
      </w:pPr>
      <w:r>
        <w:rPr>
          <w:rFonts w:ascii="Times New Roman" w:hAnsi="Times New Roman" w:eastAsia="DFKai-SB" w:cs="Times New Roman"/>
          <w:b w:val="0"/>
          <w:sz w:val="24"/>
        </w:rPr>
        <w:t>比較 Chi-square + MNIR + SVM 與 Chi-square + SVM 兩種模型流程。</w:t>
      </w:r>
    </w:p>
    <w:p>
      <w:pPr>
        <w:spacing w:line="240" w:lineRule="auto" w:before="0" w:after="60"/>
        <w:ind w:firstLine="420"/>
        <w:jc w:val="both"/>
      </w:pPr>
      <w:r>
        <w:rPr>
          <w:rFonts w:ascii="Times New Roman" w:hAnsi="Times New Roman" w:eastAsia="DFKai-SB" w:cs="Times New Roman"/>
          <w:b w:val="0"/>
          <w:sz w:val="24"/>
        </w:rPr>
        <w:t>以 Majority Class baseline 作為最低比較基準。</w:t>
      </w:r>
    </w:p>
    <w:p>
      <w:pPr>
        <w:spacing w:line="240" w:lineRule="auto" w:before="0" w:after="60"/>
        <w:ind w:firstLine="420"/>
        <w:jc w:val="both"/>
      </w:pPr>
      <w:r>
        <w:rPr>
          <w:rFonts w:ascii="Times New Roman" w:hAnsi="Times New Roman" w:eastAsia="DFKai-SB" w:cs="Times New Roman"/>
          <w:b w:val="0"/>
          <w:sz w:val="24"/>
        </w:rPr>
        <w:t>此一流程的價值不僅在於建立分類模型，也在於提供後續研究清楚的比較基準。後續研究若加入新的模型、特徵轉換方法或文字表示方式，即可檢驗其是否真正帶來額外改善。同時，由於本研究資料存在類別不平衡，本文並未僅以整體準確率判斷模型表現。本文進一步使用 Macro F1、分類報告與混淆矩陣，檢視模型在 Lose、Mixed 與 Win 三類結果上的辨識能力。此一評估方式有助於揭露 Mixed 與 Win 等少數類別的分類限制，避免模型因主要預測多數類別而被高估。</w:t>
      </w:r>
    </w:p>
    <w:p>
      <w:pPr>
        <w:spacing w:line="240" w:lineRule="auto" w:before="0" w:after="60"/>
        <w:ind w:firstLine="420"/>
        <w:jc w:val="both"/>
      </w:pPr>
      <w:r>
        <w:rPr>
          <w:rFonts w:ascii="Times New Roman" w:hAnsi="Times New Roman" w:eastAsia="DFKai-SB" w:cs="Times New Roman"/>
          <w:b w:val="0"/>
          <w:sz w:val="24"/>
        </w:rPr>
        <w:t>第三，在實務貢獻方面，本研究可作為智慧財產權判決文本整理與初步分類之參考。公開裁判書數量龐大。若完全仰賴人工閱讀與標記，將耗費大量時間與人力。本研究建立之分類流程，可協助研究者或實務工作者對大量智慧財產權判決進行初步整理。此流程亦可用於掌握不同案件類型與裁判結果分布，並作為後續人工審查、實證法律研究或法律科技系統開發的基礎。</w:t>
      </w:r>
    </w:p>
    <w:p>
      <w:pPr>
        <w:pStyle w:val="Heading2"/>
        <w:spacing w:line="240" w:lineRule="auto" w:before="120" w:after="60"/>
        <w:jc w:val="left"/>
      </w:pPr>
      <w:r>
        <w:rPr>
          <w:rFonts w:ascii="Times New Roman" w:hAnsi="Times New Roman" w:eastAsia="DFKai-SB" w:cs="Times New Roman"/>
          <w:b/>
          <w:sz w:val="28"/>
        </w:rPr>
        <w:t>5.3 研究限制</w:t>
      </w:r>
    </w:p>
    <w:p>
      <w:pPr>
        <w:spacing w:line="240" w:lineRule="auto" w:before="0" w:after="60"/>
        <w:ind w:firstLine="420"/>
        <w:jc w:val="both"/>
      </w:pPr>
      <w:r>
        <w:rPr>
          <w:rFonts w:ascii="Times New Roman" w:hAnsi="Times New Roman" w:eastAsia="DFKai-SB" w:cs="Times New Roman"/>
          <w:b w:val="0"/>
          <w:sz w:val="24"/>
        </w:rPr>
        <w:t>第一，本文仍無法完全排除資料洩漏可能。本研究雖已移除「駁回」、「有理由」、「准許」、「撤銷」等明顯裁判結果詞彙，以降低模型直接依賴結果詞彙的疑慮。然而，法律文本中仍可能存在間接線索。例如語境、請求類型、程序狀態或裁判理由結構，皆可能反映裁判結果。因此，本研究結果應理解為「移除明顯結果詞彙後」的模型比較，而非完全排除所有結果線索後的預測效果。</w:t>
      </w:r>
    </w:p>
    <w:p>
      <w:pPr>
        <w:spacing w:line="240" w:lineRule="auto" w:before="0" w:after="60"/>
        <w:ind w:firstLine="420"/>
        <w:jc w:val="both"/>
      </w:pPr>
      <w:r>
        <w:rPr>
          <w:rFonts w:ascii="Times New Roman" w:hAnsi="Times New Roman" w:eastAsia="DFKai-SB" w:cs="Times New Roman"/>
          <w:b w:val="0"/>
          <w:sz w:val="24"/>
        </w:rPr>
        <w:t>第二，本研究資料存在類別不平衡問題。部分案件類型中，Win 或 Mixed 樣本數相對較少。因此，模型較容易偏向預測 Lose 類別。即使本文以 Macro F1 作為主要評估指標，仍無法完全解決少數類別資料不足所造成的學習限制。尤其在民事案件錯誤分析中，Win 類別 recall 明顯偏低，顯示模型對少數類別仍有改善空間。</w:t>
      </w:r>
    </w:p>
    <w:p>
      <w:pPr>
        <w:spacing w:line="240" w:lineRule="auto" w:before="0" w:after="60"/>
        <w:ind w:firstLine="420"/>
        <w:jc w:val="both"/>
      </w:pPr>
      <w:r>
        <w:rPr>
          <w:rFonts w:ascii="Times New Roman" w:hAnsi="Times New Roman" w:eastAsia="DFKai-SB" w:cs="Times New Roman"/>
          <w:b w:val="0"/>
          <w:sz w:val="24"/>
        </w:rPr>
        <w:t>第三，裁判結果標籤可能存在邊界模糊。本研究將裁判結果整理為 Lose、Mixed 與 Win 三類。然而，Mixed 類別代表部分勝訴，其內部可能包含多種情形。例如部分請求成立、部分損害賠償金額被支持、部分權利範圍被認定，或不同當事人、不同爭點之間出現不同判斷結果。這些案件雖然皆被歸入 Mixed，但其法律意義與文本特徵未必一致。因此，模型對 Mixed 類別辨識較弱，除了受到樣本數影響外，也可能與標籤內部異質性有關。換言之，三類標籤設計有助於進行裁判結果分類，但仍無法完全呈現智慧財產權判決結果的細緻差異。</w:t>
      </w:r>
    </w:p>
    <w:p>
      <w:pPr>
        <w:spacing w:line="240" w:lineRule="auto" w:before="0" w:after="60"/>
        <w:ind w:firstLine="420"/>
        <w:jc w:val="both"/>
      </w:pPr>
      <w:r>
        <w:rPr>
          <w:rFonts w:ascii="Times New Roman" w:hAnsi="Times New Roman" w:eastAsia="DFKai-SB" w:cs="Times New Roman"/>
          <w:b w:val="0"/>
          <w:sz w:val="24"/>
        </w:rPr>
        <w:t>第四，本文尚未將裁判書不同段落完整分離。本研究主要以裁判書全文作為模型輸入。雖然本文已移除明顯裁判結果詞彙，但尚未將案件事實、當事人主張、法院理由與裁判主文進行完整分離。因此，模型仍是在整體判決文本上學習分類訊號，而非僅依據案件事實或特定理由段落進行分析。這表示文本中仍可能保留部分間接結果線索。例如程序狀態、爭點配置或理由結構。故本文結果較適合解讀為「判決文本分類」效果，而不宜直接解讀為模型僅依據案件事實即可預測裁判結果。後續研究若能分別使用案件事實、法院理由或主文前文本進行建模，將有助於更精確檢驗模型依賴哪些文本資訊。</w:t>
      </w:r>
    </w:p>
    <w:p>
      <w:pPr>
        <w:spacing w:line="240" w:lineRule="auto" w:before="0" w:after="60"/>
        <w:ind w:firstLine="420"/>
        <w:jc w:val="both"/>
      </w:pPr>
      <w:r>
        <w:rPr>
          <w:rFonts w:ascii="Times New Roman" w:hAnsi="Times New Roman" w:eastAsia="DFKai-SB" w:cs="Times New Roman"/>
          <w:b w:val="0"/>
          <w:sz w:val="24"/>
        </w:rPr>
        <w:t>第五，本文使用之稀疏文字特徵仍有語意限制。本研究主要以 BoW、TF 與 TF-IDF 進行建模。此類方法具備可解釋性與計算效率，但較難捕捉長距離語意關係、事實脈絡與法理推論結構。智慧財產權判決常涉及技術事實、權利範圍解釋與法律要件判斷。若僅依靠詞彙分布，可能無法完整呈現法院裁判理由。</w:t>
      </w:r>
    </w:p>
    <w:p>
      <w:pPr>
        <w:spacing w:line="240" w:lineRule="auto" w:before="0" w:after="60"/>
        <w:ind w:firstLine="420"/>
        <w:jc w:val="both"/>
      </w:pPr>
      <w:r>
        <w:rPr>
          <w:rFonts w:ascii="Times New Roman" w:hAnsi="Times New Roman" w:eastAsia="DFKai-SB" w:cs="Times New Roman"/>
          <w:b w:val="0"/>
          <w:sz w:val="24"/>
        </w:rPr>
        <w:t>第六，MNIR 結果不宜過度推論。本研究結果顯示，Chi-square + MNIR + SVM 相較於 Chi-square + SVM 未取得較佳表現。然而，此結果應限縮於本文資料、標籤設定、文本處理方式與超參數範圍之下。本文不能據此推論 MNIR 在所有法律文本分類任務中皆不具效果。若後續研究採用不同案件類型、不同標籤設計、不同特徵數設定、重複交叉驗證或其他下游分類器，MNIR 仍可能在特定資料情境下展現不同效果。</w:t>
      </w:r>
    </w:p>
    <w:p>
      <w:pPr>
        <w:spacing w:line="240" w:lineRule="auto" w:before="0" w:after="60"/>
        <w:ind w:firstLine="420"/>
        <w:jc w:val="both"/>
      </w:pPr>
      <w:r>
        <w:rPr>
          <w:rFonts w:ascii="Times New Roman" w:hAnsi="Times New Roman" w:eastAsia="DFKai-SB" w:cs="Times New Roman"/>
          <w:b w:val="0"/>
          <w:sz w:val="24"/>
        </w:rPr>
        <w:t>第七，本文採固定資料集劃分。本研究使用固定訓練集、驗證集與測試集進行模型訓練與評估。此設計可建立清楚且可重複的實驗流程。然而，單次資料集劃分結果仍可能受到特定樣本分布影響。</w:t>
      </w:r>
    </w:p>
    <w:p>
      <w:pPr>
        <w:spacing w:line="240" w:lineRule="auto" w:before="0" w:after="60"/>
        <w:ind w:firstLine="420"/>
        <w:jc w:val="both"/>
      </w:pPr>
      <w:r>
        <w:rPr>
          <w:rFonts w:ascii="Times New Roman" w:hAnsi="Times New Roman" w:eastAsia="DFKai-SB" w:cs="Times New Roman"/>
          <w:b w:val="0"/>
          <w:sz w:val="24"/>
        </w:rPr>
        <w:t>第八，本文資料限於公開裁判書。本研究資料係以公開裁判書為主要來源。因此，本文僅能觀察最終進入裁判並形成裁判書之案件。實務上，部分智慧財產權紛爭可能透過和解、撤回或其他方式結束。此類案件通常不會完整呈現在裁判書資料中，也未必形成可供本文分類的明確裁判結果。因此，本文模型分析的對象，主要是具有明確裁判結果的公開判決案件。本文尚未納入和解案件所反映的訴訟策略、風險評估與案件強弱訊息。此一限制表示，本研究結果不宜直接推論至所有智慧財產權紛爭，而應限縮於公開裁判書中具備明確裁判結果之案件。</w:t>
      </w:r>
    </w:p>
    <w:p>
      <w:pPr>
        <w:pStyle w:val="Heading2"/>
        <w:spacing w:line="240" w:lineRule="auto" w:before="120" w:after="60"/>
        <w:jc w:val="left"/>
      </w:pPr>
      <w:r>
        <w:rPr>
          <w:rFonts w:ascii="Times New Roman" w:hAnsi="Times New Roman" w:eastAsia="DFKai-SB" w:cs="Times New Roman"/>
          <w:b/>
          <w:sz w:val="28"/>
        </w:rPr>
        <w:t>5.4 研究結果之建議</w:t>
      </w:r>
    </w:p>
    <w:p>
      <w:pPr>
        <w:spacing w:line="240" w:lineRule="auto" w:before="0" w:after="40"/>
        <w:jc w:val="center"/>
      </w:pPr>
      <w:r>
        <w:rPr>
          <w:rFonts w:ascii="Times New Roman" w:hAnsi="Times New Roman" w:eastAsia="DFKai-SB" w:cs="Times New Roman"/>
          <w:b/>
          <w:sz w:val="24"/>
        </w:rPr>
        <w:t>Table 4 Main findings and implications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spacing w:line="240" w:lineRule="auto" w:after="0"/>
              <w:jc w:val="center"/>
            </w:pPr>
            <w:r/>
            <w:r>
              <w:rPr>
                <w:rFonts w:ascii="Times New Roman" w:hAnsi="Times New Roman" w:eastAsia="DFKai-SB" w:cs="Times New Roman"/>
                <w:b/>
                <w:sz w:val="18"/>
              </w:rPr>
              <w:t>Finding</w:t>
            </w:r>
          </w:p>
        </w:tc>
        <w:tc>
          <w:tcPr>
            <w:tcW w:type="dxa" w:w="3024"/>
            <w:vAlign w:val="center"/>
          </w:tcPr>
          <w:p>
            <w:pPr>
              <w:spacing w:line="240" w:lineRule="auto" w:after="0"/>
              <w:jc w:val="center"/>
            </w:pPr>
            <w:r/>
            <w:r>
              <w:rPr>
                <w:rFonts w:ascii="Times New Roman" w:hAnsi="Times New Roman" w:eastAsia="DFKai-SB" w:cs="Times New Roman"/>
                <w:b/>
                <w:sz w:val="18"/>
              </w:rPr>
              <w:t>Meaning</w:t>
            </w:r>
          </w:p>
        </w:tc>
        <w:tc>
          <w:tcPr>
            <w:tcW w:type="dxa" w:w="3024"/>
            <w:vAlign w:val="center"/>
          </w:tcPr>
          <w:p>
            <w:pPr>
              <w:spacing w:line="240" w:lineRule="auto" w:after="0"/>
              <w:jc w:val="center"/>
            </w:pPr>
            <w:r/>
            <w:r>
              <w:rPr>
                <w:rFonts w:ascii="Times New Roman" w:hAnsi="Times New Roman" w:eastAsia="DFKai-SB" w:cs="Times New Roman"/>
                <w:b/>
                <w:sz w:val="18"/>
              </w:rPr>
              <w:t>Implication</w:t>
            </w:r>
          </w:p>
        </w:tc>
      </w:tr>
      <w:tr>
        <w:tc>
          <w:tcPr>
            <w:tcW w:type="dxa" w:w="3024"/>
            <w:vAlign w:val="center"/>
          </w:tcPr>
          <w:p>
            <w:pPr>
              <w:spacing w:line="240" w:lineRule="auto" w:after="0"/>
              <w:jc w:val="left"/>
            </w:pPr>
            <w:r/>
            <w:r>
              <w:rPr>
                <w:rFonts w:ascii="Times New Roman" w:hAnsi="Times New Roman" w:eastAsia="DFKai-SB" w:cs="Times New Roman"/>
                <w:b w:val="0"/>
                <w:sz w:val="17"/>
              </w:rPr>
              <w:t>Direct SVM outperformed MNIR+SVM</w:t>
            </w:r>
          </w:p>
        </w:tc>
        <w:tc>
          <w:tcPr>
            <w:tcW w:type="dxa" w:w="3024"/>
            <w:vAlign w:val="center"/>
          </w:tcPr>
          <w:p>
            <w:pPr>
              <w:spacing w:line="240" w:lineRule="auto" w:after="0"/>
              <w:jc w:val="center"/>
            </w:pPr>
            <w:r/>
            <w:r>
              <w:rPr>
                <w:rFonts w:ascii="Times New Roman" w:hAnsi="Times New Roman" w:eastAsia="DFKai-SB" w:cs="Times New Roman"/>
                <w:b w:val="0"/>
                <w:sz w:val="17"/>
              </w:rPr>
              <w:t>Sparse high-dimensional features remained informative</w:t>
            </w:r>
          </w:p>
        </w:tc>
        <w:tc>
          <w:tcPr>
            <w:tcW w:type="dxa" w:w="3024"/>
            <w:vAlign w:val="center"/>
          </w:tcPr>
          <w:p>
            <w:pPr>
              <w:spacing w:line="240" w:lineRule="auto" w:after="0"/>
              <w:jc w:val="left"/>
            </w:pPr>
            <w:r/>
            <w:r>
              <w:rPr>
                <w:rFonts w:ascii="Times New Roman" w:hAnsi="Times New Roman" w:eastAsia="DFKai-SB" w:cs="Times New Roman"/>
                <w:b w:val="0"/>
                <w:sz w:val="17"/>
              </w:rPr>
              <w:t>Use a stable interpretable baseline first</w:t>
            </w:r>
          </w:p>
        </w:tc>
      </w:tr>
      <w:tr>
        <w:tc>
          <w:tcPr>
            <w:tcW w:type="dxa" w:w="3024"/>
            <w:vAlign w:val="center"/>
          </w:tcPr>
          <w:p>
            <w:pPr>
              <w:spacing w:line="240" w:lineRule="auto" w:after="0"/>
              <w:jc w:val="left"/>
            </w:pPr>
            <w:r/>
            <w:r>
              <w:rPr>
                <w:rFonts w:ascii="Times New Roman" w:hAnsi="Times New Roman" w:eastAsia="DFKai-SB" w:cs="Times New Roman"/>
                <w:b w:val="0"/>
                <w:sz w:val="17"/>
              </w:rPr>
              <w:t>Best features differed by case type</w:t>
            </w:r>
          </w:p>
        </w:tc>
        <w:tc>
          <w:tcPr>
            <w:tcW w:type="dxa" w:w="3024"/>
            <w:vAlign w:val="center"/>
          </w:tcPr>
          <w:p>
            <w:pPr>
              <w:spacing w:line="240" w:lineRule="auto" w:after="0"/>
              <w:jc w:val="center"/>
            </w:pPr>
            <w:r/>
            <w:r>
              <w:rPr>
                <w:rFonts w:ascii="Times New Roman" w:hAnsi="Times New Roman" w:eastAsia="DFKai-SB" w:cs="Times New Roman"/>
                <w:b w:val="0"/>
                <w:sz w:val="17"/>
              </w:rPr>
              <w:t>Legal procedure changes text structure</w:t>
            </w:r>
          </w:p>
        </w:tc>
        <w:tc>
          <w:tcPr>
            <w:tcW w:type="dxa" w:w="3024"/>
            <w:vAlign w:val="center"/>
          </w:tcPr>
          <w:p>
            <w:pPr>
              <w:spacing w:line="240" w:lineRule="auto" w:after="0"/>
              <w:jc w:val="left"/>
            </w:pPr>
            <w:r/>
            <w:r>
              <w:rPr>
                <w:rFonts w:ascii="Times New Roman" w:hAnsi="Times New Roman" w:eastAsia="DFKai-SB" w:cs="Times New Roman"/>
                <w:b w:val="0"/>
                <w:sz w:val="17"/>
              </w:rPr>
              <w:t>Model comparison should be stratified</w:t>
            </w:r>
          </w:p>
        </w:tc>
      </w:tr>
      <w:tr>
        <w:tc>
          <w:tcPr>
            <w:tcW w:type="dxa" w:w="3024"/>
            <w:vAlign w:val="center"/>
          </w:tcPr>
          <w:p>
            <w:pPr>
              <w:spacing w:line="240" w:lineRule="auto" w:after="0"/>
              <w:jc w:val="left"/>
            </w:pPr>
            <w:r/>
            <w:r>
              <w:rPr>
                <w:rFonts w:ascii="Times New Roman" w:hAnsi="Times New Roman" w:eastAsia="DFKai-SB" w:cs="Times New Roman"/>
                <w:b w:val="0"/>
                <w:sz w:val="17"/>
              </w:rPr>
              <w:t>Accuracy may overstate performance</w:t>
            </w:r>
          </w:p>
        </w:tc>
        <w:tc>
          <w:tcPr>
            <w:tcW w:type="dxa" w:w="3024"/>
            <w:vAlign w:val="center"/>
          </w:tcPr>
          <w:p>
            <w:pPr>
              <w:spacing w:line="240" w:lineRule="auto" w:after="0"/>
              <w:jc w:val="center"/>
            </w:pPr>
            <w:r/>
            <w:r>
              <w:rPr>
                <w:rFonts w:ascii="Times New Roman" w:hAnsi="Times New Roman" w:eastAsia="DFKai-SB" w:cs="Times New Roman"/>
                <w:b w:val="0"/>
                <w:sz w:val="17"/>
              </w:rPr>
              <w:t>Majority classes dominate overall correctness</w:t>
            </w:r>
          </w:p>
        </w:tc>
        <w:tc>
          <w:tcPr>
            <w:tcW w:type="dxa" w:w="3024"/>
            <w:vAlign w:val="center"/>
          </w:tcPr>
          <w:p>
            <w:pPr>
              <w:spacing w:line="240" w:lineRule="auto" w:after="0"/>
              <w:jc w:val="left"/>
            </w:pPr>
            <w:r/>
            <w:r>
              <w:rPr>
                <w:rFonts w:ascii="Times New Roman" w:hAnsi="Times New Roman" w:eastAsia="DFKai-SB" w:cs="Times New Roman"/>
                <w:b w:val="0"/>
                <w:sz w:val="17"/>
              </w:rPr>
              <w:t>Report Macro F1 and confusion matrices</w:t>
            </w:r>
          </w:p>
        </w:tc>
      </w:tr>
    </w:tbl>
    <w:p>
      <w:pPr>
        <w:spacing w:after="40"/>
      </w:pPr>
    </w:p>
    <w:p>
      <w:pPr>
        <w:pStyle w:val="Heading3"/>
        <w:spacing w:line="240" w:lineRule="auto" w:before="60" w:after="40"/>
        <w:jc w:val="left"/>
      </w:pPr>
      <w:r>
        <w:rPr>
          <w:rFonts w:ascii="Times New Roman" w:hAnsi="Times New Roman" w:eastAsia="DFKai-SB" w:cs="Times New Roman"/>
          <w:b/>
          <w:sz w:val="24"/>
        </w:rPr>
        <w:t>5.4.1 對模型與特徵表示選擇之建議</w:t>
      </w:r>
    </w:p>
    <w:p>
      <w:pPr>
        <w:pStyle w:val="Heading3"/>
        <w:spacing w:line="240" w:lineRule="auto" w:before="60" w:after="40"/>
        <w:jc w:val="left"/>
      </w:pPr>
      <w:r>
        <w:rPr>
          <w:rFonts w:ascii="Times New Roman" w:hAnsi="Times New Roman" w:eastAsia="DFKai-SB" w:cs="Times New Roman"/>
          <w:b/>
          <w:sz w:val="24"/>
        </w:rPr>
        <w:t>5.4.2 對不同資料情境之模型選擇建議</w:t>
      </w:r>
    </w:p>
    <w:p>
      <w:pPr>
        <w:pStyle w:val="Heading3"/>
        <w:spacing w:line="240" w:lineRule="auto" w:before="60" w:after="40"/>
        <w:jc w:val="left"/>
      </w:pPr>
      <w:r>
        <w:rPr>
          <w:rFonts w:ascii="Times New Roman" w:hAnsi="Times New Roman" w:eastAsia="DFKai-SB" w:cs="Times New Roman"/>
          <w:b/>
          <w:sz w:val="24"/>
        </w:rPr>
        <w:t>5.4.3 對後續研究與實務應用之建議</w:t>
      </w:r>
    </w:p>
    <w:p>
      <w:pPr>
        <w:spacing w:line="240" w:lineRule="auto" w:before="0" w:after="60"/>
        <w:ind w:firstLine="420"/>
        <w:jc w:val="both"/>
      </w:pPr>
      <w:r>
        <w:rPr>
          <w:rFonts w:ascii="Times New Roman" w:hAnsi="Times New Roman" w:eastAsia="DFKai-SB" w:cs="Times New Roman"/>
          <w:b w:val="0"/>
          <w:sz w:val="24"/>
        </w:rPr>
        <w:t>第二，後續研究應進一步檢驗模型結果的穩定性。本研究採固定訓練集、驗證集與測試集劃分，能建立清楚且可重複的實驗流程。然而，單次資料集劃分結果仍可能受到特定樣本分布影響。若要提高結論穩健性，後續研究可加入重複隨機劃分、交叉驗證、bootstrap 重抽樣檢定，或不同年度區間的外部測試資料。特別是本研究資料橫跨較長期間，不同年度的案件數量、裁判用語與案件類型分布可能有所變化，因此未來可進一步檢驗模型在不同時間區間下是否維持相似表現。</w:t>
      </w:r>
    </w:p>
    <w:p>
      <w:pPr>
        <w:spacing w:line="240" w:lineRule="auto" w:before="0" w:after="60"/>
        <w:ind w:firstLine="420"/>
        <w:jc w:val="both"/>
      </w:pPr>
      <w:r>
        <w:rPr>
          <w:rFonts w:ascii="Times New Roman" w:hAnsi="Times New Roman" w:eastAsia="DFKai-SB" w:cs="Times New Roman"/>
          <w:b w:val="0"/>
          <w:sz w:val="24"/>
        </w:rPr>
        <w:t>第三，本研究結果顯示，少數類別辨識能力是後續模型改進的重要方向。錯誤分析顯示，模型容易將 Mixed 或 Win 類別誤判為 Lose 類別，反映模型表現仍受到類別不平衡與少數類別樣本不足影響。因此，未來研究可導入類別權重、過度抽樣、欠抽樣或其他不平衡資料處理方法，以提升模型對少數裁判結果類別的辨識能力。同時，模型改進效果不應僅以整體 Accuracy 判斷，而應搭配 Macro F1、各類別 F1-score 與混淆矩陣進行檢驗，以確認模型是否真正改善 Mixed 與 Win 等少數類別之表現。</w:t>
      </w:r>
    </w:p>
    <w:p>
      <w:pPr>
        <w:spacing w:line="240" w:lineRule="auto" w:before="0" w:after="60"/>
        <w:ind w:firstLine="420"/>
        <w:jc w:val="both"/>
      </w:pPr>
      <w:r>
        <w:rPr>
          <w:rFonts w:ascii="Times New Roman" w:hAnsi="Times New Roman" w:eastAsia="DFKai-SB" w:cs="Times New Roman"/>
          <w:b w:val="0"/>
          <w:sz w:val="24"/>
        </w:rPr>
        <w:t>第四，在實務應用上，模型輸出應被定位為輔助性資訊。模型可用於大量裁判書的初步分類、案件類型比較、研究樣本整理，或協助研究者快速辨識可能具有特定裁判結果特徵的案件。然而，智慧財產權案件常涉及技術事實、權利範圍、法律要件與法院裁量判斷，單純依據裁判文本詞彙分布仍不足以完整判斷個案結果。因此，模型結果應搭配法律專業審查與個案脈絡分析，而不宜單獨作為訴訟策略或法律意見之依據。</w:t>
      </w:r>
    </w:p>
    <w:p>
      <w:pPr>
        <w:pStyle w:val="Heading2"/>
        <w:spacing w:line="240" w:lineRule="auto" w:before="120" w:after="60"/>
        <w:jc w:val="left"/>
      </w:pPr>
      <w:r>
        <w:rPr>
          <w:rFonts w:ascii="Times New Roman" w:hAnsi="Times New Roman" w:eastAsia="DFKai-SB" w:cs="Times New Roman"/>
          <w:b/>
          <w:sz w:val="28"/>
        </w:rPr>
        <w:t>5.5 總結</w:t>
      </w:r>
    </w:p>
    <w:p>
      <w:pPr>
        <w:pStyle w:val="Heading1"/>
        <w:spacing w:line="240" w:lineRule="auto" w:before="160" w:after="120"/>
        <w:jc w:val="center"/>
      </w:pPr>
      <w:r>
        <w:rPr>
          <w:rFonts w:ascii="Times New Roman" w:hAnsi="Times New Roman" w:eastAsia="DFKai-SB" w:cs="Times New Roman"/>
          <w:b/>
          <w:sz w:val="32"/>
        </w:rPr>
        <w:t>參考文獻</w:t>
      </w:r>
    </w:p>
    <w:p>
      <w:pPr>
        <w:spacing w:line="240" w:lineRule="auto" w:before="0" w:after="40"/>
        <w:ind w:left="420" w:hanging="420"/>
      </w:pPr>
      <w:r>
        <w:rPr>
          <w:rFonts w:ascii="Times New Roman" w:hAnsi="Times New Roman" w:eastAsia="DFKai-SB" w:cs="Times New Roman"/>
          <w:b w:val="0"/>
          <w:sz w:val="20"/>
        </w:rPr>
        <w:t>法務部全國法規資料庫。（2023，4 月26 日）。智慧財產及商業法院組織法。全國法規資料庫。https://law.moj.gov.tw/LawClass/LawAll.aspx?pcode=A0010090</w:t>
      </w:r>
    </w:p>
    <w:p>
      <w:pPr>
        <w:spacing w:line="240" w:lineRule="auto" w:before="0" w:after="40"/>
        <w:ind w:left="420" w:hanging="420"/>
      </w:pPr>
      <w:r>
        <w:rPr>
          <w:rFonts w:ascii="Times New Roman" w:hAnsi="Times New Roman" w:eastAsia="DFKai-SB" w:cs="Times New Roman"/>
          <w:b w:val="0"/>
          <w:sz w:val="20"/>
        </w:rPr>
        <w:t>司法院。（2026，3 月31 日）。行政訴訟。司法院全球資訊網。https://www.judicial.gov.tw/tw/np-85-1.html</w:t>
      </w:r>
    </w:p>
    <w:p>
      <w:pPr>
        <w:spacing w:line="240" w:lineRule="auto" w:before="0" w:after="40"/>
        <w:ind w:left="420" w:hanging="420"/>
      </w:pPr>
      <w:r>
        <w:rPr>
          <w:rFonts w:ascii="Times New Roman" w:hAnsi="Times New Roman" w:eastAsia="DFKai-SB" w:cs="Times New Roman"/>
          <w:b w:val="0"/>
          <w:sz w:val="20"/>
        </w:rPr>
        <w:t>司法院。（2025，9 月3 日）。民事訴訟須知。司法院全球資訊網。https://www.judicial.gov.tw/tw/cp-165-27-430b8-1.html</w:t>
      </w:r>
    </w:p>
    <w:p>
      <w:pPr>
        <w:spacing w:line="240" w:lineRule="auto" w:before="0" w:after="40"/>
        <w:ind w:left="420" w:hanging="420"/>
      </w:pPr>
      <w:r>
        <w:rPr>
          <w:rFonts w:ascii="Times New Roman" w:hAnsi="Times New Roman" w:eastAsia="DFKai-SB" w:cs="Times New Roman"/>
          <w:b w:val="0"/>
          <w:sz w:val="20"/>
        </w:rPr>
        <w:t>司法院。（2025，5 月29 日）。刑事訴訟須知。司法院全球資訊網。https://www.judicial.gov.tw/tw/cp-165-28-683b6-1.html</w:t>
      </w:r>
    </w:p>
    <w:p>
      <w:pPr>
        <w:spacing w:line="240" w:lineRule="auto" w:before="0" w:after="40"/>
        <w:ind w:left="420" w:hanging="420"/>
      </w:pPr>
      <w:r>
        <w:rPr>
          <w:rFonts w:ascii="Times New Roman" w:hAnsi="Times New Roman" w:eastAsia="DFKai-SB" w:cs="Times New Roman"/>
          <w:b w:val="0"/>
          <w:sz w:val="20"/>
        </w:rPr>
        <w:t>司法院。（2025，10 月9 日）。刑事附帶民事訴訟起訴狀。司法院全球資訊網。https://www.judicial.gov.tw/tw/cp-1370-4310-e5078-1.html</w:t>
      </w:r>
    </w:p>
    <w:p>
      <w:pPr>
        <w:spacing w:line="240" w:lineRule="auto" w:before="0" w:after="40"/>
        <w:ind w:left="420" w:hanging="420"/>
      </w:pPr>
      <w:r>
        <w:rPr>
          <w:rFonts w:ascii="Times New Roman" w:hAnsi="Times New Roman" w:eastAsia="DFKai-SB" w:cs="Times New Roman"/>
          <w:b w:val="0"/>
          <w:sz w:val="20"/>
        </w:rPr>
        <w:t>林常青。（2019）。臺灣法律經濟學實證的判決資料－介紹與應用。經濟論文，47（4），533–546。https://www.airitilibrary.com/Article/Detail/1018161x-201912-201912300022-201912300022-533-546</w:t>
      </w:r>
    </w:p>
    <w:p>
      <w:pPr>
        <w:spacing w:line="240" w:lineRule="auto" w:before="0" w:after="40"/>
        <w:ind w:left="420" w:hanging="420"/>
      </w:pPr>
      <w:r>
        <w:rPr>
          <w:rFonts w:ascii="Times New Roman" w:hAnsi="Times New Roman" w:eastAsia="DFKai-SB" w:cs="Times New Roman"/>
          <w:b w:val="0"/>
          <w:sz w:val="20"/>
        </w:rPr>
        <w:t>張添榜、王立達、劉尚志。（2013）。我國專利法上均等論適用之實證研究：是變奏還是變調？科技法學評論，10（2），1-71。https://lawdata.com.tw/tw/doi/?doi=10.3966/181130952013121002001</w:t>
      </w:r>
    </w:p>
    <w:p>
      <w:pPr>
        <w:spacing w:line="240" w:lineRule="auto" w:before="0" w:after="40"/>
        <w:ind w:left="420" w:hanging="420"/>
      </w:pPr>
      <w:r>
        <w:rPr>
          <w:rFonts w:ascii="Times New Roman" w:hAnsi="Times New Roman" w:eastAsia="DFKai-SB" w:cs="Times New Roman"/>
          <w:b w:val="0"/>
          <w:sz w:val="20"/>
        </w:rPr>
        <w:t>陳秉訓。（2021）。從共同侵權行為理論分析方法請求項之複數執行者問題：以一件行動支付類金融科技專利為例。專利師，47，1-11。https://lawdata.com.tw/tw/doi/?doi=10.3966/221845622021100047001</w:t>
      </w:r>
    </w:p>
    <w:sectPr w:rsidR="00FC693F" w:rsidRPr="0006063C" w:rsidSect="00034616">
      <w:pgSz w:w="11906" w:h="16838"/>
      <w:pgMar w:top="1134" w:right="1417" w:bottom="1134" w:left="1417"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DFKai-SB"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DFKai-SB"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Times New Roman" w:hAnsi="Times New Roman" w:eastAsia="DFKai-SB"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Times New Roman" w:hAnsi="Times New Roman" w:eastAsia="DFKai-SB" w:cs="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Theme="majorHAnsi" w:eastAsiaTheme="majorEastAsia" w:hAnsiTheme="majorHAnsi" w:cstheme="majorBidi" w:ascii="Times New Roman" w:hAnsi="Times New Roman" w:eastAsia="DFKai-SB" w:cs="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