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3348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5B37D3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1D7237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國立東華大學</w:t>
      </w:r>
      <w:r w:rsidR="007857F7" w:rsidRPr="00706F03">
        <w:rPr>
          <w:rFonts w:ascii="Times New Roman" w:eastAsia="標楷體" w:hAnsi="Times New Roman" w:cs="Times New Roman"/>
          <w:b w:val="0"/>
          <w:color w:val="auto"/>
          <w:sz w:val="48"/>
          <w:szCs w:val="28"/>
        </w:rPr>
        <w:t>財務金融</w:t>
      </w:r>
      <w:r w:rsidRPr="00706F03">
        <w:rPr>
          <w:rFonts w:ascii="Times New Roman" w:eastAsia="標楷體" w:hAnsi="Times New Roman" w:cs="Times New Roman"/>
          <w:b w:val="0"/>
          <w:color w:val="auto"/>
          <w:sz w:val="48"/>
          <w:szCs w:val="28"/>
        </w:rPr>
        <w:t>學系</w:t>
      </w:r>
    </w:p>
    <w:p w14:paraId="65782B19"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碩士論文</w:t>
      </w:r>
    </w:p>
    <w:p w14:paraId="4E1A57F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3AE730E"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680BA60" w14:textId="77777777" w:rsidR="00D1372F" w:rsidRPr="00706F03" w:rsidRDefault="00D1372F" w:rsidP="006C25BD">
      <w:pPr>
        <w:pStyle w:val="1"/>
        <w:snapToGrid w:val="0"/>
        <w:spacing w:after="0" w:line="276" w:lineRule="auto"/>
        <w:rPr>
          <w:rFonts w:ascii="Times New Roman" w:eastAsia="標楷體" w:hAnsi="Times New Roman" w:cs="Times New Roman"/>
          <w:color w:val="auto"/>
          <w:sz w:val="48"/>
          <w:szCs w:val="28"/>
        </w:rPr>
      </w:pPr>
      <w:r w:rsidRPr="00706F03">
        <w:rPr>
          <w:rFonts w:ascii="Times New Roman" w:eastAsia="標楷體" w:hAnsi="Times New Roman" w:cs="Times New Roman"/>
          <w:color w:val="auto"/>
          <w:sz w:val="48"/>
          <w:szCs w:val="28"/>
        </w:rPr>
        <w:t>判決文本會說話嗎？</w:t>
      </w:r>
      <w:r w:rsidRPr="00706F03">
        <w:rPr>
          <w:rFonts w:ascii="Times New Roman" w:eastAsia="標楷體" w:hAnsi="Times New Roman" w:cs="Times New Roman"/>
          <w:color w:val="auto"/>
          <w:sz w:val="48"/>
          <w:szCs w:val="28"/>
        </w:rPr>
        <w:br/>
      </w:r>
      <w:r w:rsidR="00666510" w:rsidRPr="00706F03">
        <w:rPr>
          <w:rFonts w:ascii="Times New Roman" w:eastAsia="標楷體" w:hAnsi="Times New Roman" w:cs="Times New Roman"/>
          <w:color w:val="auto"/>
          <w:sz w:val="48"/>
          <w:szCs w:val="28"/>
        </w:rPr>
        <w:t>臺</w:t>
      </w:r>
      <w:r w:rsidRPr="00706F03">
        <w:rPr>
          <w:rFonts w:ascii="Times New Roman" w:eastAsia="標楷體"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1"/>
        <w:snapToGrid w:val="0"/>
        <w:spacing w:after="0" w:line="276" w:lineRule="auto"/>
        <w:rPr>
          <w:rFonts w:ascii="Times New Roman" w:eastAsia="標楷體" w:hAnsi="Times New Roman" w:cs="Times New Roman"/>
          <w:i/>
          <w:color w:val="auto"/>
          <w:sz w:val="28"/>
          <w:szCs w:val="28"/>
        </w:rPr>
      </w:pPr>
      <w:r w:rsidRPr="00706F03">
        <w:rPr>
          <w:rFonts w:ascii="Times New Roman" w:eastAsia="標楷體"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612E672"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E1F8066" w14:textId="77777777" w:rsidR="00D1372F" w:rsidRPr="00706F03" w:rsidRDefault="007857F7" w:rsidP="00704208">
      <w:pPr>
        <w:pStyle w:val="1"/>
        <w:snapToGrid w:val="0"/>
        <w:spacing w:after="0" w:line="276" w:lineRule="auto"/>
        <w:ind w:firstLine="0"/>
        <w:rPr>
          <w:rFonts w:ascii="Times New Roman" w:eastAsia="標楷體" w:hAnsi="Times New Roman" w:cs="Times New Roman"/>
          <w:b w:val="0"/>
          <w:color w:val="auto"/>
          <w:sz w:val="28"/>
          <w:szCs w:val="28"/>
        </w:rPr>
        <w:jc w:val="center"/>
      </w:pPr>
      <w:r w:rsidRPr="00706F03">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1"/>
        <w:snapToGrid w:val="0"/>
        <w:spacing w:after="0" w:line="276" w:lineRule="auto"/>
        <w:ind w:firstLine="0"/>
        <w:jc w:val="both"/>
        <w:rPr>
          <w:rFonts w:ascii="Times New Roman" w:eastAsia="標楷體" w:hAnsi="Times New Roman" w:cs="Times New Roman"/>
          <w:b w:val="0"/>
          <w:color w:val="auto"/>
          <w:sz w:val="28"/>
          <w:szCs w:val="28"/>
        </w:rPr>
      </w:pPr>
    </w:p>
    <w:p w14:paraId="6C134151"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9BD9E63"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研究生：</w:t>
      </w:r>
      <w:r w:rsidR="007857F7" w:rsidRPr="00706F03">
        <w:rPr>
          <w:rFonts w:ascii="Times New Roman" w:eastAsia="標楷體" w:hAnsi="Times New Roman" w:cs="Times New Roman"/>
          <w:b w:val="0"/>
          <w:color w:val="auto"/>
          <w:sz w:val="44"/>
          <w:szCs w:val="28"/>
        </w:rPr>
        <w:t>陳信全</w:t>
      </w:r>
    </w:p>
    <w:p w14:paraId="3A720D6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指導教授：</w:t>
      </w:r>
      <w:r w:rsidR="007857F7" w:rsidRPr="00706F03">
        <w:rPr>
          <w:rFonts w:ascii="Times New Roman" w:eastAsia="標楷體" w:hAnsi="Times New Roman" w:cs="Times New Roman"/>
          <w:b w:val="0"/>
          <w:color w:val="auto"/>
          <w:sz w:val="44"/>
          <w:szCs w:val="28"/>
        </w:rPr>
        <w:t>侯介澤</w:t>
      </w:r>
      <w:r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AD781E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中華民國</w:t>
      </w:r>
      <w:r w:rsidRPr="00706F03">
        <w:rPr>
          <w:rFonts w:ascii="Times New Roman" w:eastAsia="標楷體" w:hAnsi="Times New Roman" w:cs="Times New Roman"/>
          <w:b w:val="0"/>
          <w:color w:val="auto"/>
          <w:sz w:val="44"/>
          <w:szCs w:val="28"/>
        </w:rPr>
        <w:t>115</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年</w:t>
      </w:r>
      <w:r w:rsidRPr="00706F03">
        <w:rPr>
          <w:rFonts w:ascii="Times New Roman" w:eastAsia="標楷體" w:hAnsi="Times New Roman" w:cs="Times New Roman"/>
          <w:b w:val="0"/>
          <w:color w:val="auto"/>
          <w:sz w:val="44"/>
          <w:szCs w:val="28"/>
        </w:rPr>
        <w:t>6</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月</w:t>
      </w:r>
    </w:p>
    <w:p w14:paraId="489FC48D" w14:textId="77777777" w:rsidR="00D1372F" w:rsidRPr="00706F03" w:rsidRDefault="00D1372F" w:rsidP="006C25BD">
      <w:pPr>
        <w:pStyle w:val="1"/>
        <w:spacing w:line="276" w:lineRule="auto"/>
        <w:rPr>
          <w:rFonts w:ascii="Times New Roman" w:eastAsia="標楷體"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 xml:space="preserve">Bag-of-Words, </w:t>
      </w:r>
      <w:proofErr w:type="spellStart"/>
      <w:r w:rsidRPr="00706F03">
        <w:rPr>
          <w:rFonts w:cs="Times New Roman"/>
        </w:rPr>
        <w:t>BoW</w:t>
      </w:r>
      <w:proofErr w:type="spellEnd"/>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w:t>
      </w:r>
      <w:r w:rsidR="002F72CB" w:rsidRPr="00706F03">
        <w:rPr>
          <w:rFonts w:cs="Times New Roman"/>
        </w:rPr>
        <w:t>證結果顯示，在本研究資料、標籤設定與超參數範圍下，</w:t>
      </w:r>
      <w:r w:rsidR="002F72CB" w:rsidRPr="00706F03">
        <w:rPr>
          <w:rFonts w:cs="Times New Roman"/>
        </w:rPr>
        <w:t xml:space="preserve">Chi-square + SVM </w:t>
      </w:r>
      <w:r w:rsidR="002F72CB" w:rsidRPr="00706F03">
        <w:rPr>
          <w:rFonts w:cs="Times New Roman"/>
        </w:rPr>
        <w:t>在四類案件資料集中的宏平均</w:t>
      </w:r>
      <w:r w:rsidR="002F72CB" w:rsidRPr="00706F03">
        <w:rPr>
          <w:rFonts w:cs="Times New Roman"/>
        </w:rPr>
        <w:t xml:space="preserve"> F1 </w:t>
      </w:r>
      <w:r w:rsidR="002F72CB" w:rsidRPr="00706F03">
        <w:rPr>
          <w:rFonts w:cs="Times New Roman"/>
        </w:rPr>
        <w:t>分數（</w:t>
      </w:r>
      <w:r w:rsidR="002F72CB" w:rsidRPr="00706F03">
        <w:rPr>
          <w:rFonts w:cs="Times New Roman"/>
        </w:rPr>
        <w:t>Macro F1</w:t>
      </w:r>
      <w:r w:rsidR="002F72CB" w:rsidRPr="00706F03">
        <w:rPr>
          <w:rFonts w:cs="Times New Roman"/>
        </w:rPr>
        <w:t>）皆高於</w:t>
      </w:r>
      <w:r w:rsidR="002F72CB" w:rsidRPr="00706F03">
        <w:rPr>
          <w:rFonts w:cs="Times New Roman"/>
        </w:rPr>
        <w:t xml:space="preserve"> Chi-square + MNIR + SVM</w:t>
      </w:r>
      <w:r w:rsidR="002F72CB" w:rsidRPr="00706F03">
        <w:rPr>
          <w:rFonts w:cs="Times New Roman"/>
        </w:rPr>
        <w:t>。此結果表示，</w:t>
      </w:r>
      <w:r w:rsidR="002F72CB" w:rsidRPr="00706F03">
        <w:rPr>
          <w:rFonts w:cs="Times New Roman"/>
        </w:rPr>
        <w:t xml:space="preserve">MNIR </w:t>
      </w:r>
      <w:r w:rsidR="002F72CB" w:rsidRPr="00706F03">
        <w:rPr>
          <w:rFonts w:cs="Times New Roman"/>
        </w:rPr>
        <w:t>監督式特徵轉換未取得額外分類增益。不過，這並不代表</w:t>
      </w:r>
      <w:r w:rsidR="002F72CB" w:rsidRPr="00706F03">
        <w:rPr>
          <w:rFonts w:cs="Times New Roman"/>
        </w:rPr>
        <w:t xml:space="preserve"> MNIR </w:t>
      </w:r>
      <w:r w:rsidR="002F72CB" w:rsidRPr="00706F03">
        <w:rPr>
          <w:rFonts w:cs="Times New Roman"/>
        </w:rPr>
        <w:t>方法本身無效</w:t>
      </w:r>
      <w:r w:rsidR="00697ED0" w:rsidRPr="00706F03">
        <w:rPr>
          <w:rFonts w:cs="Times New Roman" w:hint="eastAsia"/>
        </w:rPr>
        <w:t>，</w:t>
      </w:r>
      <w:r w:rsidR="00235E48" w:rsidRPr="00706F03">
        <w:rPr>
          <w:rFonts w:cs="Times New Roman" w:hint="eastAsia"/>
        </w:rPr>
        <w:t>較合理的</w:t>
      </w:r>
      <w:r w:rsidR="002F72CB" w:rsidRPr="00706F03">
        <w:rPr>
          <w:rFonts w:cs="Times New Roman" w:hint="eastAsia"/>
        </w:rPr>
        <w:t>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Term Frequency, and Term Frequency-Inverse Document Frequency.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 Support Vector Machine, and Chi-square + SVM. The former examines whether supervised MNIR feature transformation can improve high-dimensional legal text classification, while the latter serves as a comparison pipeline without MNIR transformation. The empirical results show that Chi-square + SVM achieves higher Macro F1-scores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 xml:space="preserve">The most suitable text feature representation also differs across case types. </w:t>
      </w:r>
      <w:proofErr w:type="spellStart"/>
      <w:r w:rsidRPr="00706F03">
        <w:rPr>
          <w:rFonts w:cs="Times New Roman"/>
        </w:rPr>
        <w:t>BoW</w:t>
      </w:r>
      <w:proofErr w:type="spellEnd"/>
      <w:r w:rsidRPr="00706F03">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1"/>
        <w:pageBreakBefore/>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目錄</w:t>
      </w:r>
    </w:p>
    <w:p w14:paraId="25ECF58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摘要</w:t>
      </w:r>
      <w:r w:rsidRPr="00706F03">
        <w:rPr>
          <w:rFonts w:ascii="Times New Roman" w:eastAsia="標楷體" w:hAnsi="Times New Roman" w:cs="Times New Roman" w:hint="eastAsia"/>
          <w:b w:val="0"/>
          <w:color w:val="auto"/>
          <w:sz w:val="24"/>
          <w:szCs w:val="28"/>
        </w:rPr>
        <w:tab/>
        <w:t>2</w:t>
      </w:r>
    </w:p>
    <w:p w14:paraId="0E943C40"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bCs/>
          <w:color w:val="auto"/>
          <w:sz w:val="24"/>
          <w:szCs w:val="28"/>
        </w:rPr>
        <w:t>Abstract</w:t>
      </w:r>
      <w:r w:rsidRPr="00706F03">
        <w:rPr>
          <w:rFonts w:ascii="Times New Roman" w:eastAsia="標楷體" w:hAnsi="Times New Roman" w:cs="Times New Roman"/>
          <w:b w:val="0"/>
          <w:color w:val="auto"/>
          <w:sz w:val="24"/>
          <w:szCs w:val="28"/>
        </w:rPr>
        <w:tab/>
        <w:t>4</w:t>
      </w:r>
    </w:p>
    <w:p w14:paraId="67D80E8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表目錄</w:t>
      </w:r>
      <w:r w:rsidRPr="00706F03">
        <w:rPr>
          <w:rFonts w:ascii="Times New Roman" w:eastAsia="標楷體" w:hAnsi="Times New Roman" w:cs="Times New Roman" w:hint="eastAsia"/>
          <w:b w:val="0"/>
          <w:color w:val="auto"/>
          <w:sz w:val="24"/>
          <w:szCs w:val="28"/>
        </w:rPr>
        <w:tab/>
        <w:t>9</w:t>
      </w:r>
    </w:p>
    <w:p w14:paraId="66B35D5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圖目錄</w:t>
      </w:r>
      <w:r w:rsidRPr="00706F03">
        <w:rPr>
          <w:rFonts w:ascii="Times New Roman" w:eastAsia="標楷體" w:hAnsi="Times New Roman" w:cs="Times New Roman" w:hint="eastAsia"/>
          <w:b w:val="0"/>
          <w:color w:val="auto"/>
          <w:sz w:val="24"/>
          <w:szCs w:val="28"/>
        </w:rPr>
        <w:tab/>
        <w:t>10</w:t>
      </w:r>
    </w:p>
    <w:p w14:paraId="0A10A0D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第一章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緒論</w:t>
      </w:r>
      <w:r w:rsidRPr="00706F03">
        <w:rPr>
          <w:rFonts w:ascii="Times New Roman" w:eastAsia="標楷體" w:hAnsi="Times New Roman" w:cs="Times New Roman" w:hint="eastAsia"/>
          <w:b w:val="0"/>
          <w:color w:val="auto"/>
          <w:sz w:val="24"/>
          <w:szCs w:val="28"/>
        </w:rPr>
        <w:tab/>
        <w:t>11</w:t>
      </w:r>
    </w:p>
    <w:p w14:paraId="3AF6D722"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1.1 </w:t>
      </w:r>
      <w:r w:rsidRPr="00706F03">
        <w:rPr>
          <w:rFonts w:ascii="Times New Roman" w:eastAsia="標楷體" w:hAnsi="Times New Roman" w:cs="Times New Roman" w:hint="eastAsia"/>
          <w:b w:val="0"/>
          <w:color w:val="auto"/>
          <w:sz w:val="24"/>
          <w:szCs w:val="28"/>
        </w:rPr>
        <w:t>研究背景與動機</w:t>
      </w:r>
      <w:r w:rsidRPr="00706F03">
        <w:rPr>
          <w:rFonts w:ascii="Times New Roman" w:eastAsia="標楷體" w:hAnsi="Times New Roman" w:cs="Times New Roman" w:hint="eastAsia"/>
          <w:b w:val="0"/>
          <w:color w:val="auto"/>
          <w:sz w:val="24"/>
          <w:szCs w:val="28"/>
        </w:rPr>
        <w:tab/>
        <w:t>11</w:t>
      </w:r>
    </w:p>
    <w:p w14:paraId="2AA7FF5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1.2 </w:t>
      </w:r>
      <w:r w:rsidRPr="00706F03">
        <w:rPr>
          <w:rFonts w:ascii="Times New Roman" w:eastAsia="標楷體" w:hAnsi="Times New Roman" w:cs="Times New Roman" w:hint="eastAsia"/>
          <w:b w:val="0"/>
          <w:color w:val="auto"/>
          <w:sz w:val="24"/>
          <w:szCs w:val="28"/>
        </w:rPr>
        <w:t>研究目的</w:t>
      </w:r>
      <w:r w:rsidRPr="00706F03">
        <w:rPr>
          <w:rFonts w:ascii="Times New Roman" w:eastAsia="標楷體" w:hAnsi="Times New Roman" w:cs="Times New Roman" w:hint="eastAsia"/>
          <w:b w:val="0"/>
          <w:color w:val="auto"/>
          <w:sz w:val="24"/>
          <w:szCs w:val="28"/>
        </w:rPr>
        <w:tab/>
        <w:t>13</w:t>
      </w:r>
    </w:p>
    <w:p w14:paraId="09FB1A6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1.3 </w:t>
      </w:r>
      <w:r w:rsidRPr="00706F03">
        <w:rPr>
          <w:rFonts w:ascii="Times New Roman" w:eastAsia="標楷體" w:hAnsi="Times New Roman" w:cs="Times New Roman" w:hint="eastAsia"/>
          <w:b w:val="0"/>
          <w:color w:val="auto"/>
          <w:sz w:val="24"/>
          <w:szCs w:val="28"/>
        </w:rPr>
        <w:t>研究問題</w:t>
      </w:r>
      <w:r w:rsidRPr="00706F03">
        <w:rPr>
          <w:rFonts w:ascii="Times New Roman" w:eastAsia="標楷體" w:hAnsi="Times New Roman" w:cs="Times New Roman" w:hint="eastAsia"/>
          <w:b w:val="0"/>
          <w:color w:val="auto"/>
          <w:sz w:val="24"/>
          <w:szCs w:val="28"/>
        </w:rPr>
        <w:tab/>
        <w:t>14</w:t>
      </w:r>
    </w:p>
    <w:p w14:paraId="01308F9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1.4 </w:t>
      </w:r>
      <w:r w:rsidRPr="00706F03">
        <w:rPr>
          <w:rFonts w:ascii="Times New Roman" w:eastAsia="標楷體" w:hAnsi="Times New Roman" w:cs="Times New Roman" w:hint="eastAsia"/>
          <w:b w:val="0"/>
          <w:color w:val="auto"/>
          <w:sz w:val="24"/>
          <w:szCs w:val="28"/>
        </w:rPr>
        <w:t>研究定位與論文架構</w:t>
      </w:r>
      <w:r w:rsidRPr="00706F03">
        <w:rPr>
          <w:rFonts w:ascii="Times New Roman" w:eastAsia="標楷體" w:hAnsi="Times New Roman" w:cs="Times New Roman" w:hint="eastAsia"/>
          <w:b w:val="0"/>
          <w:color w:val="auto"/>
          <w:sz w:val="24"/>
          <w:szCs w:val="28"/>
        </w:rPr>
        <w:tab/>
        <w:t>14</w:t>
      </w:r>
    </w:p>
    <w:p w14:paraId="3F00D00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第二章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文獻回顧</w:t>
      </w:r>
      <w:r w:rsidRPr="00706F03">
        <w:rPr>
          <w:rFonts w:ascii="Times New Roman" w:eastAsia="標楷體" w:hAnsi="Times New Roman" w:cs="Times New Roman" w:hint="eastAsia"/>
          <w:bCs/>
          <w:color w:val="auto"/>
          <w:sz w:val="24"/>
          <w:szCs w:val="28"/>
        </w:rPr>
        <w:tab/>
        <w:t>15</w:t>
      </w:r>
    </w:p>
    <w:p w14:paraId="1D3A2771"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2.1 </w:t>
      </w:r>
      <w:r w:rsidRPr="00706F03">
        <w:rPr>
          <w:rFonts w:ascii="Times New Roman" w:eastAsia="標楷體" w:hAnsi="Times New Roman" w:cs="Times New Roman" w:hint="eastAsia"/>
          <w:b w:val="0"/>
          <w:color w:val="auto"/>
          <w:sz w:val="24"/>
          <w:szCs w:val="28"/>
        </w:rPr>
        <w:t>前言</w:t>
      </w:r>
      <w:r w:rsidRPr="00706F03">
        <w:rPr>
          <w:rFonts w:ascii="Times New Roman" w:eastAsia="標楷體" w:hAnsi="Times New Roman" w:cs="Times New Roman" w:hint="eastAsia"/>
          <w:b w:val="0"/>
          <w:color w:val="auto"/>
          <w:sz w:val="24"/>
          <w:szCs w:val="28"/>
        </w:rPr>
        <w:tab/>
        <w:t>15</w:t>
      </w:r>
    </w:p>
    <w:p w14:paraId="5B07D92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2.2 </w:t>
      </w:r>
      <w:r w:rsidRPr="00706F03">
        <w:rPr>
          <w:rFonts w:ascii="Times New Roman" w:eastAsia="標楷體" w:hAnsi="Times New Roman" w:cs="Times New Roman" w:hint="eastAsia"/>
          <w:b w:val="0"/>
          <w:color w:val="auto"/>
          <w:sz w:val="24"/>
          <w:szCs w:val="28"/>
        </w:rPr>
        <w:t>實證法律研究與量化分析的發展</w:t>
      </w:r>
      <w:r w:rsidRPr="00706F03">
        <w:rPr>
          <w:rFonts w:ascii="Times New Roman" w:eastAsia="標楷體" w:hAnsi="Times New Roman" w:cs="Times New Roman" w:hint="eastAsia"/>
          <w:b w:val="0"/>
          <w:color w:val="auto"/>
          <w:sz w:val="24"/>
          <w:szCs w:val="28"/>
        </w:rPr>
        <w:tab/>
        <w:t>15</w:t>
      </w:r>
    </w:p>
    <w:p w14:paraId="572211A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2.3 </w:t>
      </w:r>
      <w:r w:rsidRPr="00706F03">
        <w:rPr>
          <w:rFonts w:ascii="Times New Roman" w:eastAsia="標楷體" w:hAnsi="Times New Roman" w:cs="Times New Roman" w:hint="eastAsia"/>
          <w:b w:val="0"/>
          <w:color w:val="auto"/>
          <w:sz w:val="24"/>
          <w:szCs w:val="28"/>
        </w:rPr>
        <w:t>法律文本之特徵表示：</w:t>
      </w:r>
      <w:proofErr w:type="spellStart"/>
      <w:r w:rsidRPr="00706F03">
        <w:rPr>
          <w:rFonts w:ascii="Times New Roman" w:eastAsia="標楷體" w:hAnsi="Times New Roman" w:cs="Times New Roman" w:hint="eastAsia"/>
          <w:b w:val="0"/>
          <w:color w:val="auto"/>
          <w:sz w:val="24"/>
          <w:szCs w:val="28"/>
        </w:rPr>
        <w:t>BoW</w:t>
      </w:r>
      <w:proofErr w:type="spellEnd"/>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TF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TF-IDF</w:t>
      </w:r>
      <w:r w:rsidRPr="00706F03">
        <w:rPr>
          <w:rFonts w:ascii="Times New Roman" w:eastAsia="標楷體" w:hAnsi="Times New Roman" w:cs="Times New Roman" w:hint="eastAsia"/>
          <w:b w:val="0"/>
          <w:color w:val="auto"/>
          <w:sz w:val="24"/>
          <w:szCs w:val="28"/>
        </w:rPr>
        <w:tab/>
        <w:t>16</w:t>
      </w:r>
    </w:p>
    <w:p w14:paraId="510CB3E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2.4 </w:t>
      </w:r>
      <w:r w:rsidRPr="00706F03">
        <w:rPr>
          <w:rFonts w:ascii="Times New Roman" w:eastAsia="標楷體" w:hAnsi="Times New Roman" w:cs="Times New Roman" w:hint="eastAsia"/>
          <w:b w:val="0"/>
          <w:color w:val="auto"/>
          <w:sz w:val="24"/>
          <w:szCs w:val="28"/>
        </w:rPr>
        <w:t>預測模型建構與可解釋性之必要性</w:t>
      </w:r>
      <w:r w:rsidRPr="00706F03">
        <w:rPr>
          <w:rFonts w:ascii="Times New Roman" w:eastAsia="標楷體" w:hAnsi="Times New Roman" w:cs="Times New Roman" w:hint="eastAsia"/>
          <w:b w:val="0"/>
          <w:color w:val="auto"/>
          <w:sz w:val="24"/>
          <w:szCs w:val="28"/>
        </w:rPr>
        <w:tab/>
        <w:t>17</w:t>
      </w:r>
    </w:p>
    <w:p w14:paraId="6F5F46A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2.5 MNIR </w:t>
      </w:r>
      <w:r w:rsidRPr="00706F03">
        <w:rPr>
          <w:rFonts w:ascii="Times New Roman" w:eastAsia="標楷體" w:hAnsi="Times New Roman" w:cs="Times New Roman" w:hint="eastAsia"/>
          <w:b w:val="0"/>
          <w:color w:val="auto"/>
          <w:sz w:val="24"/>
          <w:szCs w:val="28"/>
        </w:rPr>
        <w:t>監督式特徵轉換與本研究定位</w:t>
      </w:r>
      <w:r w:rsidRPr="00706F03">
        <w:rPr>
          <w:rFonts w:ascii="Times New Roman" w:eastAsia="標楷體" w:hAnsi="Times New Roman" w:cs="Times New Roman" w:hint="eastAsia"/>
          <w:b w:val="0"/>
          <w:color w:val="auto"/>
          <w:sz w:val="24"/>
          <w:szCs w:val="28"/>
        </w:rPr>
        <w:tab/>
        <w:t>18</w:t>
      </w:r>
    </w:p>
    <w:p w14:paraId="3526D1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2.6 </w:t>
      </w:r>
      <w:r w:rsidRPr="00706F03">
        <w:rPr>
          <w:rFonts w:ascii="Times New Roman" w:eastAsia="標楷體" w:hAnsi="Times New Roman" w:cs="Times New Roman" w:hint="eastAsia"/>
          <w:b w:val="0"/>
          <w:color w:val="auto"/>
          <w:sz w:val="24"/>
          <w:szCs w:val="28"/>
        </w:rPr>
        <w:t>總結與研究缺口</w:t>
      </w:r>
      <w:r w:rsidRPr="00706F03">
        <w:rPr>
          <w:rFonts w:ascii="Times New Roman" w:eastAsia="標楷體" w:hAnsi="Times New Roman" w:cs="Times New Roman" w:hint="eastAsia"/>
          <w:b w:val="0"/>
          <w:color w:val="auto"/>
          <w:sz w:val="24"/>
          <w:szCs w:val="28"/>
        </w:rPr>
        <w:tab/>
        <w:t>19</w:t>
      </w:r>
    </w:p>
    <w:p w14:paraId="2D30E1A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第三章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研究方法與資料</w:t>
      </w:r>
      <w:r w:rsidRPr="00706F03">
        <w:rPr>
          <w:rFonts w:ascii="Times New Roman" w:eastAsia="標楷體" w:hAnsi="Times New Roman" w:cs="Times New Roman" w:hint="eastAsia"/>
          <w:b w:val="0"/>
          <w:color w:val="auto"/>
          <w:sz w:val="24"/>
          <w:szCs w:val="28"/>
        </w:rPr>
        <w:tab/>
        <w:t>20</w:t>
      </w:r>
    </w:p>
    <w:p w14:paraId="474CE2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3.1 </w:t>
      </w:r>
      <w:r w:rsidRPr="00706F03">
        <w:rPr>
          <w:rFonts w:ascii="Times New Roman" w:eastAsia="標楷體" w:hAnsi="Times New Roman" w:cs="Times New Roman" w:hint="eastAsia"/>
          <w:b w:val="0"/>
          <w:color w:val="auto"/>
          <w:sz w:val="24"/>
          <w:szCs w:val="28"/>
        </w:rPr>
        <w:t>研究流程</w:t>
      </w:r>
      <w:r w:rsidRPr="00706F03">
        <w:rPr>
          <w:rFonts w:ascii="Times New Roman" w:eastAsia="標楷體" w:hAnsi="Times New Roman" w:cs="Times New Roman" w:hint="eastAsia"/>
          <w:b w:val="0"/>
          <w:color w:val="auto"/>
          <w:sz w:val="24"/>
          <w:szCs w:val="28"/>
        </w:rPr>
        <w:tab/>
        <w:t>20</w:t>
      </w:r>
    </w:p>
    <w:p w14:paraId="6B8B395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3.2 </w:t>
      </w:r>
      <w:r w:rsidRPr="00706F03">
        <w:rPr>
          <w:rFonts w:ascii="Times New Roman" w:eastAsia="標楷體" w:hAnsi="Times New Roman" w:cs="Times New Roman" w:hint="eastAsia"/>
          <w:b w:val="0"/>
          <w:color w:val="auto"/>
          <w:sz w:val="24"/>
          <w:szCs w:val="28"/>
        </w:rPr>
        <w:t>資料獲取與前處理</w:t>
      </w:r>
      <w:r w:rsidRPr="00706F03">
        <w:rPr>
          <w:rFonts w:ascii="Times New Roman" w:eastAsia="標楷體" w:hAnsi="Times New Roman" w:cs="Times New Roman" w:hint="eastAsia"/>
          <w:b w:val="0"/>
          <w:color w:val="auto"/>
          <w:sz w:val="24"/>
          <w:szCs w:val="28"/>
        </w:rPr>
        <w:tab/>
        <w:t>21</w:t>
      </w:r>
    </w:p>
    <w:p w14:paraId="5723B16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3.3 </w:t>
      </w:r>
      <w:r w:rsidRPr="00706F03">
        <w:rPr>
          <w:rFonts w:ascii="Times New Roman" w:eastAsia="標楷體" w:hAnsi="Times New Roman" w:cs="Times New Roman" w:hint="eastAsia"/>
          <w:b w:val="0"/>
          <w:color w:val="auto"/>
          <w:sz w:val="24"/>
          <w:szCs w:val="28"/>
        </w:rPr>
        <w:t>智慧財產權案件篩選與文本前處理</w:t>
      </w:r>
      <w:r w:rsidRPr="00706F03">
        <w:rPr>
          <w:rFonts w:ascii="Times New Roman" w:eastAsia="標楷體" w:hAnsi="Times New Roman" w:cs="Times New Roman" w:hint="eastAsia"/>
          <w:b w:val="0"/>
          <w:color w:val="auto"/>
          <w:sz w:val="24"/>
          <w:szCs w:val="28"/>
        </w:rPr>
        <w:tab/>
        <w:t>21</w:t>
      </w:r>
    </w:p>
    <w:p w14:paraId="0F5954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 </w:t>
      </w:r>
      <w:r w:rsidRPr="00706F03">
        <w:rPr>
          <w:rFonts w:ascii="Times New Roman" w:eastAsia="標楷體" w:hAnsi="Times New Roman" w:cs="Times New Roman" w:hint="eastAsia"/>
          <w:b w:val="0"/>
          <w:color w:val="auto"/>
          <w:sz w:val="24"/>
          <w:szCs w:val="28"/>
        </w:rPr>
        <w:t>樣本篩選、標籤整理與樣本分布</w:t>
      </w:r>
      <w:r w:rsidRPr="00706F03">
        <w:rPr>
          <w:rFonts w:ascii="Times New Roman" w:eastAsia="標楷體" w:hAnsi="Times New Roman" w:cs="Times New Roman" w:hint="eastAsia"/>
          <w:b w:val="0"/>
          <w:color w:val="auto"/>
          <w:sz w:val="24"/>
          <w:szCs w:val="28"/>
        </w:rPr>
        <w:tab/>
        <w:t>22</w:t>
      </w:r>
    </w:p>
    <w:p w14:paraId="70F925F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3.4.1 </w:t>
      </w:r>
      <w:r w:rsidRPr="00706F03">
        <w:rPr>
          <w:rFonts w:ascii="Times New Roman" w:eastAsia="標楷體" w:hAnsi="Times New Roman" w:cs="Times New Roman" w:hint="eastAsia"/>
          <w:b w:val="0"/>
          <w:color w:val="auto"/>
          <w:sz w:val="24"/>
          <w:szCs w:val="28"/>
        </w:rPr>
        <w:t>案件類型之法律性質</w:t>
      </w:r>
      <w:r w:rsidRPr="00706F03">
        <w:rPr>
          <w:rFonts w:ascii="Times New Roman" w:eastAsia="標楷體" w:hAnsi="Times New Roman" w:cs="Times New Roman" w:hint="eastAsia"/>
          <w:b w:val="0"/>
          <w:color w:val="auto"/>
          <w:sz w:val="24"/>
          <w:szCs w:val="28"/>
        </w:rPr>
        <w:tab/>
        <w:t>22</w:t>
      </w:r>
    </w:p>
    <w:p w14:paraId="2132995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3.4.2 </w:t>
      </w:r>
      <w:r w:rsidRPr="00706F03">
        <w:rPr>
          <w:rFonts w:ascii="Times New Roman" w:eastAsia="標楷體" w:hAnsi="Times New Roman" w:cs="Times New Roman" w:hint="eastAsia"/>
          <w:b w:val="0"/>
          <w:color w:val="auto"/>
          <w:sz w:val="24"/>
          <w:szCs w:val="28"/>
        </w:rPr>
        <w:t>樣本篩選與標籤整理</w:t>
      </w:r>
      <w:r w:rsidRPr="00706F03">
        <w:rPr>
          <w:rFonts w:ascii="Times New Roman" w:eastAsia="標楷體" w:hAnsi="Times New Roman" w:cs="Times New Roman" w:hint="eastAsia"/>
          <w:b w:val="0"/>
          <w:color w:val="auto"/>
          <w:sz w:val="24"/>
          <w:szCs w:val="28"/>
        </w:rPr>
        <w:tab/>
        <w:t>24</w:t>
      </w:r>
    </w:p>
    <w:p w14:paraId="2D31C7B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3.4.3 </w:t>
      </w:r>
      <w:r w:rsidRPr="00706F03">
        <w:rPr>
          <w:rFonts w:ascii="Times New Roman" w:eastAsia="標楷體" w:hAnsi="Times New Roman" w:cs="Times New Roman" w:hint="eastAsia"/>
          <w:b w:val="0"/>
          <w:color w:val="auto"/>
          <w:sz w:val="24"/>
          <w:szCs w:val="28"/>
        </w:rPr>
        <w:t>樣本分布</w:t>
      </w:r>
      <w:r w:rsidRPr="00706F03">
        <w:rPr>
          <w:rFonts w:ascii="Times New Roman" w:eastAsia="標楷體" w:hAnsi="Times New Roman" w:cs="Times New Roman" w:hint="eastAsia"/>
          <w:b w:val="0"/>
          <w:color w:val="auto"/>
          <w:sz w:val="24"/>
          <w:szCs w:val="28"/>
        </w:rPr>
        <w:tab/>
        <w:t>25</w:t>
      </w:r>
    </w:p>
    <w:p w14:paraId="69C7B64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3.4.4 </w:t>
      </w:r>
      <w:r w:rsidRPr="00706F03">
        <w:rPr>
          <w:rFonts w:ascii="Times New Roman" w:eastAsia="標楷體" w:hAnsi="Times New Roman" w:cs="Times New Roman" w:hint="eastAsia"/>
          <w:b w:val="0"/>
          <w:color w:val="auto"/>
          <w:sz w:val="24"/>
          <w:szCs w:val="28"/>
        </w:rPr>
        <w:t>不同案件類型之代表性詞彙分布</w:t>
      </w:r>
      <w:r w:rsidRPr="00706F03">
        <w:rPr>
          <w:rFonts w:ascii="Times New Roman" w:eastAsia="標楷體" w:hAnsi="Times New Roman" w:cs="Times New Roman" w:hint="eastAsia"/>
          <w:b w:val="0"/>
          <w:color w:val="auto"/>
          <w:sz w:val="24"/>
          <w:szCs w:val="28"/>
        </w:rPr>
        <w:tab/>
        <w:t>28</w:t>
      </w:r>
    </w:p>
    <w:p w14:paraId="2DA7E8B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 </w:t>
      </w:r>
      <w:r w:rsidRPr="00706F03">
        <w:rPr>
          <w:rFonts w:ascii="Times New Roman" w:eastAsia="標楷體" w:hAnsi="Times New Roman" w:cs="Times New Roman" w:hint="eastAsia"/>
          <w:b w:val="0"/>
          <w:color w:val="auto"/>
          <w:sz w:val="24"/>
          <w:szCs w:val="28"/>
        </w:rPr>
        <w:t>文字特徵建構</w:t>
      </w:r>
      <w:r w:rsidRPr="00706F03">
        <w:rPr>
          <w:rFonts w:ascii="Times New Roman" w:eastAsia="標楷體" w:hAnsi="Times New Roman" w:cs="Times New Roman" w:hint="eastAsia"/>
          <w:b w:val="0"/>
          <w:color w:val="auto"/>
          <w:sz w:val="24"/>
          <w:szCs w:val="28"/>
        </w:rPr>
        <w:tab/>
        <w:t>29</w:t>
      </w:r>
    </w:p>
    <w:p w14:paraId="1D971C5B"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3.5.1 </w:t>
      </w:r>
      <w:r w:rsidRPr="00706F03">
        <w:rPr>
          <w:rFonts w:ascii="Times New Roman" w:eastAsia="標楷體" w:hAnsi="Times New Roman" w:cs="Times New Roman" w:hint="eastAsia"/>
          <w:b w:val="0"/>
          <w:color w:val="auto"/>
          <w:sz w:val="24"/>
          <w:szCs w:val="28"/>
        </w:rPr>
        <w:t>詞袋模型</w:t>
      </w:r>
      <w:r w:rsidRPr="00706F03">
        <w:rPr>
          <w:rFonts w:ascii="Times New Roman" w:eastAsia="標楷體" w:hAnsi="Times New Roman" w:cs="Times New Roman" w:hint="eastAsia"/>
          <w:b w:val="0"/>
          <w:color w:val="auto"/>
          <w:sz w:val="24"/>
          <w:szCs w:val="28"/>
        </w:rPr>
        <w:tab/>
        <w:t>29</w:t>
      </w:r>
    </w:p>
    <w:p w14:paraId="4927962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3.5.2 </w:t>
      </w:r>
      <w:r w:rsidRPr="00706F03">
        <w:rPr>
          <w:rFonts w:ascii="Times New Roman" w:eastAsia="標楷體" w:hAnsi="Times New Roman" w:cs="Times New Roman" w:hint="eastAsia"/>
          <w:b w:val="0"/>
          <w:color w:val="auto"/>
          <w:sz w:val="24"/>
          <w:szCs w:val="28"/>
        </w:rPr>
        <w:t>詞頻表示</w:t>
      </w:r>
      <w:r w:rsidRPr="00706F03">
        <w:rPr>
          <w:rFonts w:ascii="Times New Roman" w:eastAsia="標楷體" w:hAnsi="Times New Roman" w:cs="Times New Roman" w:hint="eastAsia"/>
          <w:b w:val="0"/>
          <w:color w:val="auto"/>
          <w:sz w:val="24"/>
          <w:szCs w:val="28"/>
        </w:rPr>
        <w:tab/>
        <w:t>29</w:t>
      </w:r>
    </w:p>
    <w:p w14:paraId="0EB8B190"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3.5.3 </w:t>
      </w:r>
      <w:r w:rsidRPr="00706F03">
        <w:rPr>
          <w:rFonts w:ascii="Times New Roman" w:eastAsia="標楷體" w:hAnsi="Times New Roman" w:cs="Times New Roman" w:hint="eastAsia"/>
          <w:b w:val="0"/>
          <w:color w:val="auto"/>
          <w:sz w:val="24"/>
          <w:szCs w:val="28"/>
        </w:rPr>
        <w:t>詞頻－逆文件頻率</w:t>
      </w:r>
      <w:r w:rsidRPr="00706F03">
        <w:rPr>
          <w:rFonts w:ascii="Times New Roman" w:eastAsia="標楷體" w:hAnsi="Times New Roman" w:cs="Times New Roman" w:hint="eastAsia"/>
          <w:b w:val="0"/>
          <w:color w:val="auto"/>
          <w:sz w:val="24"/>
          <w:szCs w:val="28"/>
        </w:rPr>
        <w:tab/>
        <w:t>30</w:t>
      </w:r>
    </w:p>
    <w:p w14:paraId="5E808EC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3.6 Chi-square </w:t>
      </w:r>
      <w:r w:rsidRPr="00706F03">
        <w:rPr>
          <w:rFonts w:ascii="Times New Roman" w:eastAsia="標楷體" w:hAnsi="Times New Roman" w:cs="Times New Roman" w:hint="eastAsia"/>
          <w:b w:val="0"/>
          <w:color w:val="auto"/>
          <w:sz w:val="24"/>
          <w:szCs w:val="28"/>
        </w:rPr>
        <w:t>特徵選擇</w:t>
      </w:r>
      <w:r w:rsidRPr="00706F03">
        <w:rPr>
          <w:rFonts w:ascii="Times New Roman" w:eastAsia="標楷體" w:hAnsi="Times New Roman" w:cs="Times New Roman" w:hint="eastAsia"/>
          <w:b w:val="0"/>
          <w:color w:val="auto"/>
          <w:sz w:val="24"/>
          <w:szCs w:val="28"/>
        </w:rPr>
        <w:tab/>
        <w:t>32</w:t>
      </w:r>
    </w:p>
    <w:p w14:paraId="04F2E56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 MNIR </w:t>
      </w:r>
      <w:r w:rsidRPr="00706F03">
        <w:rPr>
          <w:rFonts w:ascii="Times New Roman" w:eastAsia="標楷體" w:hAnsi="Times New Roman" w:cs="Times New Roman" w:hint="eastAsia"/>
          <w:b w:val="0"/>
          <w:color w:val="auto"/>
          <w:sz w:val="24"/>
          <w:szCs w:val="28"/>
        </w:rPr>
        <w:t>監督式特徵轉換</w:t>
      </w:r>
      <w:r w:rsidRPr="00706F03">
        <w:rPr>
          <w:rFonts w:ascii="Times New Roman" w:eastAsia="標楷體" w:hAnsi="Times New Roman" w:cs="Times New Roman" w:hint="eastAsia"/>
          <w:b w:val="0"/>
          <w:color w:val="auto"/>
          <w:sz w:val="24"/>
          <w:szCs w:val="28"/>
        </w:rPr>
        <w:tab/>
        <w:t>33</w:t>
      </w:r>
    </w:p>
    <w:p w14:paraId="75576A3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3.7.1 MNIR </w:t>
      </w:r>
      <w:r w:rsidRPr="00706F03">
        <w:rPr>
          <w:rFonts w:ascii="Times New Roman" w:eastAsia="標楷體" w:hAnsi="Times New Roman" w:cs="Times New Roman" w:hint="eastAsia"/>
          <w:b w:val="0"/>
          <w:color w:val="auto"/>
          <w:sz w:val="24"/>
          <w:szCs w:val="28"/>
        </w:rPr>
        <w:t>之模型設定與</w:t>
      </w:r>
      <w:r w:rsidRPr="00706F03">
        <w:rPr>
          <w:rFonts w:ascii="Times New Roman" w:eastAsia="標楷體" w:hAnsi="Times New Roman" w:cs="Times New Roman" w:hint="eastAsia"/>
          <w:b w:val="0"/>
          <w:color w:val="auto"/>
          <w:sz w:val="24"/>
          <w:szCs w:val="28"/>
        </w:rPr>
        <w:t xml:space="preserve"> inverse regression</w:t>
      </w:r>
      <w:r w:rsidRPr="00706F03">
        <w:rPr>
          <w:rFonts w:ascii="Times New Roman" w:eastAsia="標楷體" w:hAnsi="Times New Roman" w:cs="Times New Roman" w:hint="eastAsia"/>
          <w:b w:val="0"/>
          <w:color w:val="auto"/>
          <w:sz w:val="24"/>
          <w:szCs w:val="28"/>
        </w:rPr>
        <w:tab/>
        <w:t>34</w:t>
      </w:r>
    </w:p>
    <w:p w14:paraId="3592E353"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3.7.2 Gamma-Lasso </w:t>
      </w:r>
      <w:r w:rsidRPr="00706F03">
        <w:rPr>
          <w:rFonts w:ascii="Times New Roman" w:eastAsia="標楷體" w:hAnsi="Times New Roman" w:cs="Times New Roman" w:hint="eastAsia"/>
          <w:b w:val="0"/>
          <w:color w:val="auto"/>
          <w:sz w:val="24"/>
          <w:szCs w:val="28"/>
        </w:rPr>
        <w:t>估計法與正則化</w:t>
      </w:r>
      <w:r w:rsidRPr="00706F03">
        <w:rPr>
          <w:rFonts w:ascii="Times New Roman" w:eastAsia="標楷體" w:hAnsi="Times New Roman" w:cs="Times New Roman" w:hint="eastAsia"/>
          <w:b w:val="0"/>
          <w:color w:val="auto"/>
          <w:sz w:val="24"/>
          <w:szCs w:val="28"/>
        </w:rPr>
        <w:tab/>
        <w:t>35</w:t>
      </w:r>
    </w:p>
    <w:p w14:paraId="5F27C017"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3.7.3 </w:t>
      </w:r>
      <w:r w:rsidRPr="00706F03">
        <w:rPr>
          <w:rFonts w:ascii="Times New Roman" w:eastAsia="標楷體" w:hAnsi="Times New Roman" w:cs="Times New Roman" w:hint="eastAsia"/>
          <w:b w:val="0"/>
          <w:color w:val="auto"/>
          <w:sz w:val="24"/>
          <w:szCs w:val="28"/>
        </w:rPr>
        <w:t>充分縮減分數與降維邏輯</w:t>
      </w:r>
      <w:r w:rsidRPr="00706F03">
        <w:rPr>
          <w:rFonts w:ascii="Times New Roman" w:eastAsia="標楷體" w:hAnsi="Times New Roman" w:cs="Times New Roman" w:hint="eastAsia"/>
          <w:b w:val="0"/>
          <w:color w:val="auto"/>
          <w:sz w:val="24"/>
          <w:szCs w:val="28"/>
        </w:rPr>
        <w:tab/>
        <w:t>36</w:t>
      </w:r>
    </w:p>
    <w:p w14:paraId="1301238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 </w:t>
      </w:r>
      <w:r w:rsidRPr="00706F03">
        <w:rPr>
          <w:rFonts w:ascii="Times New Roman" w:eastAsia="標楷體" w:hAnsi="Times New Roman" w:cs="Times New Roman" w:hint="eastAsia"/>
          <w:b w:val="0"/>
          <w:color w:val="auto"/>
          <w:sz w:val="24"/>
          <w:szCs w:val="28"/>
        </w:rPr>
        <w:t>模型流程設計</w:t>
      </w:r>
      <w:r w:rsidRPr="00706F03">
        <w:rPr>
          <w:rFonts w:ascii="Times New Roman" w:eastAsia="標楷體" w:hAnsi="Times New Roman" w:cs="Times New Roman" w:hint="eastAsia"/>
          <w:b w:val="0"/>
          <w:color w:val="auto"/>
          <w:sz w:val="24"/>
          <w:szCs w:val="28"/>
        </w:rPr>
        <w:tab/>
        <w:t>37</w:t>
      </w:r>
    </w:p>
    <w:p w14:paraId="2DBBA39E"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lastRenderedPageBreak/>
        <w:t xml:space="preserve">3.8.1 SVM </w:t>
      </w:r>
      <w:r w:rsidRPr="00706F03">
        <w:rPr>
          <w:rFonts w:ascii="Times New Roman" w:eastAsia="標楷體" w:hAnsi="Times New Roman" w:cs="Times New Roman" w:hint="eastAsia"/>
          <w:b w:val="0"/>
          <w:color w:val="auto"/>
          <w:sz w:val="24"/>
          <w:szCs w:val="28"/>
        </w:rPr>
        <w:t>分類器設定</w:t>
      </w:r>
      <w:r w:rsidRPr="00706F03">
        <w:rPr>
          <w:rFonts w:ascii="Times New Roman" w:eastAsia="標楷體" w:hAnsi="Times New Roman" w:cs="Times New Roman" w:hint="eastAsia"/>
          <w:b w:val="0"/>
          <w:color w:val="auto"/>
          <w:sz w:val="24"/>
          <w:szCs w:val="28"/>
        </w:rPr>
        <w:tab/>
        <w:t>37</w:t>
      </w:r>
    </w:p>
    <w:p w14:paraId="1280AE2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3.8.2 Chi-square + MNIR + SVM </w:t>
      </w:r>
      <w:r w:rsidRPr="00706F03">
        <w:rPr>
          <w:rFonts w:ascii="Times New Roman" w:eastAsia="標楷體" w:hAnsi="Times New Roman" w:cs="Times New Roman" w:hint="eastAsia"/>
          <w:b w:val="0"/>
          <w:color w:val="auto"/>
          <w:sz w:val="24"/>
          <w:szCs w:val="28"/>
        </w:rPr>
        <w:t>流程</w:t>
      </w:r>
      <w:r w:rsidRPr="00706F03">
        <w:rPr>
          <w:rFonts w:ascii="Times New Roman" w:eastAsia="標楷體" w:hAnsi="Times New Roman" w:cs="Times New Roman" w:hint="eastAsia"/>
          <w:b w:val="0"/>
          <w:color w:val="auto"/>
          <w:sz w:val="24"/>
          <w:szCs w:val="28"/>
        </w:rPr>
        <w:tab/>
        <w:t>39</w:t>
      </w:r>
    </w:p>
    <w:p w14:paraId="6DA4F7A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3.8.3 Chi-square + SVM </w:t>
      </w:r>
      <w:r w:rsidRPr="00706F03">
        <w:rPr>
          <w:rFonts w:ascii="Times New Roman" w:eastAsia="標楷體" w:hAnsi="Times New Roman" w:cs="Times New Roman" w:hint="eastAsia"/>
          <w:b w:val="0"/>
          <w:color w:val="auto"/>
          <w:sz w:val="24"/>
          <w:szCs w:val="28"/>
        </w:rPr>
        <w:t>對照流程</w:t>
      </w:r>
      <w:r w:rsidRPr="00706F03">
        <w:rPr>
          <w:rFonts w:ascii="Times New Roman" w:eastAsia="標楷體" w:hAnsi="Times New Roman" w:cs="Times New Roman" w:hint="eastAsia"/>
          <w:b w:val="0"/>
          <w:color w:val="auto"/>
          <w:sz w:val="24"/>
          <w:szCs w:val="28"/>
        </w:rPr>
        <w:tab/>
        <w:t>40</w:t>
      </w:r>
    </w:p>
    <w:p w14:paraId="6CBD0546"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b w:val="0"/>
          <w:color w:val="auto"/>
          <w:sz w:val="24"/>
          <w:szCs w:val="28"/>
        </w:rPr>
        <w:t>3.8.4 Majority Class baseline</w:t>
      </w:r>
      <w:r w:rsidRPr="00706F03">
        <w:rPr>
          <w:rFonts w:ascii="Times New Roman" w:eastAsia="標楷體" w:hAnsi="Times New Roman" w:cs="Times New Roman"/>
          <w:b w:val="0"/>
          <w:color w:val="auto"/>
          <w:sz w:val="24"/>
          <w:szCs w:val="28"/>
        </w:rPr>
        <w:tab/>
        <w:t>41</w:t>
      </w:r>
    </w:p>
    <w:p w14:paraId="2A803F59"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3.8.5 </w:t>
      </w:r>
      <w:r w:rsidRPr="00706F03">
        <w:rPr>
          <w:rFonts w:ascii="Times New Roman" w:eastAsia="標楷體" w:hAnsi="Times New Roman" w:cs="Times New Roman" w:hint="eastAsia"/>
          <w:b w:val="0"/>
          <w:color w:val="auto"/>
          <w:sz w:val="24"/>
          <w:szCs w:val="28"/>
        </w:rPr>
        <w:t>模型評估方式</w:t>
      </w:r>
      <w:r w:rsidRPr="00706F03">
        <w:rPr>
          <w:rFonts w:ascii="Times New Roman" w:eastAsia="標楷體" w:hAnsi="Times New Roman" w:cs="Times New Roman" w:hint="eastAsia"/>
          <w:b w:val="0"/>
          <w:color w:val="auto"/>
          <w:sz w:val="24"/>
          <w:szCs w:val="28"/>
        </w:rPr>
        <w:tab/>
        <w:t>41</w:t>
      </w:r>
    </w:p>
    <w:p w14:paraId="150B08F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3.8.6 </w:t>
      </w:r>
      <w:r w:rsidRPr="00706F03">
        <w:rPr>
          <w:rFonts w:ascii="Times New Roman" w:eastAsia="標楷體" w:hAnsi="Times New Roman" w:cs="Times New Roman" w:hint="eastAsia"/>
          <w:b w:val="0"/>
          <w:color w:val="auto"/>
          <w:sz w:val="24"/>
          <w:szCs w:val="28"/>
        </w:rPr>
        <w:t>本研究各方法之功能與流程比較</w:t>
      </w:r>
      <w:r w:rsidRPr="00706F03">
        <w:rPr>
          <w:rFonts w:ascii="Times New Roman" w:eastAsia="標楷體" w:hAnsi="Times New Roman" w:cs="Times New Roman" w:hint="eastAsia"/>
          <w:b w:val="0"/>
          <w:color w:val="auto"/>
          <w:sz w:val="24"/>
          <w:szCs w:val="28"/>
        </w:rPr>
        <w:tab/>
        <w:t>43</w:t>
      </w:r>
    </w:p>
    <w:p w14:paraId="6364623E"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3.9 </w:t>
      </w:r>
      <w:r w:rsidRPr="00706F03">
        <w:rPr>
          <w:rFonts w:ascii="Times New Roman" w:eastAsia="標楷體" w:hAnsi="Times New Roman" w:cs="Times New Roman" w:hint="eastAsia"/>
          <w:b w:val="0"/>
          <w:color w:val="auto"/>
          <w:sz w:val="24"/>
          <w:szCs w:val="28"/>
        </w:rPr>
        <w:t>資料集劃分與參數選擇</w:t>
      </w:r>
      <w:r w:rsidRPr="00706F03">
        <w:rPr>
          <w:rFonts w:ascii="Times New Roman" w:eastAsia="標楷體" w:hAnsi="Times New Roman" w:cs="Times New Roman" w:hint="eastAsia"/>
          <w:b w:val="0"/>
          <w:color w:val="auto"/>
          <w:sz w:val="24"/>
          <w:szCs w:val="28"/>
        </w:rPr>
        <w:tab/>
        <w:t>44</w:t>
      </w:r>
    </w:p>
    <w:p w14:paraId="1D19D54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3.10 </w:t>
      </w:r>
      <w:r w:rsidRPr="00706F03">
        <w:rPr>
          <w:rFonts w:ascii="Times New Roman" w:eastAsia="標楷體" w:hAnsi="Times New Roman" w:cs="Times New Roman" w:hint="eastAsia"/>
          <w:b w:val="0"/>
          <w:color w:val="auto"/>
          <w:sz w:val="24"/>
          <w:szCs w:val="28"/>
        </w:rPr>
        <w:t>小結</w:t>
      </w:r>
      <w:r w:rsidRPr="00706F03">
        <w:rPr>
          <w:rFonts w:ascii="Times New Roman" w:eastAsia="標楷體" w:hAnsi="Times New Roman" w:cs="Times New Roman" w:hint="eastAsia"/>
          <w:b w:val="0"/>
          <w:color w:val="auto"/>
          <w:sz w:val="24"/>
          <w:szCs w:val="28"/>
        </w:rPr>
        <w:tab/>
        <w:t>46</w:t>
      </w:r>
    </w:p>
    <w:p w14:paraId="03185FE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第四章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研究結果與分析</w:t>
      </w:r>
      <w:r w:rsidRPr="00706F03">
        <w:rPr>
          <w:rFonts w:ascii="Times New Roman" w:eastAsia="標楷體" w:hAnsi="Times New Roman" w:cs="Times New Roman" w:hint="eastAsia"/>
          <w:b w:val="0"/>
          <w:color w:val="auto"/>
          <w:sz w:val="24"/>
          <w:szCs w:val="28"/>
        </w:rPr>
        <w:tab/>
        <w:t>48</w:t>
      </w:r>
    </w:p>
    <w:p w14:paraId="59233F6F"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4.1 </w:t>
      </w:r>
      <w:r w:rsidRPr="00706F03">
        <w:rPr>
          <w:rFonts w:ascii="Times New Roman" w:eastAsia="標楷體" w:hAnsi="Times New Roman" w:cs="Times New Roman" w:hint="eastAsia"/>
          <w:b w:val="0"/>
          <w:color w:val="auto"/>
          <w:sz w:val="24"/>
          <w:szCs w:val="28"/>
        </w:rPr>
        <w:t>實驗設定與評估邏輯</w:t>
      </w:r>
      <w:r w:rsidRPr="00706F03">
        <w:rPr>
          <w:rFonts w:ascii="Times New Roman" w:eastAsia="標楷體" w:hAnsi="Times New Roman" w:cs="Times New Roman" w:hint="eastAsia"/>
          <w:b w:val="0"/>
          <w:color w:val="auto"/>
          <w:sz w:val="24"/>
          <w:szCs w:val="28"/>
        </w:rPr>
        <w:tab/>
        <w:t>48</w:t>
      </w:r>
    </w:p>
    <w:p w14:paraId="3845797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4.2 Chi-square + MNIR + SVM </w:t>
      </w:r>
      <w:r w:rsidRPr="00706F03">
        <w:rPr>
          <w:rFonts w:ascii="Times New Roman" w:eastAsia="標楷體" w:hAnsi="Times New Roman" w:cs="Times New Roman" w:hint="eastAsia"/>
          <w:b w:val="0"/>
          <w:color w:val="auto"/>
          <w:sz w:val="24"/>
          <w:szCs w:val="28"/>
        </w:rPr>
        <w:t>核心流程之模型表現</w:t>
      </w:r>
      <w:r w:rsidRPr="00706F03">
        <w:rPr>
          <w:rFonts w:ascii="Times New Roman" w:eastAsia="標楷體" w:hAnsi="Times New Roman" w:cs="Times New Roman" w:hint="eastAsia"/>
          <w:b w:val="0"/>
          <w:color w:val="auto"/>
          <w:sz w:val="24"/>
          <w:szCs w:val="28"/>
        </w:rPr>
        <w:tab/>
        <w:t>49</w:t>
      </w:r>
    </w:p>
    <w:p w14:paraId="5C51A98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4.3 Chi-square + SVM </w:t>
      </w:r>
      <w:r w:rsidRPr="00706F03">
        <w:rPr>
          <w:rFonts w:ascii="Times New Roman" w:eastAsia="標楷體" w:hAnsi="Times New Roman" w:cs="Times New Roman" w:hint="eastAsia"/>
          <w:b w:val="0"/>
          <w:color w:val="auto"/>
          <w:sz w:val="24"/>
          <w:szCs w:val="28"/>
        </w:rPr>
        <w:t>對照流程之模型表現</w:t>
      </w:r>
      <w:r w:rsidRPr="00706F03">
        <w:rPr>
          <w:rFonts w:ascii="Times New Roman" w:eastAsia="標楷體" w:hAnsi="Times New Roman" w:cs="Times New Roman" w:hint="eastAsia"/>
          <w:b w:val="0"/>
          <w:color w:val="auto"/>
          <w:sz w:val="24"/>
          <w:szCs w:val="28"/>
        </w:rPr>
        <w:tab/>
        <w:t>49</w:t>
      </w:r>
    </w:p>
    <w:p w14:paraId="43E1EEC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4.4 Chi-square + MNIR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之整體流程比較</w:t>
      </w:r>
      <w:r w:rsidRPr="00706F03">
        <w:rPr>
          <w:rFonts w:ascii="Times New Roman" w:eastAsia="標楷體" w:hAnsi="Times New Roman" w:cs="Times New Roman" w:hint="eastAsia"/>
          <w:b w:val="0"/>
          <w:color w:val="auto"/>
          <w:sz w:val="24"/>
          <w:szCs w:val="28"/>
        </w:rPr>
        <w:tab/>
        <w:t>50</w:t>
      </w:r>
    </w:p>
    <w:p w14:paraId="4D91DB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4.5 </w:t>
      </w:r>
      <w:r w:rsidRPr="00706F03">
        <w:rPr>
          <w:rFonts w:ascii="Times New Roman" w:eastAsia="標楷體" w:hAnsi="Times New Roman" w:cs="Times New Roman" w:hint="eastAsia"/>
          <w:b w:val="0"/>
          <w:color w:val="auto"/>
          <w:sz w:val="24"/>
          <w:szCs w:val="28"/>
        </w:rPr>
        <w:t>不同文字特徵表示之影響</w:t>
      </w:r>
      <w:r w:rsidRPr="00706F03">
        <w:rPr>
          <w:rFonts w:ascii="Times New Roman" w:eastAsia="標楷體" w:hAnsi="Times New Roman" w:cs="Times New Roman" w:hint="eastAsia"/>
          <w:b w:val="0"/>
          <w:color w:val="auto"/>
          <w:sz w:val="24"/>
          <w:szCs w:val="28"/>
        </w:rPr>
        <w:tab/>
        <w:t>53</w:t>
      </w:r>
    </w:p>
    <w:p w14:paraId="6F8C5EC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4.6 </w:t>
      </w:r>
      <w:r w:rsidRPr="00706F03">
        <w:rPr>
          <w:rFonts w:ascii="Times New Roman" w:eastAsia="標楷體" w:hAnsi="Times New Roman" w:cs="Times New Roman" w:hint="eastAsia"/>
          <w:b w:val="0"/>
          <w:color w:val="auto"/>
          <w:sz w:val="24"/>
          <w:szCs w:val="28"/>
        </w:rPr>
        <w:t>參數選擇與驗證集表現</w:t>
      </w:r>
      <w:r w:rsidRPr="00706F03">
        <w:rPr>
          <w:rFonts w:ascii="Times New Roman" w:eastAsia="標楷體" w:hAnsi="Times New Roman" w:cs="Times New Roman" w:hint="eastAsia"/>
          <w:b w:val="0"/>
          <w:color w:val="auto"/>
          <w:sz w:val="24"/>
          <w:szCs w:val="28"/>
        </w:rPr>
        <w:tab/>
        <w:t>54</w:t>
      </w:r>
    </w:p>
    <w:p w14:paraId="771BE95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4.7 </w:t>
      </w:r>
      <w:r w:rsidRPr="00706F03">
        <w:rPr>
          <w:rFonts w:ascii="Times New Roman" w:eastAsia="標楷體" w:hAnsi="Times New Roman" w:cs="Times New Roman" w:hint="eastAsia"/>
          <w:b w:val="0"/>
          <w:color w:val="auto"/>
          <w:sz w:val="24"/>
          <w:szCs w:val="28"/>
        </w:rPr>
        <w:t>錯誤分析與少數類別限制</w:t>
      </w:r>
      <w:r w:rsidRPr="00706F03">
        <w:rPr>
          <w:rFonts w:ascii="Times New Roman" w:eastAsia="標楷體" w:hAnsi="Times New Roman" w:cs="Times New Roman" w:hint="eastAsia"/>
          <w:b w:val="0"/>
          <w:color w:val="auto"/>
          <w:sz w:val="24"/>
          <w:szCs w:val="28"/>
        </w:rPr>
        <w:tab/>
        <w:t>56</w:t>
      </w:r>
    </w:p>
    <w:p w14:paraId="04D325D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4.8 </w:t>
      </w:r>
      <w:r w:rsidRPr="00706F03">
        <w:rPr>
          <w:rFonts w:ascii="Times New Roman" w:eastAsia="標楷體" w:hAnsi="Times New Roman" w:cs="Times New Roman" w:hint="eastAsia"/>
          <w:b w:val="0"/>
          <w:color w:val="auto"/>
          <w:sz w:val="24"/>
          <w:szCs w:val="28"/>
        </w:rPr>
        <w:t>小結</w:t>
      </w:r>
      <w:r w:rsidRPr="00706F03">
        <w:rPr>
          <w:rFonts w:ascii="Times New Roman" w:eastAsia="標楷體" w:hAnsi="Times New Roman" w:cs="Times New Roman" w:hint="eastAsia"/>
          <w:b w:val="0"/>
          <w:color w:val="auto"/>
          <w:sz w:val="24"/>
          <w:szCs w:val="28"/>
        </w:rPr>
        <w:tab/>
        <w:t>58</w:t>
      </w:r>
    </w:p>
    <w:p w14:paraId="335F79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第五章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結論與建議</w:t>
      </w:r>
      <w:r w:rsidRPr="00706F03">
        <w:rPr>
          <w:rFonts w:ascii="Times New Roman" w:eastAsia="標楷體" w:hAnsi="Times New Roman" w:cs="Times New Roman" w:hint="eastAsia"/>
          <w:b w:val="0"/>
          <w:color w:val="auto"/>
          <w:sz w:val="24"/>
          <w:szCs w:val="28"/>
        </w:rPr>
        <w:tab/>
        <w:t>60</w:t>
      </w:r>
    </w:p>
    <w:p w14:paraId="70BF602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5.1 </w:t>
      </w:r>
      <w:r w:rsidRPr="00706F03">
        <w:rPr>
          <w:rFonts w:ascii="Times New Roman" w:eastAsia="標楷體" w:hAnsi="Times New Roman" w:cs="Times New Roman" w:hint="eastAsia"/>
          <w:b w:val="0"/>
          <w:color w:val="auto"/>
          <w:sz w:val="24"/>
          <w:szCs w:val="28"/>
        </w:rPr>
        <w:t>研究結論</w:t>
      </w:r>
      <w:r w:rsidRPr="00706F03">
        <w:rPr>
          <w:rFonts w:ascii="Times New Roman" w:eastAsia="標楷體" w:hAnsi="Times New Roman" w:cs="Times New Roman" w:hint="eastAsia"/>
          <w:b w:val="0"/>
          <w:color w:val="auto"/>
          <w:sz w:val="24"/>
          <w:szCs w:val="28"/>
        </w:rPr>
        <w:tab/>
        <w:t>60</w:t>
      </w:r>
    </w:p>
    <w:p w14:paraId="78D814E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5.2 </w:t>
      </w:r>
      <w:r w:rsidRPr="00706F03">
        <w:rPr>
          <w:rFonts w:ascii="Times New Roman" w:eastAsia="標楷體" w:hAnsi="Times New Roman" w:cs="Times New Roman" w:hint="eastAsia"/>
          <w:b w:val="0"/>
          <w:color w:val="auto"/>
          <w:sz w:val="24"/>
          <w:szCs w:val="28"/>
        </w:rPr>
        <w:t>研究貢獻</w:t>
      </w:r>
      <w:r w:rsidRPr="00706F03">
        <w:rPr>
          <w:rFonts w:ascii="Times New Roman" w:eastAsia="標楷體" w:hAnsi="Times New Roman" w:cs="Times New Roman" w:hint="eastAsia"/>
          <w:b w:val="0"/>
          <w:color w:val="auto"/>
          <w:sz w:val="24"/>
          <w:szCs w:val="28"/>
        </w:rPr>
        <w:tab/>
        <w:t>61</w:t>
      </w:r>
    </w:p>
    <w:p w14:paraId="14A5C07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5.3 </w:t>
      </w:r>
      <w:r w:rsidRPr="00706F03">
        <w:rPr>
          <w:rFonts w:ascii="Times New Roman" w:eastAsia="標楷體" w:hAnsi="Times New Roman" w:cs="Times New Roman" w:hint="eastAsia"/>
          <w:b w:val="0"/>
          <w:color w:val="auto"/>
          <w:sz w:val="24"/>
          <w:szCs w:val="28"/>
        </w:rPr>
        <w:t>研究限制</w:t>
      </w:r>
      <w:r w:rsidRPr="00706F03">
        <w:rPr>
          <w:rFonts w:ascii="Times New Roman" w:eastAsia="標楷體" w:hAnsi="Times New Roman" w:cs="Times New Roman" w:hint="eastAsia"/>
          <w:b w:val="0"/>
          <w:color w:val="auto"/>
          <w:sz w:val="24"/>
          <w:szCs w:val="28"/>
        </w:rPr>
        <w:tab/>
        <w:t>62</w:t>
      </w:r>
    </w:p>
    <w:p w14:paraId="35D4C4F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 </w:t>
      </w:r>
      <w:r w:rsidRPr="00706F03">
        <w:rPr>
          <w:rFonts w:ascii="Times New Roman" w:eastAsia="標楷體" w:hAnsi="Times New Roman" w:cs="Times New Roman" w:hint="eastAsia"/>
          <w:b w:val="0"/>
          <w:color w:val="auto"/>
          <w:sz w:val="24"/>
          <w:szCs w:val="28"/>
        </w:rPr>
        <w:t>研究結果之建議</w:t>
      </w:r>
      <w:r w:rsidRPr="00706F03">
        <w:rPr>
          <w:rFonts w:ascii="Times New Roman" w:eastAsia="標楷體" w:hAnsi="Times New Roman" w:cs="Times New Roman" w:hint="eastAsia"/>
          <w:b w:val="0"/>
          <w:color w:val="auto"/>
          <w:sz w:val="24"/>
          <w:szCs w:val="28"/>
        </w:rPr>
        <w:tab/>
        <w:t>64</w:t>
      </w:r>
    </w:p>
    <w:p w14:paraId="3E95BCC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5.4.1 </w:t>
      </w:r>
      <w:r w:rsidRPr="00706F03">
        <w:rPr>
          <w:rFonts w:ascii="Times New Roman" w:eastAsia="標楷體" w:hAnsi="Times New Roman" w:cs="Times New Roman" w:hint="eastAsia"/>
          <w:b w:val="0"/>
          <w:color w:val="auto"/>
          <w:sz w:val="24"/>
          <w:szCs w:val="28"/>
        </w:rPr>
        <w:t>對模型與特徵表示選擇之建議</w:t>
      </w:r>
      <w:r w:rsidRPr="00706F03">
        <w:rPr>
          <w:rFonts w:ascii="Times New Roman" w:eastAsia="標楷體" w:hAnsi="Times New Roman" w:cs="Times New Roman" w:hint="eastAsia"/>
          <w:b w:val="0"/>
          <w:color w:val="auto"/>
          <w:sz w:val="24"/>
          <w:szCs w:val="28"/>
        </w:rPr>
        <w:tab/>
        <w:t>65</w:t>
      </w:r>
    </w:p>
    <w:p w14:paraId="11781834"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5.4.2 </w:t>
      </w:r>
      <w:r w:rsidRPr="00706F03">
        <w:rPr>
          <w:rFonts w:ascii="Times New Roman" w:eastAsia="標楷體" w:hAnsi="Times New Roman" w:cs="Times New Roman" w:hint="eastAsia"/>
          <w:b w:val="0"/>
          <w:color w:val="auto"/>
          <w:sz w:val="24"/>
          <w:szCs w:val="28"/>
        </w:rPr>
        <w:t>對不同資料情境之模型選擇建議</w:t>
      </w:r>
      <w:r w:rsidRPr="00706F03">
        <w:rPr>
          <w:rFonts w:ascii="Times New Roman" w:eastAsia="標楷體" w:hAnsi="Times New Roman" w:cs="Times New Roman" w:hint="eastAsia"/>
          <w:b w:val="0"/>
          <w:color w:val="auto"/>
          <w:sz w:val="24"/>
          <w:szCs w:val="28"/>
        </w:rPr>
        <w:tab/>
        <w:t>65</w:t>
      </w:r>
    </w:p>
    <w:p w14:paraId="47454AA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5.4.3 </w:t>
      </w:r>
      <w:r w:rsidRPr="00706F03">
        <w:rPr>
          <w:rFonts w:ascii="Times New Roman" w:eastAsia="標楷體" w:hAnsi="Times New Roman" w:cs="Times New Roman" w:hint="eastAsia"/>
          <w:b w:val="0"/>
          <w:color w:val="auto"/>
          <w:sz w:val="24"/>
          <w:szCs w:val="28"/>
        </w:rPr>
        <w:t>對後續研究與實務應用之建議</w:t>
      </w:r>
      <w:r w:rsidRPr="00706F03">
        <w:rPr>
          <w:rFonts w:ascii="Times New Roman" w:eastAsia="標楷體" w:hAnsi="Times New Roman" w:cs="Times New Roman" w:hint="eastAsia"/>
          <w:b w:val="0"/>
          <w:color w:val="auto"/>
          <w:sz w:val="24"/>
          <w:szCs w:val="28"/>
        </w:rPr>
        <w:tab/>
        <w:t>66</w:t>
      </w:r>
    </w:p>
    <w:p w14:paraId="484E82C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5.5 </w:t>
      </w:r>
      <w:r w:rsidRPr="00706F03">
        <w:rPr>
          <w:rFonts w:ascii="Times New Roman" w:eastAsia="標楷體" w:hAnsi="Times New Roman" w:cs="Times New Roman" w:hint="eastAsia"/>
          <w:b w:val="0"/>
          <w:color w:val="auto"/>
          <w:sz w:val="24"/>
          <w:szCs w:val="28"/>
        </w:rPr>
        <w:t>總結</w:t>
      </w:r>
      <w:r w:rsidRPr="00706F03">
        <w:rPr>
          <w:rFonts w:ascii="Times New Roman" w:eastAsia="標楷體" w:hAnsi="Times New Roman" w:cs="Times New Roman" w:hint="eastAsia"/>
          <w:b w:val="0"/>
          <w:color w:val="auto"/>
          <w:sz w:val="24"/>
          <w:szCs w:val="28"/>
        </w:rPr>
        <w:tab/>
        <w:t>67</w:t>
      </w:r>
    </w:p>
    <w:p w14:paraId="06FBBB0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參考文獻</w:t>
      </w:r>
      <w:r w:rsidRPr="00706F03">
        <w:rPr>
          <w:rFonts w:ascii="Times New Roman" w:eastAsia="標楷體" w:hAnsi="Times New Roman" w:cs="Times New Roman" w:hint="eastAsia"/>
          <w:b w:val="0"/>
          <w:color w:val="auto"/>
          <w:sz w:val="24"/>
          <w:szCs w:val="28"/>
        </w:rPr>
        <w:tab/>
        <w:t>71</w:t>
      </w:r>
    </w:p>
    <w:p w14:paraId="0243A264"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表目錄</w:t>
      </w:r>
    </w:p>
    <w:p w14:paraId="77B9806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3-1 </w:t>
      </w:r>
      <w:r w:rsidRPr="00706F03">
        <w:rPr>
          <w:rFonts w:ascii="Times New Roman" w:eastAsia="標楷體" w:hAnsi="Times New Roman" w:cs="Times New Roman" w:hint="eastAsia"/>
          <w:b w:val="0"/>
          <w:color w:val="auto"/>
          <w:sz w:val="24"/>
          <w:szCs w:val="28"/>
        </w:rPr>
        <w:t>原始資料欄位說明</w:t>
      </w:r>
      <w:r w:rsidRPr="00706F03">
        <w:rPr>
          <w:rFonts w:ascii="Times New Roman" w:eastAsia="標楷體" w:hAnsi="Times New Roman" w:cs="Times New Roman" w:hint="eastAsia"/>
          <w:b w:val="0"/>
          <w:color w:val="auto"/>
          <w:sz w:val="24"/>
          <w:szCs w:val="28"/>
        </w:rPr>
        <w:tab/>
        <w:t>21</w:t>
      </w:r>
    </w:p>
    <w:p w14:paraId="228125A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3-2 </w:t>
      </w:r>
      <w:r w:rsidRPr="00706F03">
        <w:rPr>
          <w:rFonts w:ascii="Times New Roman" w:eastAsia="標楷體" w:hAnsi="Times New Roman" w:cs="Times New Roman" w:hint="eastAsia"/>
          <w:b w:val="0"/>
          <w:color w:val="auto"/>
          <w:sz w:val="24"/>
          <w:szCs w:val="28"/>
        </w:rPr>
        <w:t>案件類型之法律性質與例示</w:t>
      </w:r>
      <w:r w:rsidRPr="00706F03">
        <w:rPr>
          <w:rFonts w:ascii="Times New Roman" w:eastAsia="標楷體" w:hAnsi="Times New Roman" w:cs="Times New Roman" w:hint="eastAsia"/>
          <w:b w:val="0"/>
          <w:color w:val="auto"/>
          <w:sz w:val="24"/>
          <w:szCs w:val="28"/>
        </w:rPr>
        <w:tab/>
        <w:t>23</w:t>
      </w:r>
    </w:p>
    <w:p w14:paraId="4F8F3849"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3-3 </w:t>
      </w:r>
      <w:r w:rsidRPr="00706F03">
        <w:rPr>
          <w:rFonts w:ascii="Times New Roman" w:eastAsia="標楷體" w:hAnsi="Times New Roman" w:cs="Times New Roman" w:hint="eastAsia"/>
          <w:b w:val="0"/>
          <w:color w:val="auto"/>
          <w:sz w:val="24"/>
          <w:szCs w:val="28"/>
        </w:rPr>
        <w:t>各案件類型與裁判結果標籤之對應原則</w:t>
      </w:r>
      <w:r w:rsidRPr="00706F03">
        <w:rPr>
          <w:rFonts w:ascii="Times New Roman" w:eastAsia="標楷體" w:hAnsi="Times New Roman" w:cs="Times New Roman" w:hint="eastAsia"/>
          <w:b w:val="0"/>
          <w:color w:val="auto"/>
          <w:sz w:val="24"/>
          <w:szCs w:val="28"/>
        </w:rPr>
        <w:t>24</w:t>
      </w:r>
      <w:r w:rsidRPr="00706F03">
        <w:rPr>
          <w:rFonts w:ascii="Times New Roman" w:eastAsia="標楷體" w:hAnsi="Times New Roman" w:cs="Times New Roman" w:hint="eastAsia"/>
          <w:b w:val="0"/>
          <w:color w:val="auto"/>
          <w:sz w:val="24"/>
          <w:szCs w:val="28"/>
        </w:rPr>
        <w:tab/>
      </w:r>
    </w:p>
    <w:p w14:paraId="446F2B9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3-4 </w:t>
      </w:r>
      <w:r w:rsidRPr="00706F03">
        <w:rPr>
          <w:rFonts w:ascii="Times New Roman" w:eastAsia="標楷體" w:hAnsi="Times New Roman" w:cs="Times New Roman" w:hint="eastAsia"/>
          <w:b w:val="0"/>
          <w:color w:val="auto"/>
          <w:sz w:val="24"/>
          <w:szCs w:val="28"/>
        </w:rPr>
        <w:t>案件類型與裁判結果分布</w:t>
      </w:r>
      <w:r w:rsidRPr="00706F03">
        <w:rPr>
          <w:rFonts w:ascii="Times New Roman" w:eastAsia="標楷體" w:hAnsi="Times New Roman" w:cs="Times New Roman" w:hint="eastAsia"/>
          <w:b w:val="0"/>
          <w:color w:val="auto"/>
          <w:sz w:val="24"/>
          <w:szCs w:val="28"/>
        </w:rPr>
        <w:t>25</w:t>
      </w:r>
      <w:r w:rsidRPr="00706F03">
        <w:rPr>
          <w:rFonts w:ascii="Times New Roman" w:eastAsia="標楷體" w:hAnsi="Times New Roman" w:cs="Times New Roman" w:hint="eastAsia"/>
          <w:b w:val="0"/>
          <w:color w:val="auto"/>
          <w:sz w:val="24"/>
          <w:szCs w:val="28"/>
        </w:rPr>
        <w:tab/>
      </w:r>
    </w:p>
    <w:p w14:paraId="77E7852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3-5 </w:t>
      </w:r>
      <w:r w:rsidRPr="00706F03">
        <w:rPr>
          <w:rFonts w:ascii="Times New Roman" w:eastAsia="標楷體" w:hAnsi="Times New Roman" w:cs="Times New Roman" w:hint="eastAsia"/>
          <w:b w:val="0"/>
          <w:color w:val="auto"/>
          <w:sz w:val="24"/>
          <w:szCs w:val="28"/>
        </w:rPr>
        <w:t>年度區間與案件類型分布</w:t>
      </w:r>
      <w:r w:rsidRPr="00706F03">
        <w:rPr>
          <w:rFonts w:ascii="Times New Roman" w:eastAsia="標楷體" w:hAnsi="Times New Roman" w:cs="Times New Roman" w:hint="eastAsia"/>
          <w:b w:val="0"/>
          <w:color w:val="auto"/>
          <w:sz w:val="24"/>
          <w:szCs w:val="28"/>
        </w:rPr>
        <w:t>26</w:t>
      </w:r>
      <w:r w:rsidRPr="00706F03">
        <w:rPr>
          <w:rFonts w:ascii="Times New Roman" w:eastAsia="標楷體" w:hAnsi="Times New Roman" w:cs="Times New Roman" w:hint="eastAsia"/>
          <w:b w:val="0"/>
          <w:color w:val="auto"/>
          <w:sz w:val="24"/>
          <w:szCs w:val="28"/>
        </w:rPr>
        <w:tab/>
      </w:r>
    </w:p>
    <w:p w14:paraId="07ED53A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3-6 </w:t>
      </w:r>
      <w:r w:rsidRPr="00706F03">
        <w:rPr>
          <w:rFonts w:ascii="Times New Roman" w:eastAsia="標楷體" w:hAnsi="Times New Roman" w:cs="Times New Roman" w:hint="eastAsia"/>
          <w:b w:val="0"/>
          <w:color w:val="auto"/>
          <w:sz w:val="24"/>
          <w:szCs w:val="28"/>
        </w:rPr>
        <w:t>年度區間與裁判結果比例</w:t>
      </w:r>
      <w:r w:rsidRPr="00706F03">
        <w:rPr>
          <w:rFonts w:ascii="Times New Roman" w:eastAsia="標楷體" w:hAnsi="Times New Roman" w:cs="Times New Roman" w:hint="eastAsia"/>
          <w:b w:val="0"/>
          <w:color w:val="auto"/>
          <w:sz w:val="24"/>
          <w:szCs w:val="28"/>
        </w:rPr>
        <w:t>27</w:t>
      </w:r>
      <w:r w:rsidRPr="00706F03">
        <w:rPr>
          <w:rFonts w:ascii="Times New Roman" w:eastAsia="標楷體" w:hAnsi="Times New Roman" w:cs="Times New Roman" w:hint="eastAsia"/>
          <w:b w:val="0"/>
          <w:color w:val="auto"/>
          <w:sz w:val="24"/>
          <w:szCs w:val="28"/>
        </w:rPr>
        <w:tab/>
      </w:r>
    </w:p>
    <w:p w14:paraId="36AF50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3-7 TP</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FP</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FN</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TN </w:t>
      </w:r>
      <w:r w:rsidRPr="00706F03">
        <w:rPr>
          <w:rFonts w:ascii="Times New Roman" w:eastAsia="標楷體" w:hAnsi="Times New Roman" w:cs="Times New Roman" w:hint="eastAsia"/>
          <w:b w:val="0"/>
          <w:color w:val="auto"/>
          <w:sz w:val="24"/>
          <w:szCs w:val="28"/>
        </w:rPr>
        <w:t>判斷示意表</w:t>
      </w:r>
      <w:r w:rsidRPr="00706F03">
        <w:rPr>
          <w:rFonts w:ascii="Times New Roman" w:eastAsia="標楷體" w:hAnsi="Times New Roman" w:cs="Times New Roman" w:hint="eastAsia"/>
          <w:b w:val="0"/>
          <w:color w:val="auto"/>
          <w:sz w:val="24"/>
          <w:szCs w:val="28"/>
        </w:rPr>
        <w:t>42</w:t>
      </w:r>
      <w:r w:rsidRPr="00706F03">
        <w:rPr>
          <w:rFonts w:ascii="Times New Roman" w:eastAsia="標楷體" w:hAnsi="Times New Roman" w:cs="Times New Roman" w:hint="eastAsia"/>
          <w:b w:val="0"/>
          <w:color w:val="auto"/>
          <w:sz w:val="24"/>
          <w:szCs w:val="28"/>
        </w:rPr>
        <w:tab/>
      </w:r>
    </w:p>
    <w:p w14:paraId="7EA9DA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3-8 </w:t>
      </w:r>
      <w:r w:rsidRPr="00706F03">
        <w:rPr>
          <w:rFonts w:ascii="Times New Roman" w:eastAsia="標楷體" w:hAnsi="Times New Roman" w:cs="Times New Roman" w:hint="eastAsia"/>
          <w:b w:val="0"/>
          <w:color w:val="auto"/>
          <w:sz w:val="24"/>
          <w:szCs w:val="28"/>
        </w:rPr>
        <w:t>本研究各方法之功能與流程比較</w:t>
      </w:r>
      <w:r w:rsidRPr="00706F03">
        <w:rPr>
          <w:rFonts w:ascii="Times New Roman" w:eastAsia="標楷體" w:hAnsi="Times New Roman" w:cs="Times New Roman" w:hint="eastAsia"/>
          <w:b w:val="0"/>
          <w:color w:val="auto"/>
          <w:sz w:val="24"/>
          <w:szCs w:val="28"/>
        </w:rPr>
        <w:t>44</w:t>
      </w:r>
      <w:r w:rsidRPr="00706F03">
        <w:rPr>
          <w:rFonts w:ascii="Times New Roman" w:eastAsia="標楷體" w:hAnsi="Times New Roman" w:cs="Times New Roman" w:hint="eastAsia"/>
          <w:b w:val="0"/>
          <w:color w:val="auto"/>
          <w:sz w:val="24"/>
          <w:szCs w:val="28"/>
        </w:rPr>
        <w:tab/>
      </w:r>
    </w:p>
    <w:p w14:paraId="552479A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4-1 Chi-square </w:t>
      </w:r>
      <w:r w:rsidRPr="00706F03">
        <w:rPr>
          <w:rFonts w:ascii="Times New Roman" w:eastAsia="標楷體" w:hAnsi="Times New Roman" w:cs="Times New Roman" w:hint="eastAsia"/>
          <w:b w:val="0"/>
          <w:color w:val="auto"/>
          <w:sz w:val="24"/>
          <w:szCs w:val="28"/>
        </w:rPr>
        <w:t>特徵選擇與</w:t>
      </w:r>
      <w:r w:rsidRPr="00706F03">
        <w:rPr>
          <w:rFonts w:ascii="Times New Roman" w:eastAsia="標楷體" w:hAnsi="Times New Roman" w:cs="Times New Roman" w:hint="eastAsia"/>
          <w:b w:val="0"/>
          <w:color w:val="auto"/>
          <w:sz w:val="24"/>
          <w:szCs w:val="28"/>
        </w:rPr>
        <w:t xml:space="preserve"> MNIR </w:t>
      </w:r>
      <w:r w:rsidRPr="00706F03">
        <w:rPr>
          <w:rFonts w:ascii="Times New Roman" w:eastAsia="標楷體" w:hAnsi="Times New Roman" w:cs="Times New Roman" w:hint="eastAsia"/>
          <w:b w:val="0"/>
          <w:color w:val="auto"/>
          <w:sz w:val="24"/>
          <w:szCs w:val="28"/>
        </w:rPr>
        <w:t>轉換後之特徵維度</w:t>
      </w:r>
      <w:r w:rsidRPr="00706F03">
        <w:rPr>
          <w:rFonts w:ascii="Times New Roman" w:eastAsia="標楷體" w:hAnsi="Times New Roman" w:cs="Times New Roman" w:hint="eastAsia"/>
          <w:b w:val="0"/>
          <w:color w:val="auto"/>
          <w:sz w:val="24"/>
          <w:szCs w:val="28"/>
        </w:rPr>
        <w:t>49</w:t>
      </w:r>
      <w:r w:rsidRPr="00706F03">
        <w:rPr>
          <w:rFonts w:ascii="Times New Roman" w:eastAsia="標楷體" w:hAnsi="Times New Roman" w:cs="Times New Roman" w:hint="eastAsia"/>
          <w:b w:val="0"/>
          <w:color w:val="auto"/>
          <w:sz w:val="24"/>
          <w:szCs w:val="28"/>
        </w:rPr>
        <w:tab/>
      </w:r>
    </w:p>
    <w:p w14:paraId="735C764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4-2 Chi-square + MNIR + SVM </w:t>
      </w:r>
      <w:r w:rsidRPr="00706F03">
        <w:rPr>
          <w:rFonts w:ascii="Times New Roman" w:eastAsia="標楷體" w:hAnsi="Times New Roman" w:cs="Times New Roman" w:hint="eastAsia"/>
          <w:b w:val="0"/>
          <w:color w:val="auto"/>
          <w:sz w:val="24"/>
          <w:szCs w:val="28"/>
        </w:rPr>
        <w:t>於各資料集之最佳表現</w:t>
      </w:r>
      <w:r w:rsidRPr="00706F03">
        <w:rPr>
          <w:rFonts w:ascii="Times New Roman" w:eastAsia="標楷體" w:hAnsi="Times New Roman" w:cs="Times New Roman" w:hint="eastAsia"/>
          <w:b w:val="0"/>
          <w:color w:val="auto"/>
          <w:sz w:val="24"/>
          <w:szCs w:val="28"/>
        </w:rPr>
        <w:t>49</w:t>
      </w:r>
      <w:r w:rsidRPr="00706F03">
        <w:rPr>
          <w:rFonts w:ascii="Times New Roman" w:eastAsia="標楷體" w:hAnsi="Times New Roman" w:cs="Times New Roman" w:hint="eastAsia"/>
          <w:b w:val="0"/>
          <w:color w:val="auto"/>
          <w:sz w:val="24"/>
          <w:szCs w:val="28"/>
        </w:rPr>
        <w:tab/>
      </w:r>
    </w:p>
    <w:p w14:paraId="3D33585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4-3 Chi-square + SVM </w:t>
      </w:r>
      <w:r w:rsidRPr="00706F03">
        <w:rPr>
          <w:rFonts w:ascii="Times New Roman" w:eastAsia="標楷體" w:hAnsi="Times New Roman" w:cs="Times New Roman" w:hint="eastAsia"/>
          <w:b w:val="0"/>
          <w:color w:val="auto"/>
          <w:sz w:val="24"/>
          <w:szCs w:val="28"/>
        </w:rPr>
        <w:t>於各資料集之最佳表現</w:t>
      </w:r>
      <w:r w:rsidRPr="00706F03">
        <w:rPr>
          <w:rFonts w:ascii="Times New Roman" w:eastAsia="標楷體" w:hAnsi="Times New Roman" w:cs="Times New Roman" w:hint="eastAsia"/>
          <w:b w:val="0"/>
          <w:color w:val="auto"/>
          <w:sz w:val="24"/>
          <w:szCs w:val="28"/>
        </w:rPr>
        <w:t>50</w:t>
      </w:r>
      <w:r w:rsidRPr="00706F03">
        <w:rPr>
          <w:rFonts w:ascii="Times New Roman" w:eastAsia="標楷體" w:hAnsi="Times New Roman" w:cs="Times New Roman" w:hint="eastAsia"/>
          <w:b w:val="0"/>
          <w:color w:val="auto"/>
          <w:sz w:val="24"/>
          <w:szCs w:val="28"/>
        </w:rPr>
        <w:tab/>
      </w:r>
    </w:p>
    <w:p w14:paraId="75D1D34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4-4 Chi-square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MNIR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51</w:t>
      </w:r>
      <w:r w:rsidRPr="00706F03">
        <w:rPr>
          <w:rFonts w:ascii="Times New Roman" w:eastAsia="標楷體" w:hAnsi="Times New Roman" w:cs="Times New Roman" w:hint="eastAsia"/>
          <w:b w:val="0"/>
          <w:color w:val="auto"/>
          <w:sz w:val="24"/>
          <w:szCs w:val="28"/>
        </w:rPr>
        <w:tab/>
      </w:r>
    </w:p>
    <w:p w14:paraId="0DA44A4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4-5 Chi-square + SVM </w:t>
      </w:r>
      <w:r w:rsidRPr="00706F03">
        <w:rPr>
          <w:rFonts w:ascii="Times New Roman" w:eastAsia="標楷體" w:hAnsi="Times New Roman" w:cs="Times New Roman" w:hint="eastAsia"/>
          <w:b w:val="0"/>
          <w:color w:val="auto"/>
          <w:sz w:val="24"/>
          <w:szCs w:val="28"/>
        </w:rPr>
        <w:t>下</w:t>
      </w:r>
      <w:r w:rsidRPr="00706F03">
        <w:rPr>
          <w:rFonts w:ascii="Times New Roman" w:eastAsia="標楷體" w:hAnsi="Times New Roman" w:cs="Times New Roman" w:hint="eastAsia"/>
          <w:b w:val="0"/>
          <w:color w:val="auto"/>
          <w:sz w:val="24"/>
          <w:szCs w:val="28"/>
        </w:rPr>
        <w:t xml:space="preserve"> </w:t>
      </w:r>
      <w:proofErr w:type="spellStart"/>
      <w:r w:rsidRPr="00706F03">
        <w:rPr>
          <w:rFonts w:ascii="Times New Roman" w:eastAsia="標楷體" w:hAnsi="Times New Roman" w:cs="Times New Roman" w:hint="eastAsia"/>
          <w:b w:val="0"/>
          <w:color w:val="auto"/>
          <w:sz w:val="24"/>
          <w:szCs w:val="28"/>
        </w:rPr>
        <w:t>BoW</w:t>
      </w:r>
      <w:proofErr w:type="spellEnd"/>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TF</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TF-IDF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F153</w:t>
      </w:r>
      <w:r w:rsidRPr="00706F03">
        <w:rPr>
          <w:rFonts w:ascii="Times New Roman" w:eastAsia="標楷體" w:hAnsi="Times New Roman" w:cs="Times New Roman" w:hint="eastAsia"/>
          <w:b w:val="0"/>
          <w:color w:val="auto"/>
          <w:sz w:val="24"/>
          <w:szCs w:val="28"/>
        </w:rPr>
        <w:tab/>
      </w:r>
    </w:p>
    <w:p w14:paraId="72C251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4-6 </w:t>
      </w:r>
      <w:r w:rsidRPr="00706F03">
        <w:rPr>
          <w:rFonts w:ascii="Times New Roman" w:eastAsia="標楷體" w:hAnsi="Times New Roman" w:cs="Times New Roman" w:hint="eastAsia"/>
          <w:b w:val="0"/>
          <w:color w:val="auto"/>
          <w:sz w:val="24"/>
          <w:szCs w:val="28"/>
        </w:rPr>
        <w:t>各資料集最佳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模型之參數選擇摘要</w:t>
      </w:r>
      <w:r w:rsidRPr="00706F03">
        <w:rPr>
          <w:rFonts w:ascii="Times New Roman" w:eastAsia="標楷體" w:hAnsi="Times New Roman" w:cs="Times New Roman" w:hint="eastAsia"/>
          <w:b w:val="0"/>
          <w:color w:val="auto"/>
          <w:sz w:val="24"/>
          <w:szCs w:val="28"/>
        </w:rPr>
        <w:t>55</w:t>
      </w:r>
      <w:r w:rsidRPr="00706F03">
        <w:rPr>
          <w:rFonts w:ascii="Times New Roman" w:eastAsia="標楷體" w:hAnsi="Times New Roman" w:cs="Times New Roman" w:hint="eastAsia"/>
          <w:b w:val="0"/>
          <w:color w:val="auto"/>
          <w:sz w:val="24"/>
          <w:szCs w:val="28"/>
        </w:rPr>
        <w:tab/>
      </w:r>
    </w:p>
    <w:p w14:paraId="23CAB35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4-7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模型之測試集混淆矩陣</w:t>
      </w:r>
      <w:r w:rsidRPr="00706F03">
        <w:rPr>
          <w:rFonts w:ascii="Times New Roman" w:eastAsia="標楷體" w:hAnsi="Times New Roman" w:cs="Times New Roman" w:hint="eastAsia"/>
          <w:b w:val="0"/>
          <w:color w:val="auto"/>
          <w:sz w:val="24"/>
          <w:szCs w:val="28"/>
        </w:rPr>
        <w:t>56</w:t>
      </w:r>
      <w:r w:rsidRPr="00706F03">
        <w:rPr>
          <w:rFonts w:ascii="Times New Roman" w:eastAsia="標楷體" w:hAnsi="Times New Roman" w:cs="Times New Roman" w:hint="eastAsia"/>
          <w:b w:val="0"/>
          <w:color w:val="auto"/>
          <w:sz w:val="24"/>
          <w:szCs w:val="28"/>
        </w:rPr>
        <w:tab/>
      </w:r>
    </w:p>
    <w:p w14:paraId="324E21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4-8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模型之分類報告</w:t>
      </w:r>
      <w:r w:rsidRPr="00706F03">
        <w:rPr>
          <w:rFonts w:ascii="Times New Roman" w:eastAsia="標楷體" w:hAnsi="Times New Roman" w:cs="Times New Roman" w:hint="eastAsia"/>
          <w:b w:val="0"/>
          <w:color w:val="auto"/>
          <w:sz w:val="24"/>
          <w:szCs w:val="28"/>
        </w:rPr>
        <w:t>56</w:t>
      </w:r>
      <w:r w:rsidRPr="00706F03">
        <w:rPr>
          <w:rFonts w:ascii="Times New Roman" w:eastAsia="標楷體" w:hAnsi="Times New Roman" w:cs="Times New Roman" w:hint="eastAsia"/>
          <w:b w:val="0"/>
          <w:color w:val="auto"/>
          <w:sz w:val="24"/>
          <w:szCs w:val="28"/>
        </w:rPr>
        <w:tab/>
      </w:r>
    </w:p>
    <w:p w14:paraId="7A61C4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4-9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模型之主要錯誤分類型態</w:t>
      </w:r>
      <w:r w:rsidRPr="00706F03">
        <w:rPr>
          <w:rFonts w:ascii="Times New Roman" w:eastAsia="標楷體" w:hAnsi="Times New Roman" w:cs="Times New Roman" w:hint="eastAsia"/>
          <w:b w:val="0"/>
          <w:color w:val="auto"/>
          <w:sz w:val="24"/>
          <w:szCs w:val="28"/>
        </w:rPr>
        <w:t>57</w:t>
      </w:r>
      <w:r w:rsidRPr="00706F03">
        <w:rPr>
          <w:rFonts w:ascii="Times New Roman" w:eastAsia="標楷體" w:hAnsi="Times New Roman" w:cs="Times New Roman" w:hint="eastAsia"/>
          <w:b w:val="0"/>
          <w:color w:val="auto"/>
          <w:sz w:val="24"/>
          <w:szCs w:val="28"/>
        </w:rPr>
        <w:tab/>
      </w:r>
    </w:p>
    <w:p w14:paraId="13B097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4-10 </w:t>
      </w:r>
      <w:r w:rsidRPr="00706F03">
        <w:rPr>
          <w:rFonts w:ascii="Times New Roman" w:eastAsia="標楷體" w:hAnsi="Times New Roman" w:cs="Times New Roman" w:hint="eastAsia"/>
          <w:b w:val="0"/>
          <w:color w:val="auto"/>
          <w:sz w:val="24"/>
          <w:szCs w:val="28"/>
        </w:rPr>
        <w:t>各資料集最佳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模型之類別</w:t>
      </w:r>
      <w:r w:rsidRPr="00706F03">
        <w:rPr>
          <w:rFonts w:ascii="Times New Roman" w:eastAsia="標楷體" w:hAnsi="Times New Roman" w:cs="Times New Roman" w:hint="eastAsia"/>
          <w:b w:val="0"/>
          <w:color w:val="auto"/>
          <w:sz w:val="24"/>
          <w:szCs w:val="28"/>
        </w:rPr>
        <w:t xml:space="preserve"> F1 </w:t>
      </w:r>
      <w:r w:rsidRPr="00706F03">
        <w:rPr>
          <w:rFonts w:ascii="Times New Roman" w:eastAsia="標楷體" w:hAnsi="Times New Roman" w:cs="Times New Roman" w:hint="eastAsia"/>
          <w:b w:val="0"/>
          <w:color w:val="auto"/>
          <w:sz w:val="24"/>
          <w:szCs w:val="28"/>
        </w:rPr>
        <w:t>摘要</w:t>
      </w:r>
      <w:r w:rsidRPr="00706F03">
        <w:rPr>
          <w:rFonts w:ascii="Times New Roman" w:eastAsia="標楷體" w:hAnsi="Times New Roman" w:cs="Times New Roman" w:hint="eastAsia"/>
          <w:b w:val="0"/>
          <w:color w:val="auto"/>
          <w:sz w:val="24"/>
          <w:szCs w:val="28"/>
        </w:rPr>
        <w:t>58</w:t>
      </w:r>
      <w:r w:rsidRPr="00706F03">
        <w:rPr>
          <w:rFonts w:ascii="Times New Roman" w:eastAsia="標楷體" w:hAnsi="Times New Roman" w:cs="Times New Roman" w:hint="eastAsia"/>
          <w:b w:val="0"/>
          <w:color w:val="auto"/>
          <w:sz w:val="24"/>
          <w:szCs w:val="28"/>
        </w:rPr>
        <w:tab/>
      </w:r>
    </w:p>
    <w:p w14:paraId="78BDFFA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5-1 </w:t>
      </w:r>
      <w:r w:rsidRPr="00706F03">
        <w:rPr>
          <w:rFonts w:ascii="Times New Roman" w:eastAsia="標楷體" w:hAnsi="Times New Roman" w:cs="Times New Roman" w:hint="eastAsia"/>
          <w:b w:val="0"/>
          <w:color w:val="auto"/>
          <w:sz w:val="24"/>
          <w:szCs w:val="28"/>
        </w:rPr>
        <w:t>不同案件類型下可優先考慮之文字特徵與模型流程</w:t>
      </w:r>
      <w:r w:rsidRPr="00706F03">
        <w:rPr>
          <w:rFonts w:ascii="Times New Roman" w:eastAsia="標楷體" w:hAnsi="Times New Roman" w:cs="Times New Roman" w:hint="eastAsia"/>
          <w:b w:val="0"/>
          <w:color w:val="auto"/>
          <w:sz w:val="24"/>
          <w:szCs w:val="28"/>
        </w:rPr>
        <w:tab/>
        <w:t>68</w:t>
      </w:r>
    </w:p>
    <w:p w14:paraId="2C067142"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圖目錄</w:t>
      </w:r>
    </w:p>
    <w:p w14:paraId="0E33A98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3-1 </w:t>
      </w:r>
      <w:r w:rsidRPr="00706F03">
        <w:rPr>
          <w:rFonts w:ascii="Times New Roman" w:eastAsia="標楷體" w:hAnsi="Times New Roman" w:cs="Times New Roman" w:hint="eastAsia"/>
          <w:b w:val="0"/>
          <w:color w:val="auto"/>
          <w:sz w:val="24"/>
          <w:szCs w:val="28"/>
        </w:rPr>
        <w:t>研究流程</w:t>
      </w:r>
      <w:r w:rsidRPr="00706F03">
        <w:rPr>
          <w:rFonts w:ascii="Times New Roman" w:eastAsia="標楷體" w:hAnsi="Times New Roman" w:cs="Times New Roman" w:hint="eastAsia"/>
          <w:b w:val="0"/>
          <w:color w:val="auto"/>
          <w:sz w:val="24"/>
          <w:szCs w:val="28"/>
        </w:rPr>
        <w:tab/>
        <w:t>20</w:t>
      </w:r>
    </w:p>
    <w:p w14:paraId="6EFC3F0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3-2 </w:t>
      </w:r>
      <w:r w:rsidRPr="00706F03">
        <w:rPr>
          <w:rFonts w:ascii="Times New Roman" w:eastAsia="標楷體" w:hAnsi="Times New Roman" w:cs="Times New Roman" w:hint="eastAsia"/>
          <w:b w:val="0"/>
          <w:color w:val="auto"/>
          <w:sz w:val="24"/>
          <w:szCs w:val="28"/>
        </w:rPr>
        <w:t>案件類型與裁判結果分布圖</w:t>
      </w:r>
      <w:r w:rsidRPr="00706F03">
        <w:rPr>
          <w:rFonts w:ascii="Times New Roman" w:eastAsia="標楷體" w:hAnsi="Times New Roman" w:cs="Times New Roman" w:hint="eastAsia"/>
          <w:b w:val="0"/>
          <w:color w:val="auto"/>
          <w:sz w:val="24"/>
          <w:szCs w:val="28"/>
        </w:rPr>
        <w:tab/>
        <w:t>25</w:t>
      </w:r>
    </w:p>
    <w:p w14:paraId="5E0A708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3-3 </w:t>
      </w:r>
      <w:r w:rsidRPr="00706F03">
        <w:rPr>
          <w:rFonts w:ascii="Times New Roman" w:eastAsia="標楷體" w:hAnsi="Times New Roman" w:cs="Times New Roman" w:hint="eastAsia"/>
          <w:b w:val="0"/>
          <w:color w:val="auto"/>
          <w:sz w:val="24"/>
          <w:szCs w:val="28"/>
        </w:rPr>
        <w:t>年度區間與案件類型分布圖</w:t>
      </w:r>
      <w:r w:rsidRPr="00706F03">
        <w:rPr>
          <w:rFonts w:ascii="Times New Roman" w:eastAsia="標楷體" w:hAnsi="Times New Roman" w:cs="Times New Roman" w:hint="eastAsia"/>
          <w:b w:val="0"/>
          <w:color w:val="auto"/>
          <w:sz w:val="24"/>
          <w:szCs w:val="28"/>
        </w:rPr>
        <w:tab/>
        <w:t>26</w:t>
      </w:r>
    </w:p>
    <w:p w14:paraId="518B5FB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3-4 </w:t>
      </w:r>
      <w:r w:rsidRPr="00706F03">
        <w:rPr>
          <w:rFonts w:ascii="Times New Roman" w:eastAsia="標楷體" w:hAnsi="Times New Roman" w:cs="Times New Roman" w:hint="eastAsia"/>
          <w:b w:val="0"/>
          <w:color w:val="auto"/>
          <w:sz w:val="24"/>
          <w:szCs w:val="28"/>
        </w:rPr>
        <w:t>各案件類型高</w:t>
      </w:r>
      <w:r w:rsidRPr="00706F03">
        <w:rPr>
          <w:rFonts w:ascii="Times New Roman" w:eastAsia="標楷體" w:hAnsi="Times New Roman" w:cs="Times New Roman" w:hint="eastAsia"/>
          <w:b w:val="0"/>
          <w:color w:val="auto"/>
          <w:sz w:val="24"/>
          <w:szCs w:val="28"/>
        </w:rPr>
        <w:t xml:space="preserve"> TF-IDF </w:t>
      </w:r>
      <w:r w:rsidRPr="00706F03">
        <w:rPr>
          <w:rFonts w:ascii="Times New Roman" w:eastAsia="標楷體" w:hAnsi="Times New Roman" w:cs="Times New Roman" w:hint="eastAsia"/>
          <w:b w:val="0"/>
          <w:color w:val="auto"/>
          <w:sz w:val="24"/>
          <w:szCs w:val="28"/>
        </w:rPr>
        <w:t>詞彙分布</w:t>
      </w:r>
      <w:r w:rsidRPr="00706F03">
        <w:rPr>
          <w:rFonts w:ascii="Times New Roman" w:eastAsia="標楷體" w:hAnsi="Times New Roman" w:cs="Times New Roman" w:hint="eastAsia"/>
          <w:b w:val="0"/>
          <w:color w:val="auto"/>
          <w:sz w:val="24"/>
          <w:szCs w:val="28"/>
        </w:rPr>
        <w:t>28</w:t>
      </w:r>
      <w:r w:rsidRPr="00706F03">
        <w:rPr>
          <w:rFonts w:ascii="Times New Roman" w:eastAsia="標楷體" w:hAnsi="Times New Roman" w:cs="Times New Roman" w:hint="eastAsia"/>
          <w:b w:val="0"/>
          <w:color w:val="auto"/>
          <w:sz w:val="24"/>
          <w:szCs w:val="28"/>
        </w:rPr>
        <w:tab/>
      </w:r>
    </w:p>
    <w:p w14:paraId="6AE4525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3-5 SVM </w:t>
      </w:r>
      <w:r w:rsidRPr="00706F03">
        <w:rPr>
          <w:rFonts w:ascii="Times New Roman" w:eastAsia="標楷體" w:hAnsi="Times New Roman" w:cs="Times New Roman" w:hint="eastAsia"/>
          <w:b w:val="0"/>
          <w:color w:val="auto"/>
          <w:sz w:val="24"/>
          <w:szCs w:val="28"/>
        </w:rPr>
        <w:t>三類分類概念示意圖</w:t>
      </w:r>
      <w:r w:rsidRPr="00706F03">
        <w:rPr>
          <w:rFonts w:ascii="Times New Roman" w:eastAsia="標楷體" w:hAnsi="Times New Roman" w:cs="Times New Roman" w:hint="eastAsia"/>
          <w:b w:val="0"/>
          <w:color w:val="auto"/>
          <w:sz w:val="24"/>
          <w:szCs w:val="28"/>
        </w:rPr>
        <w:tab/>
        <w:t>38</w:t>
      </w:r>
    </w:p>
    <w:p w14:paraId="543893E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4-1 Chi-square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MNIR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51</w:t>
      </w:r>
    </w:p>
    <w:p w14:paraId="198FB2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4-2 </w:t>
      </w:r>
      <w:r w:rsidRPr="00706F03">
        <w:rPr>
          <w:rFonts w:ascii="Times New Roman" w:eastAsia="標楷體" w:hAnsi="Times New Roman" w:cs="Times New Roman" w:hint="eastAsia"/>
          <w:b w:val="0"/>
          <w:color w:val="auto"/>
          <w:sz w:val="24"/>
          <w:szCs w:val="28"/>
        </w:rPr>
        <w:t>不同文字特徵表示之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53</w:t>
      </w:r>
    </w:p>
    <w:p w14:paraId="38BA1CE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4-3 Chi-square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K </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 C </w:t>
      </w:r>
      <w:r w:rsidRPr="00706F03">
        <w:rPr>
          <w:rFonts w:ascii="Times New Roman" w:eastAsia="標楷體" w:hAnsi="Times New Roman" w:cs="Times New Roman" w:hint="eastAsia"/>
          <w:b w:val="0"/>
          <w:color w:val="auto"/>
          <w:sz w:val="24"/>
          <w:szCs w:val="28"/>
        </w:rPr>
        <w:t>驗證集</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熱力圖</w:t>
      </w:r>
      <w:r w:rsidRPr="00706F03">
        <w:rPr>
          <w:rFonts w:ascii="Times New Roman" w:eastAsia="標楷體" w:hAnsi="Times New Roman" w:cs="Times New Roman" w:hint="eastAsia"/>
          <w:b w:val="0"/>
          <w:color w:val="auto"/>
          <w:sz w:val="24"/>
          <w:szCs w:val="28"/>
        </w:rPr>
        <w:tab/>
        <w:t>57</w:t>
      </w:r>
    </w:p>
    <w:p w14:paraId="56F4C86D" w14:textId="77777777" w:rsidR="008613E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第一章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緒論</w:t>
      </w:r>
    </w:p>
    <w:p w14:paraId="07B9E201"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1.1 </w:t>
      </w:r>
      <w:r w:rsidRPr="00706F03">
        <w:rPr>
          <w:rFonts w:ascii="Times New Roman" w:eastAsia="標楷體"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06F03">
        <w:rPr>
          <w:rFonts w:cs="Times New Roman"/>
          <w:szCs w:val="28"/>
        </w:rPr>
        <w:t xml:space="preserve"> </w:t>
      </w:r>
      <w:r w:rsidRPr="00706F03">
        <w:rPr>
          <w:rFonts w:cs="Times New Roman"/>
          <w:szCs w:val="28"/>
        </w:rPr>
        <w:t>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多項式</w:t>
      </w:r>
      <w:r w:rsidR="00961BBF" w:rsidRPr="00706F03">
        <w:rPr>
          <w:rFonts w:cs="Times New Roman"/>
          <w:szCs w:val="28"/>
        </w:rPr>
        <w:t>逆</w:t>
      </w:r>
      <w:r w:rsidRPr="00706F03">
        <w:rPr>
          <w:rFonts w:cs="Times New Roman"/>
          <w:szCs w:val="28"/>
        </w:rPr>
        <w:t>迴歸（</w:t>
      </w:r>
      <w:r w:rsidRPr="00706F03">
        <w:rPr>
          <w:rFonts w:cs="Times New Roman"/>
          <w:szCs w:val="28"/>
        </w:rPr>
        <w:t>Multinomial Inverse Regression, MNIR</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支持向量機與</w:t>
      </w:r>
      <w:r w:rsidRPr="00706F03">
        <w:rPr>
          <w:rFonts w:cs="Times New Roman"/>
          <w:szCs w:val="28"/>
        </w:rPr>
        <w:t xml:space="preserve"> </w:t>
      </w:r>
      <w:r w:rsidRPr="00706F03">
        <w:rPr>
          <w:rFonts w:cs="Times New Roman"/>
          <w:szCs w:val="28"/>
        </w:rPr>
        <w:t>卡方特徵選擇</w:t>
      </w:r>
      <w:r w:rsidR="00525936"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w:t>
      </w:r>
      <w:r w:rsidR="00525936" w:rsidRPr="00706F03">
        <w:rPr>
          <w:rFonts w:cs="Times New Roman"/>
          <w:szCs w:val="28"/>
        </w:rPr>
        <w:t xml:space="preserve">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1.2 </w:t>
      </w:r>
      <w:r w:rsidRPr="00706F03">
        <w:rPr>
          <w:rFonts w:ascii="Times New Roman" w:eastAsia="標楷體" w:hAnsi="Times New Roman" w:cs="Times New Roman"/>
          <w:color w:val="auto"/>
          <w:szCs w:val="28"/>
        </w:rPr>
        <w:t>研究目的</w:t>
      </w:r>
    </w:p>
    <w:p w14:paraId="7ED9EB59" w14:textId="05984B1F"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 xml:space="preserve">Bag-of-Words, </w:t>
      </w:r>
      <w:proofErr w:type="spellStart"/>
      <w:r w:rsidR="00832F63" w:rsidRPr="00706F03">
        <w:rPr>
          <w:rFonts w:cs="Times New Roman" w:hint="eastAsia"/>
          <w:szCs w:val="28"/>
        </w:rPr>
        <w:t>BoW</w:t>
      </w:r>
      <w:proofErr w:type="spellEnd"/>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首先使用卡方特徵選擇篩選與裁判結果較具關聯的詞彙，再比較兩種分類流程。第一種為</w:t>
      </w:r>
      <w:r w:rsidR="00832F63" w:rsidRPr="00706F03">
        <w:rPr>
          <w:rFonts w:cs="Times New Roman" w:hint="eastAsia"/>
          <w:szCs w:val="28"/>
        </w:rPr>
        <w:t xml:space="preserve"> </w:t>
      </w:r>
      <w:r w:rsidR="001E5412" w:rsidRPr="00706F03">
        <w:rPr>
          <w:rFonts w:cs="Times New Roman" w:hint="eastAsia"/>
          <w:szCs w:val="28"/>
        </w:rPr>
        <w:t>Chi-square + MNIR + SVM</w:t>
      </w:r>
      <w:r w:rsidR="00832F63" w:rsidRPr="00706F03">
        <w:rPr>
          <w:rFonts w:cs="Times New Roman" w:hint="eastAsia"/>
          <w:szCs w:val="28"/>
        </w:rPr>
        <w:t>，亦即透過多項式逆迴歸（</w:t>
      </w:r>
      <w:r w:rsidR="00832F63" w:rsidRPr="00706F03">
        <w:rPr>
          <w:rFonts w:cs="Times New Roman" w:hint="eastAsia"/>
          <w:szCs w:val="28"/>
        </w:rPr>
        <w:t>Multinomial Inverse Regression, MNIR</w:t>
      </w:r>
      <w:r w:rsidR="00832F63" w:rsidRPr="00706F03">
        <w:rPr>
          <w:rFonts w:cs="Times New Roman" w:hint="eastAsia"/>
          <w:szCs w:val="28"/>
        </w:rPr>
        <w:t>）將高維文字特徵轉換為較低維的特徵，再以支持向量機進行分類；第二種為</w:t>
      </w:r>
      <w:r w:rsidR="00832F63" w:rsidRPr="00706F03">
        <w:rPr>
          <w:rFonts w:cs="Times New Roman" w:hint="eastAsia"/>
          <w:szCs w:val="28"/>
        </w:rPr>
        <w:t xml:space="preserve"> Chi-square + SVM</w:t>
      </w:r>
      <w:r w:rsidR="00832F63" w:rsidRPr="00706F03">
        <w:rPr>
          <w:rFonts w:cs="Times New Roman" w:hint="eastAsia"/>
          <w:szCs w:val="28"/>
        </w:rPr>
        <w:t>，亦即不經</w:t>
      </w:r>
      <w:r w:rsidR="00832F63" w:rsidRPr="00706F03">
        <w:rPr>
          <w:rFonts w:cs="Times New Roman" w:hint="eastAsia"/>
          <w:szCs w:val="28"/>
        </w:rPr>
        <w:t xml:space="preserve"> MNIR </w:t>
      </w:r>
      <w:r w:rsidR="00832F63" w:rsidRPr="00706F03">
        <w:rPr>
          <w:rFonts w:cs="Times New Roman" w:hint="eastAsia"/>
          <w:szCs w:val="28"/>
        </w:rPr>
        <w:t>特徵轉換，直接以卡方篩選後的文字特徵訓練</w:t>
      </w:r>
      <w:r w:rsidR="00832F63" w:rsidRPr="00706F03">
        <w:rPr>
          <w:rFonts w:cs="Times New Roman" w:hint="eastAsia"/>
          <w:szCs w:val="28"/>
        </w:rPr>
        <w:t xml:space="preserve"> SVM</w:t>
      </w:r>
      <w:r w:rsidR="00832F63" w:rsidRPr="00706F03">
        <w:rPr>
          <w:rFonts w:cs="Times New Roman" w:hint="eastAsia"/>
          <w:szCs w:val="28"/>
        </w:rPr>
        <w:t>。</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建立較完整的模型評估方式。本研究採用</w:t>
      </w:r>
      <w:r w:rsidRPr="00706F03">
        <w:rPr>
          <w:rFonts w:cs="Times New Roman"/>
          <w:szCs w:val="28"/>
        </w:rPr>
        <w:t xml:space="preserve"> 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w:t>
      </w:r>
      <w:r w:rsidRPr="00706F03">
        <w:rPr>
          <w:rFonts w:cs="Times New Roman"/>
          <w:szCs w:val="28"/>
        </w:rPr>
        <w:lastRenderedPageBreak/>
        <w:t>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研究於下一節提出具體研究問題。</w:t>
      </w:r>
    </w:p>
    <w:p w14:paraId="0947D416"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1.3 </w:t>
      </w:r>
      <w:r w:rsidR="005946D3" w:rsidRPr="00706F03">
        <w:rPr>
          <w:rFonts w:ascii="Times New Roman" w:eastAsia="標楷體"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proofErr w:type="spellStart"/>
      <w:r w:rsidR="005946D3" w:rsidRPr="00706F03">
        <w:rPr>
          <w:rFonts w:cs="Times New Roman"/>
        </w:rPr>
        <w:t>BoW</w:t>
      </w:r>
      <w:proofErr w:type="spellEnd"/>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1.4 </w:t>
      </w:r>
      <w:r w:rsidR="00133AB4" w:rsidRPr="00706F03">
        <w:rPr>
          <w:rFonts w:ascii="Times New Roman" w:eastAsia="標楷體"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研究所回顧之代表性研究多針對特定法院、案件領域或特定裁判任務建立模型，本研究進一步考量智慧財產權案件內部的異質性，將行政、民事、刑事與刑事附帶民事案件分別建模。此外，本研究同時比較</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第二章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文獻回顧</w:t>
      </w:r>
    </w:p>
    <w:p w14:paraId="168427D9"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2.1 </w:t>
      </w:r>
      <w:r w:rsidRPr="00706F03">
        <w:rPr>
          <w:rFonts w:ascii="Times New Roman" w:eastAsia="標楷體" w:hAnsi="Times New Roman" w:cs="Times New Roman"/>
          <w:color w:val="auto"/>
          <w:szCs w:val="28"/>
        </w:rPr>
        <w:t>前言</w:t>
      </w:r>
    </w:p>
    <w:p w14:paraId="66F95ECF" w14:textId="77777777"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proofErr w:type="spellStart"/>
      <w:r w:rsidRPr="00706F03">
        <w:rPr>
          <w:rFonts w:cs="Times New Roman"/>
          <w:szCs w:val="28"/>
        </w:rPr>
        <w:t>Ariai</w:t>
      </w:r>
      <w:proofErr w:type="spellEnd"/>
      <w:r w:rsidRPr="00706F03">
        <w:rPr>
          <w:rFonts w:cs="Times New Roman"/>
          <w:szCs w:val="28"/>
        </w:rPr>
        <w:t xml:space="preserve"> </w:t>
      </w:r>
      <w:r w:rsidR="005963C8" w:rsidRPr="00706F03">
        <w:rPr>
          <w:rFonts w:cs="Times New Roman"/>
          <w:szCs w:val="28"/>
        </w:rPr>
        <w:t>et al.</w:t>
      </w:r>
      <w:r w:rsidRPr="00706F03">
        <w:rPr>
          <w:rFonts w:cs="Times New Roman"/>
          <w:szCs w:val="28"/>
        </w:rPr>
        <w:t>, 202</w:t>
      </w:r>
      <w:r w:rsidR="005963C8" w:rsidRPr="00706F03">
        <w:rPr>
          <w:rFonts w:cs="Times New Roman"/>
          <w:szCs w:val="28"/>
        </w:rPr>
        <w:t>5</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w:t>
      </w:r>
      <w:proofErr w:type="spellStart"/>
      <w:r w:rsidR="00564795" w:rsidRPr="00706F03">
        <w:rPr>
          <w:rFonts w:cs="Times New Roman"/>
          <w:szCs w:val="28"/>
        </w:rPr>
        <w:t>BoW</w:t>
      </w:r>
      <w:proofErr w:type="spellEnd"/>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07B72722"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2.2 </w:t>
      </w:r>
      <w:r w:rsidRPr="00706F03">
        <w:rPr>
          <w:rFonts w:ascii="Times New Roman" w:eastAsia="標楷體" w:hAnsi="Times New Roman" w:cs="Times New Roman"/>
          <w:color w:val="auto"/>
          <w:szCs w:val="28"/>
        </w:rPr>
        <w:t>實證法律研究</w:t>
      </w:r>
      <w:r w:rsidR="00816C7D" w:rsidRPr="00706F03">
        <w:rPr>
          <w:rFonts w:ascii="Times New Roman" w:eastAsia="標楷體" w:hAnsi="Times New Roman" w:cs="Times New Roman"/>
          <w:color w:val="auto"/>
          <w:szCs w:val="28"/>
        </w:rPr>
        <w:t>與量化分析</w:t>
      </w:r>
      <w:r w:rsidRPr="00706F03">
        <w:rPr>
          <w:rFonts w:ascii="Times New Roman" w:eastAsia="標楷體"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 xml:space="preserve">Heyes and </w:t>
      </w:r>
      <w:proofErr w:type="spellStart"/>
      <w:r w:rsidRPr="00E02ADF">
        <w:rPr>
          <w:rFonts w:cs="Times New Roman" w:hint="eastAsia"/>
          <w:szCs w:val="28"/>
        </w:rPr>
        <w:t>Saberian</w:t>
      </w:r>
      <w:proofErr w:type="spellEnd"/>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2.3 </w:t>
      </w:r>
      <w:r w:rsidR="00564795" w:rsidRPr="00706F03">
        <w:rPr>
          <w:rFonts w:ascii="Times New Roman" w:eastAsia="標楷體" w:hAnsi="Times New Roman" w:cs="Times New Roman"/>
          <w:color w:val="auto"/>
          <w:szCs w:val="28"/>
        </w:rPr>
        <w:t>法律文本之特徵表示：</w:t>
      </w:r>
      <w:proofErr w:type="spellStart"/>
      <w:r w:rsidR="00564795" w:rsidRPr="00706F03">
        <w:rPr>
          <w:rFonts w:ascii="Times New Roman" w:eastAsia="標楷體" w:hAnsi="Times New Roman" w:cs="Times New Roman"/>
          <w:color w:val="auto"/>
          <w:szCs w:val="28"/>
        </w:rPr>
        <w:t>BoW</w:t>
      </w:r>
      <w:proofErr w:type="spellEnd"/>
      <w:r w:rsidR="00564795" w:rsidRPr="00706F03">
        <w:rPr>
          <w:rFonts w:ascii="Times New Roman" w:eastAsia="標楷體" w:hAnsi="Times New Roman" w:cs="Times New Roman"/>
          <w:color w:val="auto"/>
          <w:szCs w:val="28"/>
        </w:rPr>
        <w:t>、</w:t>
      </w:r>
      <w:r w:rsidR="00564795" w:rsidRPr="00706F03">
        <w:rPr>
          <w:rFonts w:ascii="Times New Roman" w:eastAsia="標楷體" w:hAnsi="Times New Roman" w:cs="Times New Roman"/>
          <w:color w:val="auto"/>
          <w:szCs w:val="28"/>
        </w:rPr>
        <w:t xml:space="preserve">TF </w:t>
      </w:r>
      <w:r w:rsidR="00564795" w:rsidRPr="00706F03">
        <w:rPr>
          <w:rFonts w:ascii="Times New Roman" w:eastAsia="標楷體" w:hAnsi="Times New Roman" w:cs="Times New Roman"/>
          <w:color w:val="auto"/>
          <w:szCs w:val="28"/>
        </w:rPr>
        <w:t>與</w:t>
      </w:r>
      <w:r w:rsidR="00564795" w:rsidRPr="00706F03">
        <w:rPr>
          <w:rFonts w:ascii="Times New Roman" w:eastAsia="標楷體"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 xml:space="preserve">Bag-of-Words, </w:t>
      </w:r>
      <w:proofErr w:type="spellStart"/>
      <w:r w:rsidRPr="00706F03">
        <w:rPr>
          <w:rFonts w:cs="Times New Roman"/>
          <w:szCs w:val="28"/>
        </w:rPr>
        <w:t>BoW</w:t>
      </w:r>
      <w:proofErr w:type="spellEnd"/>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proofErr w:type="spellStart"/>
      <w:r w:rsidR="00707432" w:rsidRPr="00707432">
        <w:rPr>
          <w:rFonts w:cs="Times New Roman" w:hint="eastAsia"/>
          <w:szCs w:val="28"/>
        </w:rPr>
        <w:t>Mamakas</w:t>
      </w:r>
      <w:proofErr w:type="spellEnd"/>
      <w:r w:rsidR="00707432" w:rsidRPr="00707432">
        <w:rPr>
          <w:rFonts w:cs="Times New Roman" w:hint="eastAsia"/>
          <w:szCs w:val="28"/>
        </w:rPr>
        <w:t xml:space="preserve">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w:t>
      </w:r>
      <w:proofErr w:type="spellStart"/>
      <w:r w:rsidR="00707432" w:rsidRPr="00707432">
        <w:rPr>
          <w:rFonts w:cs="Times New Roman" w:hint="eastAsia"/>
          <w:szCs w:val="28"/>
        </w:rPr>
        <w:t>BoW</w:t>
      </w:r>
      <w:proofErr w:type="spellEnd"/>
      <w:r w:rsidR="00707432" w:rsidRPr="00707432">
        <w:rPr>
          <w:rFonts w:cs="Times New Roman" w:hint="eastAsia"/>
          <w:szCs w:val="28"/>
        </w:rPr>
        <w:t xml:space="preserve">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w:t>
      </w:r>
      <w:proofErr w:type="spellStart"/>
      <w:r w:rsidR="0019485A" w:rsidRPr="00706F03">
        <w:rPr>
          <w:rFonts w:cs="Times New Roman"/>
          <w:szCs w:val="28"/>
        </w:rPr>
        <w:t>BoW</w:t>
      </w:r>
      <w:proofErr w:type="spellEnd"/>
      <w:r w:rsidR="0019485A" w:rsidRPr="00706F03">
        <w:rPr>
          <w:rFonts w:cs="Times New Roman"/>
          <w:szCs w:val="28"/>
        </w:rPr>
        <w:t xml:space="preserve">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2.</w:t>
      </w:r>
      <w:r w:rsidR="00751AD4" w:rsidRPr="00706F03">
        <w:rPr>
          <w:rFonts w:ascii="Times New Roman" w:eastAsia="標楷體" w:hAnsi="Times New Roman" w:cs="Times New Roman"/>
          <w:color w:val="auto"/>
          <w:szCs w:val="28"/>
        </w:rPr>
        <w:t xml:space="preserve">4 </w:t>
      </w:r>
      <w:r w:rsidR="00751AD4" w:rsidRPr="00706F03">
        <w:rPr>
          <w:rFonts w:ascii="Times New Roman" w:eastAsia="標楷體"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w:t>
      </w:r>
      <w:proofErr w:type="spellStart"/>
      <w:r w:rsidRPr="00706F03">
        <w:rPr>
          <w:rFonts w:cs="Times New Roman"/>
          <w:szCs w:val="28"/>
        </w:rPr>
        <w:t>Aletras</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proofErr w:type="spellStart"/>
      <w:r w:rsidRPr="00706F03">
        <w:rPr>
          <w:rFonts w:cs="Times New Roman"/>
          <w:szCs w:val="28"/>
        </w:rPr>
        <w:t>Surdeanu</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706F03">
        <w:rPr>
          <w:rFonts w:cs="Times New Roman" w:hint="eastAsia"/>
          <w:szCs w:val="28"/>
        </w:rPr>
        <w:t>Alghazzawi</w:t>
      </w:r>
      <w:proofErr w:type="spellEnd"/>
      <w:r w:rsidR="0063468A" w:rsidRPr="00706F03">
        <w:rPr>
          <w:rFonts w:cs="Times New Roman" w:hint="eastAsia"/>
          <w:szCs w:val="28"/>
        </w:rPr>
        <w:t xml:space="preserve">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w:t>
      </w:r>
      <w:proofErr w:type="spellStart"/>
      <w:r w:rsidR="00002B1F" w:rsidRPr="00706F03">
        <w:rPr>
          <w:rFonts w:cs="Times New Roman"/>
          <w:szCs w:val="28"/>
        </w:rPr>
        <w:t>BoW</w:t>
      </w:r>
      <w:proofErr w:type="spellEnd"/>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2.5 </w:t>
      </w:r>
      <w:r w:rsidR="00564795" w:rsidRPr="00706F03">
        <w:rPr>
          <w:rFonts w:ascii="Times New Roman" w:eastAsia="標楷體" w:hAnsi="Times New Roman" w:cs="Times New Roman"/>
          <w:color w:val="auto"/>
          <w:szCs w:val="28"/>
        </w:rPr>
        <w:t xml:space="preserve">MNIR </w:t>
      </w:r>
      <w:r w:rsidR="00564795" w:rsidRPr="00706F03">
        <w:rPr>
          <w:rFonts w:ascii="Times New Roman" w:eastAsia="標楷體"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2.6 </w:t>
      </w:r>
      <w:r w:rsidRPr="00706F03">
        <w:rPr>
          <w:rFonts w:ascii="Times New Roman" w:eastAsia="標楷體"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proofErr w:type="spellStart"/>
      <w:r w:rsidRPr="00706F03">
        <w:rPr>
          <w:rFonts w:cs="Times New Roman"/>
          <w:szCs w:val="28"/>
        </w:rPr>
        <w:t>Aletras</w:t>
      </w:r>
      <w:proofErr w:type="spellEnd"/>
      <w:r w:rsidRPr="00706F03">
        <w:rPr>
          <w:rFonts w:cs="Times New Roman"/>
          <w:szCs w:val="28"/>
        </w:rPr>
        <w:t xml:space="preserve"> et al., 2016; </w:t>
      </w:r>
      <w:proofErr w:type="spellStart"/>
      <w:r w:rsidRPr="00706F03">
        <w:rPr>
          <w:rFonts w:cs="Times New Roman"/>
          <w:szCs w:val="28"/>
        </w:rPr>
        <w:t>Surdeanu</w:t>
      </w:r>
      <w:proofErr w:type="spellEnd"/>
      <w:r w:rsidRPr="00706F03">
        <w:rPr>
          <w:rFonts w:cs="Times New Roman"/>
          <w:szCs w:val="28"/>
        </w:rPr>
        <w:t xml:space="preserve">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64C73D82"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sidRPr="00706F03">
        <w:rPr>
          <w:rFonts w:cs="Times New Roman" w:hint="eastAsia"/>
          <w:szCs w:val="28"/>
        </w:rPr>
        <w:t>而就本研究所回顧的代表性研究而言，現有文獻多聚焦於國外法院、特定法律領域或特定預測任務；針對臺灣智慧財產權判決全文進行裁判結果分類，並比較不同案件類型之分類表現的研究仍相對少見。基於此，本研究將裁判結果整理為敗訴、部分勝訴與勝訴三類，並將行政、民事、刑事及刑事附帶民事案件分別建模，以比較不同案件類型下的分類表現。在文字特徵表示方面，本研究比較</w:t>
      </w:r>
      <w:r w:rsidR="001D087D" w:rsidRPr="00706F03">
        <w:rPr>
          <w:rFonts w:cs="Times New Roman" w:hint="eastAsia"/>
          <w:szCs w:val="28"/>
        </w:rPr>
        <w:t xml:space="preserve"> </w:t>
      </w:r>
      <w:proofErr w:type="spellStart"/>
      <w:r w:rsidR="001D087D" w:rsidRPr="00706F03">
        <w:rPr>
          <w:rFonts w:cs="Times New Roman" w:hint="eastAsia"/>
          <w:szCs w:val="28"/>
        </w:rPr>
        <w:t>BoW</w:t>
      </w:r>
      <w:proofErr w:type="spellEnd"/>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w:t>
      </w:r>
      <w:r w:rsidR="001D087D" w:rsidRPr="00706F03">
        <w:rPr>
          <w:rFonts w:cs="Times New Roman" w:hint="eastAsia"/>
          <w:szCs w:val="28"/>
        </w:rPr>
        <w:t xml:space="preserve"> </w:t>
      </w:r>
      <w:r w:rsidR="001E5412" w:rsidRPr="00706F03">
        <w:rPr>
          <w:rFonts w:cs="Times New Roman" w:hint="eastAsia"/>
          <w:szCs w:val="28"/>
        </w:rPr>
        <w:t>Chi-square + MNIR + SVM</w:t>
      </w:r>
      <w:r w:rsidR="001D087D" w:rsidRPr="00706F03">
        <w:rPr>
          <w:rFonts w:cs="Times New Roman" w:hint="eastAsia"/>
          <w:szCs w:val="28"/>
        </w:rPr>
        <w:t xml:space="preserve"> </w:t>
      </w:r>
      <w:r w:rsidR="001D087D" w:rsidRPr="00706F03">
        <w:rPr>
          <w:rFonts w:cs="Times New Roman" w:hint="eastAsia"/>
          <w:szCs w:val="28"/>
        </w:rPr>
        <w:t>與</w:t>
      </w:r>
      <w:r w:rsidR="001D087D" w:rsidRPr="00706F03">
        <w:rPr>
          <w:rFonts w:cs="Times New Roman" w:hint="eastAsia"/>
          <w:szCs w:val="28"/>
        </w:rPr>
        <w:t xml:space="preserve"> Chi-square + SVM</w:t>
      </w:r>
      <w:r w:rsidR="001D087D" w:rsidRPr="00706F03">
        <w:rPr>
          <w:rFonts w:cs="Times New Roman" w:hint="eastAsia"/>
          <w:szCs w:val="28"/>
        </w:rPr>
        <w:t>。前者先以卡方統計量進行特徵選擇，再透過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進行分類；後者則直接以卡方篩選後的稀疏文字特徵訓練</w:t>
      </w:r>
      <w:r w:rsidR="001D087D" w:rsidRPr="00706F03">
        <w:rPr>
          <w:rFonts w:cs="Times New Roman" w:hint="eastAsia"/>
          <w:szCs w:val="28"/>
        </w:rPr>
        <w:t xml:space="preserve"> SVM</w:t>
      </w:r>
      <w:r w:rsidR="001D087D" w:rsidRPr="00706F03">
        <w:rPr>
          <w:rFonts w:cs="Times New Roman" w:hint="eastAsia"/>
          <w:szCs w:val="28"/>
        </w:rPr>
        <w:t>。</w:t>
      </w:r>
      <w:r w:rsidR="00484BCF" w:rsidRPr="00484BCF">
        <w:rPr>
          <w:rFonts w:cs="Times New Roman"/>
          <w:szCs w:val="28"/>
        </w:rPr>
        <w:t>儘管近年以</w:t>
      </w:r>
      <w:r w:rsidR="00484BCF" w:rsidRPr="00484BCF">
        <w:rPr>
          <w:rFonts w:cs="Times New Roman"/>
          <w:szCs w:val="28"/>
        </w:rPr>
        <w:t>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proofErr w:type="spellStart"/>
      <w:r w:rsidR="00484BCF" w:rsidRPr="00484BCF">
        <w:rPr>
          <w:rFonts w:cs="Times New Roman"/>
          <w:szCs w:val="28"/>
        </w:rPr>
        <w:t>BoW</w:t>
      </w:r>
      <w:proofErr w:type="spellEnd"/>
      <w:r w:rsidR="00484BCF" w:rsidRPr="00484BCF">
        <w:rPr>
          <w:rFonts w:cs="Times New Roman"/>
          <w:szCs w:val="28"/>
        </w:rPr>
        <w:t>、</w:t>
      </w:r>
      <w:r w:rsidR="00484BCF" w:rsidRPr="00484BCF">
        <w:rPr>
          <w:rFonts w:cs="Times New Roman"/>
          <w:szCs w:val="28"/>
        </w:rPr>
        <w:t>TF</w:t>
      </w:r>
      <w:r w:rsidR="00484BCF" w:rsidRPr="00484BCF">
        <w:rPr>
          <w:rFonts w:cs="Times New Roman"/>
          <w:szCs w:val="28"/>
        </w:rPr>
        <w:t>與</w:t>
      </w:r>
      <w:r w:rsidR="00484BCF" w:rsidRPr="00484BCF">
        <w:rPr>
          <w:rFonts w:cs="Times New Roman"/>
          <w:szCs w:val="28"/>
        </w:rPr>
        <w:t>TF-IDF</w:t>
      </w:r>
      <w:r w:rsidR="00484BCF" w:rsidRPr="00484BCF">
        <w:rPr>
          <w:rFonts w:cs="Times New Roman"/>
          <w:szCs w:val="28"/>
        </w:rPr>
        <w:t>等傳統稀疏文字特徵，以及</w:t>
      </w:r>
      <w:r w:rsidR="00484BCF" w:rsidRPr="00484BCF">
        <w:rPr>
          <w:rFonts w:cs="Times New Roman"/>
          <w:szCs w:val="28"/>
        </w:rPr>
        <w:t>MNIR</w:t>
      </w:r>
      <w:r w:rsidR="00484BCF" w:rsidRPr="00484BCF">
        <w:rPr>
          <w:rFonts w:cs="Times New Roman"/>
          <w:szCs w:val="28"/>
        </w:rPr>
        <w:t>監督式特徵轉換對</w:t>
      </w:r>
      <w:r w:rsidR="00484BCF" w:rsidRPr="00484BCF">
        <w:rPr>
          <w:rFonts w:cs="Times New Roman"/>
          <w:szCs w:val="28"/>
        </w:rPr>
        <w:t>SVM</w:t>
      </w:r>
      <w:r w:rsidR="00484BCF" w:rsidRPr="00484BCF">
        <w:rPr>
          <w:rFonts w:cs="Times New Roman"/>
          <w:szCs w:val="28"/>
        </w:rPr>
        <w:t>分類表現之影響。此外，傳統稀疏文字特徵與線性</w:t>
      </w:r>
      <w:r w:rsidR="00484BCF" w:rsidRPr="00484BCF">
        <w:rPr>
          <w:rFonts w:cs="Times New Roman"/>
          <w:szCs w:val="28"/>
        </w:rPr>
        <w:t>SVM</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第三章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研究方法與資料</w:t>
      </w:r>
    </w:p>
    <w:p w14:paraId="0064CC94" w14:textId="77777777" w:rsidR="00E81A55" w:rsidRPr="00706F03" w:rsidRDefault="00E81A55"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3.1 </w:t>
      </w:r>
      <w:r w:rsidRPr="00706F03">
        <w:rPr>
          <w:rFonts w:ascii="Times New Roman" w:eastAsia="標楷體"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w:t>
      </w:r>
      <w:proofErr w:type="spellStart"/>
      <w:r w:rsidRPr="00706F03">
        <w:rPr>
          <w:rFonts w:cs="Times New Roman"/>
          <w:szCs w:val="28"/>
        </w:rPr>
        <w:t>BoW</w:t>
      </w:r>
      <w:proofErr w:type="spellEnd"/>
      <w:r w:rsidRPr="00706F03">
        <w:rPr>
          <w:rFonts w:cs="Times New Roman"/>
          <w:szCs w:val="28"/>
        </w:rPr>
        <w:t xml:space="preserve">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3.2 </w:t>
      </w:r>
      <w:r w:rsidRPr="00706F03">
        <w:rPr>
          <w:rFonts w:ascii="Times New Roman" w:eastAsia="標楷體"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JSON</w:t>
      </w:r>
      <w:r w:rsidR="00961BBF" w:rsidRPr="00706F03">
        <w:rPr>
          <w:rFonts w:cs="Times New Roman"/>
          <w:szCs w:val="28"/>
        </w:rPr>
        <w:t>（</w:t>
      </w:r>
      <w:r w:rsidR="00961BBF" w:rsidRPr="00706F03">
        <w:rPr>
          <w:rFonts w:cs="Times New Roman"/>
          <w:szCs w:val="28"/>
        </w:rPr>
        <w:t>JavaScript Object Notation</w:t>
      </w:r>
      <w:r w:rsidR="00961BBF" w:rsidRPr="00706F03">
        <w:rPr>
          <w:rFonts w:cs="Times New Roman"/>
          <w:szCs w:val="28"/>
        </w:rPr>
        <w:t>）格式之裁判書檔案</w:t>
      </w:r>
      <w:r w:rsidR="00E81A55" w:rsidRPr="00706F03">
        <w:rPr>
          <w:rFonts w:cs="Times New Roman"/>
          <w:szCs w:val="28"/>
        </w:rPr>
        <w:t>。</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 PDF 下載連結</w:t>
            </w:r>
            <w:r w:rsidRPr="00706F03">
              <w:rPr>
                <w:rFonts w:cs="Times New Roman"/>
                <w:sz w:val="22"/>
                <w:szCs w:val="22"/>
              </w:rPr>
              <w:t/>
            </w:r>
            <w:r w:rsidR="00141ACE" w:rsidRPr="00706F03">
              <w:rPr>
                <w:rFonts w:cs="Times New Roman"/>
                <w:sz w:val="22"/>
                <w:szCs w:val="22"/>
              </w:rPr>
              <w:t xml:space="preserve"/>
            </w:r>
            <w:r w:rsidRPr="00706F03">
              <w:rPr>
                <w:rFonts w:cs="Times New Roman"/>
                <w:sz w:val="22"/>
                <w:szCs w:val="22"/>
              </w:rPr>
              <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3.3 </w:t>
      </w:r>
      <w:r w:rsidR="00E81A55" w:rsidRPr="00706F03">
        <w:rPr>
          <w:rFonts w:ascii="Times New Roman" w:eastAsia="標楷體"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w:t>
      </w:r>
      <w:proofErr w:type="spellStart"/>
      <w:r w:rsidRPr="00706F03">
        <w:rPr>
          <w:rFonts w:cs="Times New Roman"/>
          <w:szCs w:val="28"/>
        </w:rPr>
        <w:t>Jieba</w:t>
      </w:r>
      <w:proofErr w:type="spellEnd"/>
      <w:r w:rsidRPr="00706F03">
        <w:rPr>
          <w:rFonts w:cs="Times New Roman"/>
          <w:szCs w:val="28"/>
        </w:rPr>
        <w:t xml:space="preserve">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3.4 </w:t>
      </w:r>
      <w:r w:rsidRPr="00706F03">
        <w:rPr>
          <w:rFonts w:ascii="Times New Roman" w:eastAsia="標楷體"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2026</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3F5CB6" w:rsidRPr="00706F03">
        <w:rPr>
          <w:rFonts w:cs="Times New Roman"/>
        </w:rPr>
        <w:t>2025</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af3"/>
        <w:jc w:val="center"/>
        <w:tblW w:w="5151"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af3"/>
        <w:jc w:val="center"/>
        <w:tblW w:w="10343" w:type="dxa"/>
        <w:tblLook w:val="04A0" w:firstRow="1" w:lastRow="0" w:firstColumn="1" w:lastColumn="0" w:noHBand="0" w:noVBand="1"/>
      </w:tblPr>
      <w:tblGrid>
        <w:gridCol w:w="1555"/>
        <w:gridCol w:w="3402"/>
        <w:gridCol w:w="3402"/>
        <w:gridCol w:w="1984"/>
      </w:tblGrid>
      <w:tr w:rsidR="00114E40" w:rsidRPr="003E09F7" w14:paraId="39682103" w14:textId="77777777" w:rsidTr="003E09F7">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3ECBA9D1" w:rsidR="00BF71D8" w:rsidRPr="00706F03" w:rsidRDefault="00E00F7E" w:rsidP="00E00F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分刑事責任成立或部分民事賠償請求獲准。由於</w:t>
      </w:r>
      <w:r w:rsidR="00CF7DCF" w:rsidRPr="00CF7DCF">
        <w:rPr>
          <w:rFonts w:cs="Times New Roman" w:hint="eastAsia"/>
        </w:rPr>
        <w:t xml:space="preserve"> Mixed </w:t>
      </w:r>
      <w:r w:rsidR="00CF7DCF" w:rsidRPr="00CF7DCF">
        <w:rPr>
          <w:rFonts w:cs="Times New Roman" w:hint="eastAsia"/>
        </w:rPr>
        <w:t>類別涵蓋之裁判型態較為多元，其文本特徵亦可能存在較大差異，因此具有較高的類別內異質性，並可能增加模型辨識的難度。其他裁判結果類型，例如</w:t>
      </w:r>
      <w:r w:rsidR="00CF7DCF" w:rsidRPr="00CF7DCF">
        <w:rPr>
          <w:rFonts w:cs="Times New Roman" w:hint="eastAsia"/>
        </w:rPr>
        <w:t xml:space="preserve"> Other</w:t>
      </w:r>
      <w:r w:rsidR="00CF7DCF" w:rsidRPr="00CF7DCF">
        <w:rPr>
          <w:rFonts w:cs="Times New Roman" w:hint="eastAsia"/>
        </w:rPr>
        <w:t>、</w:t>
      </w:r>
      <w:r w:rsidR="00CF7DCF" w:rsidRPr="00CF7DCF">
        <w:rPr>
          <w:rFonts w:cs="Times New Roman" w:hint="eastAsia"/>
        </w:rPr>
        <w:t>Remand</w:t>
      </w:r>
      <w:r w:rsidR="00CF7DCF" w:rsidRPr="00CF7DCF">
        <w:rPr>
          <w:rFonts w:cs="Times New Roman" w:hint="eastAsia"/>
        </w:rPr>
        <w:t>、</w:t>
      </w:r>
      <w:proofErr w:type="spellStart"/>
      <w:r w:rsidR="00CF7DCF" w:rsidRPr="00CF7DCF">
        <w:rPr>
          <w:rFonts w:cs="Times New Roman" w:hint="eastAsia"/>
        </w:rPr>
        <w:t>Settlement_Partial</w:t>
      </w:r>
      <w:proofErr w:type="spellEnd"/>
      <w:r w:rsidR="00CF7DCF" w:rsidRPr="00CF7DCF">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582E974E">
            <wp:extent cx="5400040" cy="3150023"/>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3.5 </w:t>
      </w:r>
      <w:r w:rsidRPr="00706F03">
        <w:rPr>
          <w:rFonts w:ascii="Times New Roman" w:eastAsia="標楷體"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proofErr w:type="spellStart"/>
      <w:r w:rsidR="00120A33" w:rsidRPr="00706F03">
        <w:rPr>
          <w:rFonts w:cs="Times New Roman"/>
          <w:b/>
          <w:szCs w:val="28"/>
        </w:rPr>
        <w:t>BoW</w:t>
      </w:r>
      <w:proofErr w:type="spellEnd"/>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的基礎上，進一步將詞彙出現次數轉換為該詞彙在單篇文件中的相對次數。</w:t>
      </w:r>
      <w:proofErr w:type="spellStart"/>
      <w:r w:rsidR="00456D93" w:rsidRPr="00706F03">
        <w:rPr>
          <w:rFonts w:cs="Times New Roman"/>
          <w:szCs w:val="28"/>
        </w:rPr>
        <w:t>BoW</w:t>
      </w:r>
      <w:proofErr w:type="spellEnd"/>
      <w:r w:rsidR="00456D93" w:rsidRPr="00706F03">
        <w:rPr>
          <w:rFonts w:cs="Times New Roman"/>
          <w:szCs w:val="28"/>
        </w:rPr>
        <w:t xml:space="preserve">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代表由所有裁判書所形成的</w:t>
      </w:r>
      <w:r w:rsidRPr="00706F03">
        <w:rPr>
          <w:rFonts w:cs="Times New Roman"/>
          <w:szCs w:val="28"/>
        </w:rPr>
        <w:t xml:space="preserve"> TF </w:t>
      </w:r>
      <w:r w:rsidRPr="00706F03">
        <w:rPr>
          <w:rFonts w:cs="Times New Roman"/>
          <w:szCs w:val="28"/>
        </w:rPr>
        <w:t>文件－詞彙矩陣，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w:t>
      </w:r>
      <w:proofErr w:type="spellStart"/>
      <w:r w:rsidRPr="00706F03">
        <w:rPr>
          <w:rFonts w:cs="Times New Roman"/>
          <w:szCs w:val="28"/>
        </w:rPr>
        <w:t>smooth_idf</w:t>
      </w:r>
      <w:proofErr w:type="spellEnd"/>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w:t>
      </w:r>
      <w:proofErr w:type="spellStart"/>
      <w:r w:rsidRPr="00706F03">
        <w:rPr>
          <w:rFonts w:cs="Times New Roman"/>
          <w:szCs w:val="28"/>
        </w:rPr>
        <w:t>sublinear_tf</w:t>
      </w:r>
      <w:proofErr w:type="spellEnd"/>
      <w:r w:rsidRPr="00706F03">
        <w:rPr>
          <w:rFonts w:cs="Times New Roman"/>
          <w:szCs w:val="28"/>
        </w:rPr>
        <w:t xml:space="preserve">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w:t>
      </w:r>
      <w:proofErr w:type="spellStart"/>
      <w:r w:rsidR="001C5A9C" w:rsidRPr="00706F03">
        <w:rPr>
          <w:rFonts w:cs="Times New Roman"/>
          <w:szCs w:val="28"/>
        </w:rPr>
        <w:t>TfidfVectorizer</w:t>
      </w:r>
      <w:proofErr w:type="spellEnd"/>
      <w:r w:rsidR="001C5A9C" w:rsidRPr="00706F03">
        <w:rPr>
          <w:rFonts w:cs="Times New Roman"/>
          <w:szCs w:val="28"/>
        </w:rPr>
        <w:t xml:space="preserve">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proofErr w:type="spellStart"/>
      <w:r w:rsidR="001C5A9C" w:rsidRPr="00706F03">
        <w:rPr>
          <w:rFonts w:cs="Times New Roman"/>
          <w:szCs w:val="28"/>
        </w:rPr>
        <w:t>smooth_idf</w:t>
      </w:r>
      <w:proofErr w:type="spellEnd"/>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proofErr w:type="spellStart"/>
      <w:r w:rsidR="001C5A9C" w:rsidRPr="00706F03">
        <w:rPr>
          <w:rFonts w:cs="Times New Roman"/>
          <w:szCs w:val="28"/>
        </w:rPr>
        <w:t>smooth_idf</w:t>
      </w:r>
      <w:proofErr w:type="spellEnd"/>
      <w:r w:rsidR="001C5A9C" w:rsidRPr="00706F03">
        <w:rPr>
          <w:rFonts w:cs="Times New Roman"/>
          <w:szCs w:val="28"/>
        </w:rPr>
        <w:t xml:space="preserve">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3240CC" w:rsidRPr="00706F03">
        <w:rPr>
          <w:rFonts w:ascii="Times New Roman" w:eastAsia="標楷體" w:hAnsi="Times New Roman" w:cs="Times New Roman"/>
          <w:color w:val="auto"/>
          <w:szCs w:val="28"/>
        </w:rPr>
        <w:t>6</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lastRenderedPageBreak/>
        <w:t>對</w:t>
      </w:r>
      <w:r w:rsidR="00377F68" w:rsidRPr="00706F03">
        <w:rPr>
          <w:rFonts w:cs="Times New Roman"/>
        </w:rPr>
        <w:t xml:space="preserve"> </w:t>
      </w:r>
      <w:proofErr w:type="spellStart"/>
      <w:r w:rsidR="00377F68" w:rsidRPr="00706F03">
        <w:rPr>
          <w:rFonts w:cs="Times New Roman"/>
        </w:rPr>
        <w:t>BoW</w:t>
      </w:r>
      <w:proofErr w:type="spellEnd"/>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等非負文字特徵計算其與裁判結果標籤之關聯程度，並依卡方統計量由高至低排序，選取前</w:t>
      </w:r>
      <w:r w:rsidR="00377F68" w:rsidRPr="00706F03">
        <w:rPr>
          <w:rFonts w:cs="Times New Roman"/>
        </w:rPr>
        <w:t xml:space="preserve"> K </w:t>
      </w:r>
      <w:r w:rsidR="00377F68" w:rsidRPr="00706F03">
        <w:rPr>
          <w:rFonts w:cs="Times New Roman"/>
        </w:rPr>
        <w:t>個詞彙特徵</w:t>
      </w:r>
      <w:r w:rsidRPr="00706F03">
        <w:rPr>
          <w:rFonts w:cs="Times New Roman"/>
        </w:rPr>
        <w:t>。</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lastRenderedPageBreak/>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24113C9E" w14:textId="77777777"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 Raghavan, &amp; Schütze, 2009</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3.7 MNIR </w:t>
      </w:r>
      <w:r w:rsidRPr="00706F03">
        <w:rPr>
          <w:rFonts w:ascii="Times New Roman" w:eastAsia="標楷體"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lastRenderedPageBreak/>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w:t>
      </w:r>
      <w:proofErr w:type="spellStart"/>
      <w:r w:rsidR="00E20216" w:rsidRPr="00706F03">
        <w:rPr>
          <w:rFonts w:cs="Times New Roman"/>
        </w:rPr>
        <w:t>x</w:t>
      </w:r>
      <w:r w:rsidR="00E20216" w:rsidRPr="00706F03">
        <w:rPr>
          <w:rFonts w:ascii="Cambria Math" w:hAnsi="Cambria Math" w:cs="Cambria Math"/>
        </w:rPr>
        <w:t>∣</w:t>
      </w:r>
      <w:r w:rsidR="00E20216" w:rsidRPr="00706F03">
        <w:rPr>
          <w:rFonts w:cs="Times New Roman"/>
        </w:rPr>
        <w:t>y</w:t>
      </w:r>
      <w:proofErr w:type="spellEnd"/>
      <w:r w:rsidR="00E20216" w:rsidRPr="00706F03">
        <w:rPr>
          <w:rFonts w:cs="Times New Roman"/>
        </w:rPr>
        <w:t xml:space="preserve">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w:t>
      </w:r>
      <w:r w:rsidRPr="00706F03">
        <w:rPr>
          <w:rFonts w:cs="Times New Roman"/>
        </w:rPr>
        <w:lastRenderedPageBreak/>
        <w:t>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w:t>
      </w:r>
      <w:r w:rsidRPr="00706F03">
        <w:rPr>
          <w:rFonts w:cs="Times New Roman"/>
        </w:rPr>
        <w:lastRenderedPageBreak/>
        <w:t>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w:t>
      </w:r>
      <w:r w:rsidRPr="00706F03">
        <w:rPr>
          <w:rFonts w:cs="Times New Roman"/>
        </w:rPr>
        <w:lastRenderedPageBreak/>
        <w:t>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246AD63" w14:textId="77777777" w:rsidR="00B9506F" w:rsidRPr="00706F03" w:rsidRDefault="00512832"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7B2911" w:rsidRPr="00706F03">
        <w:rPr>
          <w:rFonts w:ascii="Times New Roman" w:eastAsia="標楷體" w:hAnsi="Times New Roman" w:cs="Times New Roman"/>
          <w:color w:val="auto"/>
          <w:szCs w:val="28"/>
        </w:rPr>
        <w:t>8</w:t>
      </w:r>
      <w:r w:rsidRPr="00706F03">
        <w:rPr>
          <w:rFonts w:ascii="Times New Roman" w:eastAsia="標楷體" w:hAnsi="Times New Roman" w:cs="Times New Roman"/>
          <w:color w:val="auto"/>
          <w:szCs w:val="28"/>
        </w:rPr>
        <w:t xml:space="preserve"> </w:t>
      </w:r>
      <w:r w:rsidR="007B2911" w:rsidRPr="00706F03">
        <w:rPr>
          <w:rFonts w:ascii="Times New Roman" w:eastAsia="標楷體"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w:t>
      </w:r>
      <w:proofErr w:type="spellStart"/>
      <w:r w:rsidRPr="00706F03">
        <w:rPr>
          <w:rFonts w:cs="Times New Roman" w:hint="eastAsia"/>
          <w:szCs w:val="28"/>
        </w:rPr>
        <w:t>LinearSVC</w:t>
      </w:r>
      <w:proofErr w:type="spellEnd"/>
      <w:r w:rsidRPr="00706F03">
        <w:rPr>
          <w:rFonts w:cs="Times New Roman" w:hint="eastAsia"/>
          <w:szCs w:val="28"/>
        </w:rPr>
        <w:t xml:space="preserve">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proofErr w:type="spellStart"/>
      <w:r w:rsidRPr="00706F03">
        <w:rPr>
          <w:rFonts w:cs="Times New Roman" w:hint="eastAsia"/>
          <w:szCs w:val="28"/>
        </w:rPr>
        <w:t>BoW</w:t>
      </w:r>
      <w:proofErr w:type="spellEnd"/>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轉換後，會形成高維且稀疏的文字特徵空間。</w:t>
      </w:r>
      <w:proofErr w:type="spellStart"/>
      <w:r w:rsidRPr="00706F03">
        <w:rPr>
          <w:rFonts w:cs="Times New Roman" w:hint="eastAsia"/>
          <w:szCs w:val="28"/>
        </w:rPr>
        <w:t>LinearSVC</w:t>
      </w:r>
      <w:proofErr w:type="spellEnd"/>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w:t>
      </w:r>
      <w:r w:rsidRPr="00706F03">
        <w:rPr>
          <w:rFonts w:cs="Times New Roman"/>
          <w:szCs w:val="28"/>
        </w:rPr>
        <w:lastRenderedPageBreak/>
        <w:t>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lastRenderedPageBreak/>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w:t>
      </w:r>
      <w:r w:rsidRPr="00706F03">
        <w:rPr>
          <w:rFonts w:cs="Times New Roman"/>
          <w:szCs w:val="28"/>
        </w:rPr>
        <w:t xml:space="preserve"> TP</w:t>
      </w:r>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 xml:space="preserve">FN </w:t>
      </w:r>
      <w:r w:rsidRPr="00706F03">
        <w:rPr>
          <w:rFonts w:cs="Times New Roman"/>
          <w:szCs w:val="28"/>
        </w:rPr>
        <w:t>與</w:t>
      </w:r>
      <w:r w:rsidRPr="00706F03">
        <w:rPr>
          <w:rFonts w:cs="Times New Roman"/>
          <w:szCs w:val="28"/>
        </w:rPr>
        <w:t xml:space="preserve"> TN </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w:t>
      </w:r>
      <w:r w:rsidRPr="00706F03">
        <w:rPr>
          <w:rFonts w:cs="Times New Roman"/>
          <w:szCs w:val="28"/>
        </w:rPr>
        <w:t>True Positive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，且模型也正確預測為類別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False Positive</w:t>
      </w:r>
      <w:r w:rsidRPr="00706F03">
        <w:rPr>
          <w:rFonts w:cs="Times New Roman"/>
          <w:szCs w:val="28"/>
        </w:rPr>
        <w:t>）代表實際並非類別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FN</w:t>
      </w:r>
      <w:r w:rsidRPr="00706F03">
        <w:rPr>
          <w:rFonts w:cs="Times New Roman"/>
          <w:szCs w:val="28"/>
        </w:rPr>
        <w:t>（</w:t>
      </w:r>
      <w:r w:rsidRPr="00706F03">
        <w:rPr>
          <w:rFonts w:cs="Times New Roman"/>
          <w:szCs w:val="28"/>
        </w:rPr>
        <w:t>False Negative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TN</w:t>
      </w:r>
      <w:r w:rsidRPr="00706F03">
        <w:rPr>
          <w:rFonts w:cs="Times New Roman"/>
          <w:szCs w:val="28"/>
        </w:rPr>
        <w:t>（</w:t>
      </w:r>
      <w:r w:rsidRPr="00706F03">
        <w:rPr>
          <w:rFonts w:cs="Times New Roman"/>
          <w:szCs w:val="28"/>
        </w:rPr>
        <w:t>True Negative</w:t>
      </w:r>
      <w:r w:rsidRPr="00706F03">
        <w:rPr>
          <w:rFonts w:cs="Times New Roman"/>
          <w:szCs w:val="28"/>
        </w:rPr>
        <w:t>）則代表實際並非類別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，且模型也未預測為類別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004422CA" w:rsidRPr="00706F03">
        <w:rPr>
          <w:rFonts w:cs="Times New Roman"/>
          <w:szCs w:val="28"/>
        </w:rPr>
        <w:t>以本研究三類裁判結果為例，若以</w:t>
      </w:r>
      <w:r w:rsidR="004422CA" w:rsidRPr="00706F03">
        <w:rPr>
          <w:rFonts w:cs="Times New Roman"/>
          <w:szCs w:val="28"/>
        </w:rPr>
        <w:t xml:space="preserve"> Win </w:t>
      </w:r>
      <w:r w:rsidR="004422CA" w:rsidRPr="00706F03">
        <w:rPr>
          <w:rFonts w:cs="Times New Roman"/>
          <w:szCs w:val="28"/>
        </w:rPr>
        <w:t>作為目標類別，則</w:t>
      </w:r>
      <w:r w:rsidR="004422CA" w:rsidRPr="00706F03">
        <w:rPr>
          <w:rFonts w:cs="Times New Roman"/>
          <w:szCs w:val="28"/>
        </w:rPr>
        <w:t xml:space="preserve"> TP </w:t>
      </w:r>
      <w:r w:rsidR="004422CA" w:rsidRPr="00706F03">
        <w:rPr>
          <w:rFonts w:cs="Times New Roman"/>
          <w:szCs w:val="28"/>
        </w:rPr>
        <w:t>代表實際為</w:t>
      </w:r>
      <w:r w:rsidR="004422CA" w:rsidRPr="00706F03">
        <w:rPr>
          <w:rFonts w:cs="Times New Roman"/>
          <w:szCs w:val="28"/>
        </w:rPr>
        <w:t xml:space="preserve"> Win </w:t>
      </w:r>
      <w:r w:rsidR="004422CA" w:rsidRPr="00706F03">
        <w:rPr>
          <w:rFonts w:cs="Times New Roman"/>
          <w:szCs w:val="28"/>
        </w:rPr>
        <w:t>且模型亦預測為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FN </w:t>
      </w:r>
      <w:r w:rsidR="004422CA" w:rsidRPr="00706F03">
        <w:rPr>
          <w:rFonts w:cs="Times New Roman"/>
          <w:szCs w:val="28"/>
        </w:rPr>
        <w:t>代表實際為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w:t>
      </w:r>
      <w:r w:rsidRPr="00706F03">
        <w:rPr>
          <w:rFonts w:cs="Times New Roman"/>
          <w:szCs w:val="28"/>
        </w:rPr>
        <w:lastRenderedPageBreak/>
        <w:t>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af3"/>
        <w:jc w:val="center"/>
        <w:tblW w:w="4782"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proofErr w:type="spellStart"/>
            <w:r w:rsidRPr="00706F03">
              <w:rPr>
                <w:rFonts w:cs="Times New Roman"/>
                <w:sz w:val="22"/>
                <w:szCs w:val="22"/>
              </w:rPr>
              <w:t>BoW</w:t>
            </w:r>
            <w:proofErr w:type="spellEnd"/>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3.9 </w:t>
      </w:r>
      <w:r w:rsidRPr="00706F03">
        <w:rPr>
          <w:rFonts w:ascii="Times New Roman" w:eastAsia="標楷體" w:hAnsi="Times New Roman" w:cs="Times New Roman"/>
          <w:color w:val="auto"/>
          <w:szCs w:val="28"/>
        </w:rPr>
        <w:t>資料</w:t>
      </w:r>
      <w:r w:rsidR="004422CA" w:rsidRPr="00706F03">
        <w:rPr>
          <w:rFonts w:ascii="Times New Roman" w:eastAsia="標楷體" w:hAnsi="Times New Roman" w:cs="Times New Roman" w:hint="eastAsia"/>
          <w:color w:val="auto"/>
          <w:szCs w:val="28"/>
        </w:rPr>
        <w:t>集劃分</w:t>
      </w:r>
      <w:r w:rsidRPr="00706F03">
        <w:rPr>
          <w:rFonts w:ascii="Times New Roman" w:eastAsia="標楷體"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66439615"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後，本研究再使用訓練集與驗證集合併後的資料重新訓練最終</w:t>
      </w:r>
      <w:r w:rsidR="009A19D8" w:rsidRPr="00706F03">
        <w:rPr>
          <w:rFonts w:cs="Times New Roman"/>
          <w:szCs w:val="28"/>
        </w:rPr>
        <w:t xml:space="preserve"> SVM </w:t>
      </w:r>
      <w:r w:rsidR="009A19D8" w:rsidRPr="00706F03">
        <w:rPr>
          <w:rFonts w:cs="Times New Roman"/>
          <w:szCs w:val="28"/>
        </w:rPr>
        <w:t>模型，並以測試集進行最終評估。此流程可表示為：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015845FF" w14:textId="77777777" w:rsidR="009A19D8" w:rsidRPr="0041775A" w:rsidRDefault="0041775A" w:rsidP="0004071A">
      <w:pPr>
        <w:spacing w:line="276" w:lineRule="auto"/>
        <w:outlineLvl w:val="0"/>
        <w:rPr>
          <w:rFonts w:cs="Times New Roman"/>
          <w:szCs w:val="28"/>
        </w:rPr>
      </w:pPr>
      <w:r w:rsidRPr="0041775A">
        <w:rPr>
          <w:rFonts w:cs="Times New Roman" w:hint="eastAsia"/>
          <w:szCs w:val="28"/>
        </w:rPr>
        <w:t>測試集不參與卡方特徵選擇、</w:t>
      </w:r>
      <w:r w:rsidRPr="0041775A">
        <w:rPr>
          <w:rFonts w:cs="Times New Roman" w:hint="eastAsia"/>
          <w:szCs w:val="28"/>
        </w:rPr>
        <w:t>MNIR</w:t>
      </w:r>
      <w:r w:rsidRPr="0041775A">
        <w:rPr>
          <w:rFonts w:cs="Times New Roman" w:hint="eastAsia"/>
          <w:szCs w:val="28"/>
        </w:rPr>
        <w:t>模型估計、</w:t>
      </w:r>
      <w:r w:rsidRPr="0041775A">
        <w:rPr>
          <w:rFonts w:cs="Times New Roman" w:hint="eastAsia"/>
          <w:szCs w:val="28"/>
        </w:rPr>
        <w:t>SVM</w:t>
      </w:r>
      <w:r w:rsidRPr="0041775A">
        <w:rPr>
          <w:rFonts w:cs="Times New Roman" w:hint="eastAsia"/>
          <w:szCs w:val="28"/>
        </w:rPr>
        <w:t>訓練與超參數選擇，而僅用於最終模型評估。惟本研究之文件－詞項矩陣係於資料集劃分前建立，因此</w:t>
      </w:r>
      <w:proofErr w:type="spellStart"/>
      <w:r w:rsidRPr="0041775A">
        <w:rPr>
          <w:rFonts w:cs="Times New Roman" w:hint="eastAsia"/>
          <w:szCs w:val="28"/>
        </w:rPr>
        <w:t>BoW</w:t>
      </w:r>
      <w:proofErr w:type="spellEnd"/>
      <w:r w:rsidRPr="0041775A">
        <w:rPr>
          <w:rFonts w:cs="Times New Roman" w:hint="eastAsia"/>
          <w:szCs w:val="28"/>
        </w:rPr>
        <w:t>與</w:t>
      </w:r>
      <w:r w:rsidRPr="0041775A">
        <w:rPr>
          <w:rFonts w:cs="Times New Roman" w:hint="eastAsia"/>
          <w:szCs w:val="28"/>
        </w:rPr>
        <w:t>TF</w:t>
      </w:r>
      <w:r w:rsidRPr="0041775A">
        <w:rPr>
          <w:rFonts w:cs="Times New Roman" w:hint="eastAsia"/>
          <w:szCs w:val="28"/>
        </w:rPr>
        <w:t>之詞彙表，以及</w:t>
      </w:r>
      <w:r w:rsidRPr="0041775A">
        <w:rPr>
          <w:rFonts w:cs="Times New Roman" w:hint="eastAsia"/>
          <w:szCs w:val="28"/>
        </w:rPr>
        <w:t>TF-IDF</w:t>
      </w:r>
      <w:r w:rsidRPr="0041775A">
        <w:rPr>
          <w:rFonts w:cs="Times New Roman" w:hint="eastAsia"/>
          <w:szCs w:val="28"/>
        </w:rPr>
        <w:t>之詞彙表與</w:t>
      </w:r>
      <w:r w:rsidRPr="0041775A">
        <w:rPr>
          <w:rFonts w:cs="Times New Roman" w:hint="eastAsia"/>
          <w:szCs w:val="28"/>
        </w:rPr>
        <w:t>IDF</w:t>
      </w:r>
      <w:r w:rsidRPr="0041775A">
        <w:rPr>
          <w:rFonts w:cs="Times New Roman" w:hint="eastAsia"/>
          <w:szCs w:val="28"/>
        </w:rPr>
        <w:t>權重，可能已包含驗證集與測試集的詞彙分布資訊。雖然後續</w:t>
      </w:r>
      <w:r w:rsidRPr="0041775A">
        <w:rPr>
          <w:rFonts w:cs="Times New Roman" w:hint="eastAsia"/>
          <w:szCs w:val="28"/>
        </w:rPr>
        <w:lastRenderedPageBreak/>
        <w:t>卡方特徵選擇、</w:t>
      </w:r>
      <w:r w:rsidRPr="0041775A">
        <w:rPr>
          <w:rFonts w:cs="Times New Roman" w:hint="eastAsia"/>
          <w:szCs w:val="28"/>
        </w:rPr>
        <w:t>MNIR</w:t>
      </w:r>
      <w:r w:rsidRPr="0041775A">
        <w:rPr>
          <w:rFonts w:cs="Times New Roman" w:hint="eastAsia"/>
          <w:szCs w:val="28"/>
        </w:rPr>
        <w:t>特徵轉換、</w:t>
      </w:r>
      <w:r w:rsidRPr="0041775A">
        <w:rPr>
          <w:rFonts w:cs="Times New Roman" w:hint="eastAsia"/>
          <w:szCs w:val="28"/>
        </w:rPr>
        <w:t>SVM</w:t>
      </w:r>
      <w:r w:rsidRPr="0041775A">
        <w:rPr>
          <w:rFonts w:cs="Times New Roman" w:hint="eastAsia"/>
          <w:szCs w:val="28"/>
        </w:rPr>
        <w:t>估計與超參數選擇皆未使用測試集進行估計或調整，本研究仍無法完全排除非監督式資料洩漏之可能。</w:t>
      </w:r>
    </w:p>
    <w:p w14:paraId="3281FEEF" w14:textId="77777777" w:rsidR="00523799" w:rsidRPr="00383AAC" w:rsidRDefault="009A19D8" w:rsidP="0004071A">
      <w:pPr>
        <w:spacing w:line="276" w:lineRule="auto"/>
        <w:outlineLvl w:val="0"/>
        <w:rPr>
          <w:rFonts w:cs="Times New Roman"/>
          <w:szCs w:val="28"/>
        </w:rPr>
      </w:pPr>
      <w:r w:rsidRPr="00383AAC">
        <w:rPr>
          <w:rFonts w:cs="Times New Roman"/>
          <w:szCs w:val="28"/>
        </w:rPr>
        <w:t>透過上述流程，本研究得以在各案件類型中比較不同文字特徵表示、</w:t>
      </w:r>
      <w:r w:rsidR="001E5412" w:rsidRPr="00383AAC">
        <w:rPr>
          <w:rFonts w:cs="Times New Roman"/>
          <w:szCs w:val="28"/>
        </w:rPr>
        <w:t xml:space="preserve">Chi-square + MNIR + SVM </w:t>
      </w:r>
      <w:r w:rsidR="001E5412" w:rsidRPr="00383AAC">
        <w:rPr>
          <w:rFonts w:cs="Times New Roman"/>
          <w:szCs w:val="28"/>
        </w:rPr>
        <w:t>與</w:t>
      </w:r>
      <w:r w:rsidR="001E5412" w:rsidRPr="00383AAC">
        <w:rPr>
          <w:rFonts w:cs="Times New Roman"/>
          <w:szCs w:val="28"/>
        </w:rPr>
        <w:t xml:space="preserve"> Chi-square + SVM</w:t>
      </w:r>
      <w:r w:rsidRPr="00383AAC">
        <w:rPr>
          <w:rFonts w:cs="Times New Roman"/>
          <w:szCs w:val="28"/>
        </w:rPr>
        <w:t xml:space="preserve"> </w:t>
      </w:r>
      <w:r w:rsidRPr="00383AAC">
        <w:rPr>
          <w:rFonts w:cs="Times New Roman"/>
          <w:szCs w:val="28"/>
        </w:rPr>
        <w:t>兩種模型流程之分類表現，並以測試集結果作為最終模型效能評估依據。</w:t>
      </w:r>
    </w:p>
    <w:p w14:paraId="401DF29D" w14:textId="77777777" w:rsidR="0092540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3.10 </w:t>
      </w:r>
      <w:r w:rsidRPr="00706F03">
        <w:rPr>
          <w:rFonts w:ascii="Times New Roman" w:eastAsia="標楷體" w:hAnsi="Times New Roman" w:cs="Times New Roman"/>
          <w:color w:val="auto"/>
          <w:szCs w:val="28"/>
        </w:rPr>
        <w:t>小結</w:t>
      </w:r>
      <w:r w:rsidR="004F70FB" w:rsidRPr="00706F03">
        <w:rPr>
          <w:rFonts w:ascii="Times New Roman" w:eastAsia="標楷體"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研究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三類，並排除無法明確歸類之案件，以建立適合模型訓練之有效樣本。在文字處理方面，本研究先進行文本清理、停用詞移除與中文斷詞，再分別建立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77777777"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1"/>
        <w:pageBreakBefore/>
        <w:spacing w:before="240" w:after="120"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第四章</w:t>
      </w:r>
      <w:r w:rsidRPr="00706F03">
        <w:rPr>
          <w:rFonts w:ascii="Times New Roman" w:eastAsia="標楷體" w:hAnsi="Times New Roman" w:cs="Times New Roman"/>
          <w:color w:val="auto"/>
        </w:rPr>
        <w:t xml:space="preserve"> </w:t>
      </w:r>
      <w:r w:rsidRPr="00706F03">
        <w:rPr>
          <w:rFonts w:ascii="Times New Roman" w:eastAsia="標楷體" w:hAnsi="Times New Roman" w:cs="Times New Roman"/>
          <w:color w:val="auto"/>
        </w:rPr>
        <w:t>研究結果與分析</w:t>
      </w:r>
    </w:p>
    <w:p w14:paraId="058A6100"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4.1 </w:t>
      </w:r>
      <w:r w:rsidRPr="00706F03">
        <w:rPr>
          <w:rFonts w:ascii="Times New Roman" w:eastAsia="標楷體"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4.2 </w:t>
      </w:r>
      <w:r w:rsidR="001E5412" w:rsidRPr="00706F03">
        <w:rPr>
          <w:rFonts w:ascii="Times New Roman" w:eastAsia="標楷體" w:hAnsi="Times New Roman" w:cs="Times New Roman"/>
          <w:color w:val="auto"/>
          <w:szCs w:val="28"/>
        </w:rPr>
        <w:t>Chi-square + MNIR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af3"/>
        <w:jc w:val="center"/>
        <w:tblW w:w="360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Chi-square 後維度</w:t>
            </w:r>
            <w:r w:rsidRPr="003E09F7">
              <w:rPr>
                <w:rFonts w:cs="Times New Roman"/>
                <w:b/>
                <w:bCs/>
              </w:rPr>
              <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MNIR 後維度</w:t>
            </w:r>
            <w:r w:rsidRPr="003E09F7">
              <w:rPr>
                <w:rFonts w:cs="Times New Roman"/>
                <w:b/>
                <w:bCs/>
              </w:rPr>
              <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註：維度縮減率＝（Chi-square 後維度－MNIR 後維度）／Chi-square 後維度 × 100%。</w:t>
      </w:r>
      <w:r w:rsidRPr="00E3554D">
        <w:rPr>
          <w:rFonts w:cs="Times New Roman" w:hint="eastAsia"/>
        </w:rPr>
        <w:t/>
      </w:r>
      <w:r w:rsidRPr="00E3554D">
        <w:rPr>
          <w:rFonts w:cs="Times New Roman" w:hint="eastAsia"/>
        </w:rPr>
        <w:t/>
      </w:r>
      <w:r w:rsidRPr="00E3554D">
        <w:rPr>
          <w:rFonts w:cs="Times New Roman" w:hint="eastAsia"/>
        </w:rPr>
        <w:t/>
      </w:r>
      <w:r w:rsidRPr="00E3554D">
        <w:rPr>
          <w:rFonts w:cs="Times New Roman" w:hint="eastAsia"/>
        </w:rPr>
        <w:t/>
      </w:r>
      <w:r w:rsidRPr="00E3554D">
        <w:rPr>
          <w:rFonts w:cs="Times New Roman" w:hint="eastAsia"/>
        </w:rPr>
        <w:t/>
      </w:r>
      <w:r w:rsidRPr="00E3554D">
        <w:rPr>
          <w:rFonts w:cs="Times New Roman" w:hint="eastAsia"/>
        </w:rPr>
        <w:t/>
      </w:r>
      <w:r w:rsidRPr="00E3554D">
        <w:rPr>
          <w:rFonts w:cs="Times New Roman" w:hint="eastAsia"/>
        </w:rPr>
        <w:t xml:space="preserve"/>
      </w:r>
      <w:r w:rsidRPr="00E3554D">
        <w:rPr>
          <w:rFonts w:cs="Times New Roman" w:hint="eastAsia"/>
        </w:rPr>
        <w:t/>
      </w:r>
      <w:r w:rsidRPr="00E3554D">
        <w:rPr>
          <w:rFonts w:cs="Times New Roman" w:hint="eastAsia"/>
        </w:rPr>
        <w:t xml:space="preserve"/>
      </w:r>
      <w:r w:rsidRPr="00E3554D">
        <w:rPr>
          <w:rFonts w:cs="Times New Roman" w:hint="eastAsia"/>
        </w:rPr>
        <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af3"/>
        <w:jc w:val="center"/>
        <w:tblW w:w="522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 xml:space="preserve">Chi-square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4.3 </w:t>
      </w:r>
      <w:r w:rsidR="001E5412" w:rsidRPr="00706F03">
        <w:rPr>
          <w:rFonts w:ascii="Times New Roman" w:eastAsia="標楷體" w:hAnsi="Times New Roman" w:cs="Times New Roman"/>
          <w:color w:val="auto"/>
          <w:szCs w:val="28"/>
        </w:rPr>
        <w:t xml:space="preserve">Chi-square + SVM </w:t>
      </w:r>
      <w:r w:rsidR="001E5412" w:rsidRPr="00706F03">
        <w:rPr>
          <w:rFonts w:ascii="Times New Roman" w:eastAsia="標楷體" w:hAnsi="Times New Roman" w:cs="Times New Roman"/>
          <w:color w:val="auto"/>
          <w:szCs w:val="28"/>
        </w:rPr>
        <w:t>對照流程之</w:t>
      </w:r>
      <w:r w:rsidRPr="00706F03">
        <w:rPr>
          <w:rFonts w:ascii="Times New Roman" w:eastAsia="標楷體" w:hAnsi="Times New Roman" w:cs="Times New Roman"/>
          <w:color w:val="auto"/>
          <w:szCs w:val="28"/>
        </w:rPr>
        <w:t>模型表現</w:t>
      </w:r>
    </w:p>
    <w:p w14:paraId="33665951" w14:textId="77777777"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w:t>
      </w:r>
      <w:r w:rsidRPr="00706F03">
        <w:rPr>
          <w:rFonts w:cs="Times New Roman"/>
        </w:rPr>
        <w:lastRenderedPageBreak/>
        <w:t xml:space="preserve">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af3"/>
        <w:jc w:val="center"/>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4.4 </w:t>
      </w:r>
      <w:r w:rsidR="001E5412" w:rsidRPr="00706F03">
        <w:rPr>
          <w:rFonts w:ascii="Times New Roman" w:eastAsia="標楷體" w:hAnsi="Times New Roman" w:cs="Times New Roman"/>
          <w:color w:val="auto"/>
          <w:szCs w:val="28"/>
        </w:rPr>
        <w:t xml:space="preserve">Chi-square + MNIR + SVM </w:t>
      </w:r>
      <w:r w:rsidR="001E5412" w:rsidRPr="00706F03">
        <w:rPr>
          <w:rFonts w:ascii="Times New Roman" w:eastAsia="標楷體" w:hAnsi="Times New Roman" w:cs="Times New Roman"/>
          <w:color w:val="auto"/>
          <w:szCs w:val="28"/>
        </w:rPr>
        <w:t>與</w:t>
      </w:r>
      <w:r w:rsidR="001E5412" w:rsidRPr="00706F03">
        <w:rPr>
          <w:rFonts w:ascii="Times New Roman" w:eastAsia="標楷體" w:hAnsi="Times New Roman" w:cs="Times New Roman"/>
          <w:color w:val="auto"/>
          <w:szCs w:val="28"/>
        </w:rPr>
        <w:t xml:space="preserve"> Chi-square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af3"/>
        <w:jc w:val="center"/>
        <w:tblW w:w="537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MNIR 最佳特徵</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w: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整體而言，四類資料集結果方向一致，顯示在本研究資料與超參數設定下，</w:t>
      </w:r>
      <w:r w:rsidR="001E5412" w:rsidRPr="00706F03">
        <w:rPr>
          <w:rFonts w:cs="Times New Roman"/>
        </w:rPr>
        <w:t xml:space="preserve">Chi-square + SVM </w:t>
      </w:r>
      <w:r w:rsidR="00DF543D" w:rsidRPr="00706F03">
        <w:rPr>
          <w:rFonts w:cs="Times New Roman" w:hint="eastAsia"/>
        </w:rPr>
        <w:t>對比</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取得較佳分類表現。</w:t>
      </w:r>
      <w:r w:rsidR="00CE420E" w:rsidRPr="00706F03">
        <w:rPr>
          <w:rFonts w:cs="Times New Roman"/>
        </w:rPr>
        <w:t>換言之，在本研究的實驗設定中，加入</w:t>
      </w:r>
      <w:r w:rsidR="00CE420E" w:rsidRPr="00706F03">
        <w:rPr>
          <w:rFonts w:cs="Times New Roman"/>
        </w:rPr>
        <w:t xml:space="preserve"> MNIR </w:t>
      </w:r>
      <w:r w:rsidR="00CE420E" w:rsidRPr="00706F03">
        <w:rPr>
          <w:rFonts w:cs="Times New Roman"/>
        </w:rPr>
        <w:t>特徵轉換並未在</w:t>
      </w:r>
      <w:r w:rsidR="00CE420E" w:rsidRPr="00706F03">
        <w:rPr>
          <w:rFonts w:cs="Times New Roman"/>
        </w:rPr>
        <w:t xml:space="preserve"> Chi-square + SVM </w:t>
      </w:r>
      <w:r w:rsidR="00CE420E" w:rsidRPr="00706F03">
        <w:rPr>
          <w:rFonts w:cs="Times New Roman"/>
        </w:rPr>
        <w:t>的基礎上帶來額外分類增益。此一結果可從</w:t>
      </w:r>
      <w:r w:rsidR="00CE420E" w:rsidRPr="00706F03">
        <w:rPr>
          <w:rFonts w:cs="Times New Roman"/>
        </w:rPr>
        <w:lastRenderedPageBreak/>
        <w:t>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Pr="00706F03">
        <w:rPr>
          <w:rFonts w:cs="Times New Roman"/>
        </w:rPr>
        <w:t xml:space="preserve">Chi-square + SVM </w:t>
      </w:r>
      <w:r w:rsidRPr="00706F03">
        <w:rPr>
          <w:rFonts w:cs="Times New Roman"/>
        </w:rPr>
        <w:t>可直接利用這些具有判別力的稀疏詞彙特徵進行分類，不一定需要再透過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w:t>
      </w:r>
      <w:proofErr w:type="spellStart"/>
      <w:r w:rsidRPr="00706F03">
        <w:rPr>
          <w:rFonts w:cs="Times New Roman"/>
        </w:rPr>
        <w:t>BoW</w:t>
      </w:r>
      <w:proofErr w:type="spellEnd"/>
      <w:r w:rsidRPr="00706F03">
        <w:rPr>
          <w:rFonts w:cs="Times New Roman"/>
        </w:rPr>
        <w:t xml:space="preserve">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w:t>
      </w:r>
      <w:r w:rsidRPr="00706F03">
        <w:rPr>
          <w:rFonts w:cs="Times New Roman"/>
        </w:rPr>
        <w:t xml:space="preserve">MNIR </w:t>
      </w:r>
      <w:r w:rsidRPr="00706F03">
        <w:rPr>
          <w:rFonts w:cs="Times New Roman"/>
        </w:rPr>
        <w:t>並非無效，而是在本研究資料結構下，其低維化過程可能未能完整保留少數類別所需的判別訊息。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篩選高關聯詞彙，且法律文本之分類訊號可能分散於多個高維詞彙特徵的情況下，</w:t>
      </w:r>
      <w:r w:rsidRPr="00706F03">
        <w:rPr>
          <w:rFonts w:cs="Times New Roman"/>
        </w:rPr>
        <w:t xml:space="preserve">SVM </w:t>
      </w:r>
      <w:r w:rsidRPr="00706F03">
        <w:rPr>
          <w:rFonts w:cs="Times New Roman"/>
        </w:rPr>
        <w:t>直接利用高維稀疏特徵建</w:t>
      </w:r>
      <w:r w:rsidRPr="00706F03">
        <w:rPr>
          <w:rFonts w:cs="Times New Roman"/>
        </w:rPr>
        <w:lastRenderedPageBreak/>
        <w:t>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4.5 </w:t>
      </w:r>
      <w:r w:rsidRPr="00706F03">
        <w:rPr>
          <w:rFonts w:ascii="Times New Roman" w:eastAsia="標楷體"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w:t>
      </w:r>
      <w:proofErr w:type="spellStart"/>
      <w:r w:rsidRPr="00706F03">
        <w:rPr>
          <w:rFonts w:cs="Times New Roman"/>
          <w:b/>
          <w:sz w:val="22"/>
          <w:szCs w:val="22"/>
        </w:rPr>
        <w:t>BoW</w:t>
      </w:r>
      <w:proofErr w:type="spellEnd"/>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proofErr w:type="spellStart"/>
            <w:r w:rsidRPr="00706F03">
              <w:rPr>
                <w:rFonts w:cs="Times New Roman"/>
                <w:b/>
                <w:sz w:val="22"/>
                <w:szCs w:val="22"/>
              </w:rPr>
              <w:t>BoW</w:t>
            </w:r>
            <w:proofErr w:type="spellEnd"/>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w:t>
      </w:r>
      <w:proofErr w:type="spellStart"/>
      <w:r w:rsidRPr="00706F03">
        <w:t>BoW</w:t>
      </w:r>
      <w:proofErr w:type="spellEnd"/>
      <w:r w:rsidRPr="00706F03">
        <w:t xml:space="preserve">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w:t>
      </w:r>
      <w:proofErr w:type="spellStart"/>
      <w:r w:rsidRPr="00706F03">
        <w:t>BoW</w:t>
      </w:r>
      <w:proofErr w:type="spellEnd"/>
      <w:r w:rsidRPr="00706F03">
        <w:t xml:space="preserve"> </w:t>
      </w:r>
      <w:r w:rsidRPr="00706F03">
        <w:t>表現最高，為</w:t>
      </w:r>
      <w:r w:rsidRPr="00706F03">
        <w:t xml:space="preserve"> 0.654</w:t>
      </w:r>
      <w:r w:rsidRPr="00706F03">
        <w:t>。不過，部分資料集中三種文字特徵表示的表現差距有限，因此不宜過度解讀單一特徵表示的優劣。例如，行政案件中</w:t>
      </w:r>
      <w:r w:rsidRPr="00706F03">
        <w:t xml:space="preserve"> </w:t>
      </w:r>
      <w:proofErr w:type="spellStart"/>
      <w:r w:rsidRPr="00706F03">
        <w:t>BoW</w:t>
      </w:r>
      <w:proofErr w:type="spellEnd"/>
      <w:r w:rsidRPr="00706F03">
        <w:t xml:space="preserve">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proofErr w:type="spellStart"/>
      <w:r w:rsidRPr="00706F03">
        <w:t>BoW</w:t>
      </w:r>
      <w:proofErr w:type="spellEnd"/>
      <w:r w:rsidRPr="00706F03">
        <w:t xml:space="preserve"> </w:t>
      </w:r>
      <w:r w:rsidRPr="00706F03">
        <w:lastRenderedPageBreak/>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proofErr w:type="spellStart"/>
      <w:r w:rsidRPr="00706F03">
        <w:t>BoW</w:t>
      </w:r>
      <w:proofErr w:type="spellEnd"/>
      <w:r w:rsidRPr="00706F03">
        <w:t xml:space="preserve">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77777777" w:rsidR="005B7A5E" w:rsidRPr="00706F03" w:rsidRDefault="005B7A5E" w:rsidP="005B7A5E">
      <w:pPr>
        <w:spacing w:line="276" w:lineRule="auto"/>
        <w:ind w:firstLine="480"/>
      </w:pPr>
      <w:r w:rsidRPr="00706F03">
        <w:t>第一，</w:t>
      </w:r>
      <w:proofErr w:type="spellStart"/>
      <w:r w:rsidRPr="00706F03">
        <w:t>BoW</w:t>
      </w:r>
      <w:proofErr w:type="spellEnd"/>
      <w:r w:rsidRPr="00706F03">
        <w:t xml:space="preserve"> </w:t>
      </w:r>
      <w:r w:rsidRPr="00706F03">
        <w:t>保留詞彙是否出現或出現次數的資訊。若某些案件類型的分類訊號主要來自程序用語、請求類型、案件事實描述或法律爭點詞彙，則</w:t>
      </w:r>
      <w:r w:rsidRPr="00706F03">
        <w:t xml:space="preserve"> </w:t>
      </w:r>
      <w:proofErr w:type="spellStart"/>
      <w:r w:rsidRPr="00706F03">
        <w:t>BoW</w:t>
      </w:r>
      <w:proofErr w:type="spellEnd"/>
      <w:r w:rsidRPr="00706F03">
        <w:t xml:space="preserve"> </w:t>
      </w:r>
      <w:r w:rsidRPr="00706F03">
        <w:t>可能已足以捕捉重要分類訊號。行政案件與刑事附帶民事案件中</w:t>
      </w:r>
      <w:r w:rsidRPr="00706F03">
        <w:t xml:space="preserve"> </w:t>
      </w:r>
      <w:proofErr w:type="spellStart"/>
      <w:r w:rsidRPr="00706F03">
        <w:t>BoW</w:t>
      </w:r>
      <w:proofErr w:type="spellEnd"/>
      <w:r w:rsidRPr="00706F03">
        <w:t xml:space="preserve">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w:t>
      </w:r>
      <w:proofErr w:type="spellStart"/>
      <w:r w:rsidRPr="00706F03">
        <w:t>BoW</w:t>
      </w:r>
      <w:proofErr w:type="spellEnd"/>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proofErr w:type="spellStart"/>
      <w:r w:rsidRPr="00706F03">
        <w:t>BoW</w:t>
      </w:r>
      <w:proofErr w:type="spellEnd"/>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4.6 </w:t>
      </w:r>
      <w:r w:rsidRPr="00706F03">
        <w:rPr>
          <w:rFonts w:ascii="Times New Roman" w:eastAsia="標楷體" w:hAnsi="Times New Roman" w:cs="Times New Roman"/>
          <w:color w:val="auto"/>
          <w:szCs w:val="28"/>
        </w:rPr>
        <w:t>參數選擇與驗證集表現</w:t>
      </w:r>
      <w:r w:rsidR="004F70FB" w:rsidRPr="00706F03">
        <w:rPr>
          <w:rFonts w:ascii="Times New Roman" w:eastAsia="標楷體"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af3"/>
        <w:jc w:val="center"/>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4E2FED43">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，紅框標示各資料集之最佳組合；若要更完整檢驗參數結果是否穩定，仍需搭配重複隨機劃分或交叉驗證進行確認。</w:t>
      </w:r>
    </w:p>
    <w:p w14:paraId="407F8CB7" w14:textId="77777777" w:rsidR="0064141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4.7 </w:t>
      </w:r>
      <w:r w:rsidRPr="00706F03">
        <w:rPr>
          <w:rFonts w:ascii="Times New Roman" w:eastAsia="標楷體" w:hAnsi="Times New Roman" w:cs="Times New Roman"/>
          <w:color w:val="auto"/>
          <w:szCs w:val="28"/>
        </w:rPr>
        <w:t>錯誤分析與少數類別限制</w:t>
      </w:r>
      <w:r w:rsidR="004F70FB" w:rsidRPr="00706F03">
        <w:rPr>
          <w:rFonts w:ascii="Times New Roman" w:eastAsia="標楷體"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w:t>
      </w:r>
      <w:r w:rsidR="00754FFD" w:rsidRPr="00706F03">
        <w:rPr>
          <w:rFonts w:cs="Times New Roman"/>
        </w:rPr>
        <w:lastRenderedPageBreak/>
        <w:t>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1"/>
        <w:rPr>
          <w:rFonts w:ascii="Times New Roman" w:eastAsia="標楷體" w:hAnsi="Times New Roman" w:cs="Times New Roman"/>
          <w:color w:val="auto"/>
          <w:sz w:val="22"/>
          <w:szCs w:val="22"/>
        </w:rPr>
      </w:pPr>
      <w:r w:rsidRPr="003E09F7">
        <w:rPr>
          <w:rFonts w:ascii="Times New Roman" w:eastAsia="標楷體" w:hAnsi="Times New Roman" w:cs="Times New Roman"/>
          <w:color w:val="auto"/>
          <w:sz w:val="22"/>
          <w:szCs w:val="22"/>
        </w:rPr>
        <w:lastRenderedPageBreak/>
        <w:t>表</w:t>
      </w:r>
      <w:r w:rsidRPr="003E09F7">
        <w:rPr>
          <w:rFonts w:ascii="Times New Roman" w:eastAsia="標楷體" w:hAnsi="Times New Roman" w:cs="Times New Roman"/>
          <w:color w:val="auto"/>
          <w:sz w:val="22"/>
          <w:szCs w:val="22"/>
        </w:rPr>
        <w:t xml:space="preserve"> 4-9 </w:t>
      </w:r>
      <w:r w:rsidRPr="003E09F7">
        <w:rPr>
          <w:rFonts w:ascii="Times New Roman" w:eastAsia="標楷體" w:hAnsi="Times New Roman" w:cs="Times New Roman"/>
          <w:color w:val="auto"/>
          <w:sz w:val="22"/>
          <w:szCs w:val="22"/>
        </w:rPr>
        <w:t>民事案件最佳</w:t>
      </w:r>
      <w:r w:rsidRPr="003E09F7">
        <w:rPr>
          <w:rFonts w:ascii="Times New Roman" w:eastAsia="標楷體" w:hAnsi="Times New Roman" w:cs="Times New Roman"/>
          <w:color w:val="auto"/>
          <w:sz w:val="22"/>
          <w:szCs w:val="22"/>
        </w:rPr>
        <w:t xml:space="preserve"> Chi-square + SVM </w:t>
      </w:r>
      <w:r w:rsidRPr="003E09F7">
        <w:rPr>
          <w:rFonts w:ascii="Times New Roman" w:eastAsia="標楷體" w:hAnsi="Times New Roman" w:cs="Times New Roman"/>
          <w:color w:val="auto"/>
          <w:sz w:val="22"/>
          <w:szCs w:val="22"/>
        </w:rPr>
        <w:t>模型之主要錯誤分類型態</w:t>
      </w:r>
    </w:p>
    <w:tbl>
      <w:tblPr>
        <w:jc w:val="center"/>
        <w:tblW w:w="5000" w:type="pct"/>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 84.4%；混合訊號 81.8%</w:t>
            </w:r>
            <w:r w:rsidRPr="00B2082D">
              <w:rPr>
                <w:rFonts w:cs="Times New Roman"/>
                <w:kern w:val="0"/>
                <w:sz w:val="22"/>
                <w:szCs w:val="22"/>
                <w14:ligatures w14:val="none"/>
              </w:rPr>
              <w:t/>
            </w:r>
            <w:r w:rsidRPr="00B2082D">
              <w:rPr>
                <w:rFonts w:cs="Times New Roman"/>
                <w:kern w:val="0"/>
                <w:sz w:val="22"/>
                <w:szCs w:val="22"/>
                <w14:ligatures w14:val="none"/>
              </w:rPr>
              <w:t/>
            </w:r>
            <w:r w:rsidRPr="00B2082D">
              <w:rPr>
                <w:rFonts w:cs="Times New Roman"/>
                <w:kern w:val="0"/>
                <w:sz w:val="22"/>
                <w:szCs w:val="22"/>
                <w14:ligatures w14:val="none"/>
              </w:rPr>
              <w:t/>
            </w:r>
          </w:p>
        </w:tc>
      </w:tr>
      <w:tr w:rsidR="00BE6F30" w:rsidRPr="00B2082D" w14:paraId="05284053"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 74.0%；多當事人／連帶語彙 64.9%</w:t>
            </w:r>
            <w:r w:rsidRPr="00B2082D">
              <w:rPr>
                <w:rFonts w:cs="Times New Roman"/>
                <w:kern w:val="0"/>
                <w:sz w:val="22"/>
                <w:szCs w:val="22"/>
                <w14:ligatures w14:val="none"/>
              </w:rPr>
              <w:t/>
            </w:r>
            <w:r w:rsidRPr="00B2082D">
              <w:rPr>
                <w:rFonts w:cs="Times New Roman"/>
                <w:kern w:val="0"/>
                <w:sz w:val="22"/>
                <w:szCs w:val="22"/>
                <w14:ligatures w14:val="none"/>
              </w:rPr>
              <w:t/>
            </w:r>
            <w:r w:rsidRPr="00B2082D">
              <w:rPr>
                <w:rFonts w:cs="Times New Roman"/>
                <w:kern w:val="0"/>
                <w:sz w:val="22"/>
                <w:szCs w:val="22"/>
                <w14:ligatures w14:val="none"/>
              </w:rPr>
              <w:t/>
            </w:r>
          </w:p>
        </w:tc>
      </w:tr>
      <w:tr w:rsidR="00BE6F30" w:rsidRPr="00B2082D" w14:paraId="7DC10D75"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 61.3%；有效性爭點 29.0%</w:t>
            </w:r>
            <w:r w:rsidRPr="00B2082D">
              <w:rPr>
                <w:rFonts w:cs="Times New Roman"/>
                <w:kern w:val="0"/>
                <w:sz w:val="22"/>
                <w:szCs w:val="22"/>
                <w14:ligatures w14:val="none"/>
              </w:rPr>
              <w:t/>
            </w:r>
            <w:r w:rsidRPr="00B2082D">
              <w:rPr>
                <w:rFonts w:cs="Times New Roman"/>
                <w:kern w:val="0"/>
                <w:sz w:val="22"/>
                <w:szCs w:val="22"/>
                <w14:ligatures w14:val="none"/>
              </w:rPr>
              <w:t/>
            </w:r>
            <w:r w:rsidRPr="00B2082D">
              <w:rPr>
                <w:rFonts w:cs="Times New Roman"/>
                <w:kern w:val="0"/>
                <w:sz w:val="22"/>
                <w:szCs w:val="22"/>
                <w14:ligatures w14:val="none"/>
              </w:rPr>
              <w:t/>
            </w:r>
          </w:p>
        </w:tc>
      </w:tr>
      <w:tr w:rsidR="00BE6F30" w:rsidRPr="00B2082D" w14:paraId="20A94709"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 363 件，占全部錯誤比例係以各錯誤分類數除以 363 計算。主要文本特徵觀察欄中之百分比，係以各錯誤分類型態之樣本數為分母計算。混合訊號係指「部分」、「其餘」、「連帶」、「追加」、「減縮」、「各」等可能反映多請求、多爭點或結果不完全一致之語彙。本表為錯誤樣本文本特徵之描述性整理。</w:t>
      </w:r>
      <w:r w:rsidRPr="00BE6F30">
        <w:rPr>
          <w:rFonts w:cs="Times New Roman" w:hint="eastAsia"/>
        </w:rPr>
        <w:t/>
      </w:r>
      <w:r w:rsidRPr="00BE6F30">
        <w:rPr>
          <w:rFonts w:cs="Times New Roman" w:hint="eastAsia"/>
        </w:rPr>
        <w:t/>
      </w:r>
      <w:r w:rsidRPr="00BE6F30">
        <w:rPr>
          <w:rFonts w:cs="Times New Roman" w:hint="eastAsia"/>
        </w:rPr>
        <w:t/>
      </w:r>
      <w:r w:rsidRPr="00BE6F30">
        <w:rPr>
          <w:rFonts w:cs="Times New Roman" w:hint="eastAsia"/>
        </w:rPr>
        <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不同裁判結果之間可能共享相似法律詞彙。本研究已移除「駁回」、「有理由」、「准</w:t>
      </w:r>
      <w:r w:rsidRPr="00706F03">
        <w:rPr>
          <w:rFonts w:cs="Times New Roman"/>
        </w:rPr>
        <w:lastRenderedPageBreak/>
        <w:t>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049BBFB3"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判結果。較精確地說，模型在主要類別上具有一定分類能力，但對少數類別仍存在明顯限制。未來若要提升模型對少數裁判結果的辨識能力，可從三個方向著手。第一，可加入類別權重</w:t>
      </w:r>
      <w:r w:rsidRPr="00706F03">
        <w:rPr>
          <w:rFonts w:cs="Times New Roman"/>
        </w:rPr>
        <w:lastRenderedPageBreak/>
        <w:t>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4.8 </w:t>
      </w:r>
      <w:r w:rsidRPr="00706F03">
        <w:rPr>
          <w:rFonts w:ascii="Times New Roman" w:eastAsia="標楷體" w:hAnsi="Times New Roman" w:cs="Times New Roman"/>
          <w:color w:val="auto"/>
          <w:szCs w:val="28"/>
        </w:rPr>
        <w:t>小結</w:t>
      </w:r>
    </w:p>
    <w:p w14:paraId="32285D5D"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可形成一套可執行的智慧財產權判決文本分類流程；然而，在本研究資料與超參數設定下，</w:t>
      </w:r>
      <w:r w:rsidR="001E5412" w:rsidRPr="00706F03">
        <w:rPr>
          <w:rFonts w:cs="Times New Roman"/>
        </w:rPr>
        <w:t>Chi-square + MNIR + SVM</w:t>
      </w:r>
      <w:r w:rsidRPr="00706F03">
        <w:rPr>
          <w:rFonts w:cs="Times New Roman"/>
        </w:rPr>
        <w:t xml:space="preserve"> </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未帶來</w:t>
      </w:r>
      <w:r w:rsidRPr="00706F03">
        <w:rPr>
          <w:rFonts w:cs="Times New Roman"/>
        </w:rPr>
        <w:t>額外增益。</w:t>
      </w:r>
    </w:p>
    <w:p w14:paraId="51928CDB" w14:textId="77777777" w:rsidR="00641412" w:rsidRPr="00706F03" w:rsidRDefault="00E42D4B" w:rsidP="00CC5F60">
      <w:pPr>
        <w:spacing w:line="276" w:lineRule="auto"/>
        <w:ind w:firstLine="480"/>
        <w:rPr>
          <w:rFonts w:cs="Times New Roman"/>
        </w:rPr>
      </w:pPr>
      <w:proofErr w:type="spellStart"/>
      <w:r w:rsidRPr="00706F03">
        <w:rPr>
          <w:rFonts w:cs="Times New Roman"/>
        </w:rPr>
        <w:t>Aletras</w:t>
      </w:r>
      <w:proofErr w:type="spellEnd"/>
      <w:r w:rsidRPr="00706F03">
        <w:rPr>
          <w:rFonts w:cs="Times New Roman"/>
        </w:rPr>
        <w:t xml:space="preserve">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w:t>
      </w:r>
      <w:proofErr w:type="spellStart"/>
      <w:r w:rsidRPr="00706F03">
        <w:rPr>
          <w:rFonts w:cs="Times New Roman"/>
        </w:rPr>
        <w:t>Surdeanu</w:t>
      </w:r>
      <w:proofErr w:type="spellEnd"/>
      <w:r w:rsidRPr="00706F03">
        <w:rPr>
          <w:rFonts w:cs="Times New Roman"/>
        </w:rPr>
        <w:t xml:space="preserve">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proofErr w:type="spellStart"/>
      <w:r w:rsidR="00461938" w:rsidRPr="00706F03">
        <w:rPr>
          <w:rFonts w:cs="Times New Roman"/>
        </w:rPr>
        <w:t>BoW</w:t>
      </w:r>
      <w:proofErr w:type="spellEnd"/>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w:t>
      </w:r>
      <w:proofErr w:type="spellStart"/>
      <w:r w:rsidR="00461938" w:rsidRPr="00706F03">
        <w:rPr>
          <w:rFonts w:cs="Times New Roman"/>
        </w:rPr>
        <w:t>BoW</w:t>
      </w:r>
      <w:proofErr w:type="spellEnd"/>
      <w:r w:rsidR="00461938" w:rsidRPr="00706F03">
        <w:rPr>
          <w:rFonts w:cs="Times New Roman"/>
        </w:rPr>
        <w:t xml:space="preserve">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研究所呈現之模型差異應理解為本次實驗設定下的結果。整體而言，本研究模型可被理解為在主要類別上具有一定分類能力，</w:t>
      </w:r>
      <w:r w:rsidRPr="00706F03">
        <w:rPr>
          <w:rFonts w:cs="Times New Roman"/>
        </w:rPr>
        <w:lastRenderedPageBreak/>
        <w:t>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1"/>
        <w:pageBreakBefore/>
        <w:widowControl/>
        <w:spacing w:after="120" w:line="276" w:lineRule="auto"/>
        <w:ind w:firstLine="480"/>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第五章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結論與建議</w:t>
      </w:r>
    </w:p>
    <w:p w14:paraId="579B9BFC"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5.1 </w:t>
      </w:r>
      <w:r w:rsidRPr="00706F03">
        <w:rPr>
          <w:rFonts w:ascii="Times New Roman" w:eastAsia="標楷體"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敗訴、部分勝訴與勝訴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雖可形成一套可執行的分類流程，但相較於</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007019C8" w:rsidRPr="00706F03">
        <w:rPr>
          <w:rFonts w:cs="Times New Roman" w:hint="eastAsia"/>
          <w:szCs w:val="28"/>
        </w:rPr>
        <w:t>未</w:t>
      </w:r>
      <w:r w:rsidRPr="00706F03">
        <w:rPr>
          <w:rFonts w:cs="Times New Roman"/>
          <w:szCs w:val="28"/>
        </w:rPr>
        <w:t>取得更佳表現。四類案件資料集中，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，顯示卡方特徵選擇後的稀疏文字特徵已保留相當程度與裁判結果相關的分類訊息。因此，本研究並不將此結果解讀為</w:t>
      </w:r>
      <w:r w:rsidRPr="00706F03">
        <w:rPr>
          <w:rFonts w:cs="Times New Roman"/>
          <w:szCs w:val="28"/>
        </w:rPr>
        <w:t xml:space="preserve"> MNIR </w:t>
      </w:r>
      <w:r w:rsidRPr="00706F03">
        <w:rPr>
          <w:rFonts w:cs="Times New Roman"/>
          <w:szCs w:val="28"/>
        </w:rPr>
        <w:t>方法本身無效，而是指出在本研究任務中，直接使用篩選後之高維稀疏詞彙特徵，反而較能保留分類所需訊息。其次，不同文字特徵表示在不同案件類型下呈現不同效果。</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w:t>
      </w:r>
      <w:r w:rsidRPr="00706F03">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5.2 </w:t>
      </w:r>
      <w:r w:rsidRPr="00706F03">
        <w:rPr>
          <w:rFonts w:ascii="Times New Roman" w:eastAsia="標楷體"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77777777"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。此結果表示，在本研究資料、標籤設定與超參數範圍下，</w:t>
      </w:r>
      <w:r w:rsidRPr="00706F03">
        <w:rPr>
          <w:rFonts w:cs="Times New Roman"/>
          <w:szCs w:val="28"/>
        </w:rPr>
        <w:t xml:space="preserve">MNIR </w:t>
      </w:r>
      <w:r w:rsidRPr="00706F03">
        <w:rPr>
          <w:rFonts w:cs="Times New Roman"/>
          <w:szCs w:val="28"/>
        </w:rPr>
        <w:t>的降維優勢並未轉化為較佳分類效果。相對地，卡方篩選後的高維稀疏詞彙特徵仍具有重要分類價值。因此，本研究對</w:t>
      </w:r>
      <w:r w:rsidRPr="00706F03">
        <w:rPr>
          <w:rFonts w:cs="Times New Roman"/>
          <w:szCs w:val="28"/>
        </w:rPr>
        <w:t xml:space="preserve"> MNIR </w:t>
      </w:r>
      <w:r w:rsidRPr="00706F03">
        <w:rPr>
          <w:rFonts w:cs="Times New Roman"/>
          <w:szCs w:val="28"/>
        </w:rPr>
        <w:t>在中文智慧財產權判決文本分類中的適用條件與限制，提供了具體經驗證據。</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619191BF"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AA3E711"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一步使用</w:t>
      </w:r>
      <w:r w:rsidRPr="00706F03">
        <w:rPr>
          <w:rFonts w:cs="Times New Roman"/>
          <w:szCs w:val="28"/>
        </w:rPr>
        <w:t xml:space="preserve"> Macro F1</w:t>
      </w:r>
      <w:r w:rsidRPr="00706F03">
        <w:rPr>
          <w:rFonts w:cs="Times New Roman"/>
          <w:szCs w:val="28"/>
        </w:rPr>
        <w:t>、分類報告與混淆矩陣，檢視模型在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三類結果上的</w:t>
      </w:r>
      <w:r w:rsidRPr="00706F03">
        <w:rPr>
          <w:rFonts w:cs="Times New Roman"/>
          <w:szCs w:val="28"/>
        </w:rPr>
        <w:lastRenderedPageBreak/>
        <w:t>辨識能力。此一評估方式有助於揭露少數類別的分類限制，避免模型因主要預測多數類別而被高估。</w:t>
      </w:r>
    </w:p>
    <w:p w14:paraId="51B0CDD6" w14:textId="77777777" w:rsidR="002E2F39" w:rsidRPr="00706F03" w:rsidRDefault="00704996" w:rsidP="002E2F39">
      <w:pPr>
        <w:widowControl/>
        <w:spacing w:line="276" w:lineRule="auto"/>
        <w:rPr>
          <w:rFonts w:cs="Times New Roman"/>
          <w:szCs w:val="28"/>
        </w:rPr>
      </w:pPr>
      <w:r w:rsidRPr="00706F03">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04B0F098" w14:textId="77777777" w:rsidR="00704996" w:rsidRPr="00706F03" w:rsidRDefault="00704996" w:rsidP="007B138D">
      <w:pPr>
        <w:widowControl/>
        <w:spacing w:line="276" w:lineRule="auto"/>
        <w:rPr>
          <w:rFonts w:cs="Times New Roman"/>
          <w:szCs w:val="28"/>
        </w:rPr>
      </w:pPr>
      <w:r w:rsidRPr="00706F03">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大量判決文本初步分類、研究樣本整理與法律科技系統開發之輔助基礎，而不宜直接作為個案勝敗預測或法律意見之依據。</w:t>
      </w:r>
    </w:p>
    <w:p w14:paraId="130A9FD5" w14:textId="77777777"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綜合而言，本研究的貢獻不僅在於建立智慧財產權判決結果分類模型，更在於三個面向。理論上，本研究說明不同文字特徵表示與</w:t>
      </w:r>
      <w:r w:rsidRPr="00706F03">
        <w:rPr>
          <w:rFonts w:cs="Times New Roman"/>
          <w:szCs w:val="28"/>
        </w:rPr>
        <w:t xml:space="preserve"> MNIR </w:t>
      </w:r>
      <w:r w:rsidRPr="00706F03">
        <w:rPr>
          <w:rFonts w:cs="Times New Roman"/>
          <w:szCs w:val="28"/>
        </w:rPr>
        <w:t>監督式特徵轉換在法律文本分類中的適用差異。方法上，本研究建立可重複比較的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5.3 </w:t>
      </w:r>
      <w:r w:rsidRPr="00706F03">
        <w:rPr>
          <w:rFonts w:ascii="Times New Roman" w:eastAsia="標楷體"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77777777" w:rsidR="00053F92" w:rsidRPr="00706F03" w:rsidRDefault="00872992" w:rsidP="0066788F">
      <w:pPr>
        <w:widowControl/>
        <w:spacing w:line="276" w:lineRule="auto"/>
        <w:rPr>
          <w:rFonts w:cs="Times New Roman"/>
          <w:szCs w:val="28"/>
        </w:rPr>
      </w:pPr>
      <w:r w:rsidRPr="00872992">
        <w:rPr>
          <w:rFonts w:cs="Times New Roman" w:hint="eastAsia"/>
          <w:szCs w:val="28"/>
        </w:rPr>
        <w:t>第一，本研究仍無法完全排除資料洩漏風險。首先，本研究雖已移除「駁回」、「有理由」、「准許」、「撤銷」等明顯裁判結果詞彙，以降低模型直接依賴結果詞彙進行分類的疑慮，但法律文本中仍可能保留間接反映裁判結果的線索，例如語境、請求類型、程序狀態或裁判理由結構。其次，本研究於資料集劃分前建立</w:t>
      </w:r>
      <w:r>
        <w:rPr>
          <w:rFonts w:cs="Times New Roman"/>
          <w:szCs w:val="28"/>
        </w:rPr>
        <w:t xml:space="preserve"> DTM</w:t>
      </w:r>
      <w:r w:rsidRPr="00872992">
        <w:rPr>
          <w:rFonts w:cs="Times New Roman" w:hint="eastAsia"/>
          <w:szCs w:val="28"/>
        </w:rPr>
        <w:t>，其中</w:t>
      </w:r>
      <w:r w:rsidRPr="00872992">
        <w:rPr>
          <w:rFonts w:cs="Times New Roman" w:hint="eastAsia"/>
          <w:szCs w:val="28"/>
        </w:rPr>
        <w:t>TF-IDF</w:t>
      </w:r>
      <w:r w:rsidRPr="00872992">
        <w:rPr>
          <w:rFonts w:cs="Times New Roman" w:hint="eastAsia"/>
          <w:szCs w:val="28"/>
        </w:rPr>
        <w:t>之</w:t>
      </w:r>
      <w:r w:rsidRPr="00872992">
        <w:rPr>
          <w:rFonts w:cs="Times New Roman" w:hint="eastAsia"/>
          <w:szCs w:val="28"/>
        </w:rPr>
        <w:t>IDF</w:t>
      </w:r>
      <w:r w:rsidRPr="00872992">
        <w:rPr>
          <w:rFonts w:cs="Times New Roman" w:hint="eastAsia"/>
          <w:szCs w:val="28"/>
        </w:rPr>
        <w:t>權重係依全部文件之</w:t>
      </w:r>
      <w:r w:rsidRPr="00872992">
        <w:rPr>
          <w:rFonts w:cs="Times New Roman" w:hint="eastAsia"/>
          <w:szCs w:val="28"/>
        </w:rPr>
        <w:lastRenderedPageBreak/>
        <w:t>文件頻率計算，因此可能包含驗證集與測試集之詞彙分布資訊。雖然後續卡方特徵選擇、</w:t>
      </w:r>
      <w:r w:rsidRPr="00872992">
        <w:rPr>
          <w:rFonts w:cs="Times New Roman" w:hint="eastAsia"/>
          <w:szCs w:val="28"/>
        </w:rPr>
        <w:t>MNIR</w:t>
      </w:r>
      <w:r w:rsidRPr="00872992">
        <w:rPr>
          <w:rFonts w:cs="Times New Roman" w:hint="eastAsia"/>
          <w:szCs w:val="28"/>
        </w:rPr>
        <w:t>估計、</w:t>
      </w:r>
      <w:r w:rsidRPr="00872992">
        <w:rPr>
          <w:rFonts w:cs="Times New Roman" w:hint="eastAsia"/>
          <w:szCs w:val="28"/>
        </w:rPr>
        <w:t>SVM</w:t>
      </w:r>
      <w:r w:rsidRPr="00872992">
        <w:rPr>
          <w:rFonts w:cs="Times New Roman" w:hint="eastAsia"/>
          <w:szCs w:val="28"/>
        </w:rPr>
        <w:t>訓練及超參數選擇皆未使用測試集進行估計或調整，</w:t>
      </w:r>
      <w:r w:rsidRPr="00872992">
        <w:rPr>
          <w:rFonts w:cs="Times New Roman" w:hint="eastAsia"/>
          <w:szCs w:val="28"/>
        </w:rPr>
        <w:t>TF-IDF</w:t>
      </w:r>
      <w:r w:rsidRPr="00872992">
        <w:rPr>
          <w:rFonts w:cs="Times New Roman" w:hint="eastAsia"/>
          <w:szCs w:val="28"/>
        </w:rPr>
        <w:t>特徵建構階段仍可能存在非監督式資料洩漏風險。未來研究宜先完成資料集劃分，再僅以訓練集估計</w:t>
      </w:r>
      <w:r w:rsidRPr="00872992">
        <w:rPr>
          <w:rFonts w:cs="Times New Roman" w:hint="eastAsia"/>
          <w:szCs w:val="28"/>
        </w:rPr>
        <w:t>IDF</w:t>
      </w:r>
      <w:r w:rsidRPr="00872992">
        <w:rPr>
          <w:rFonts w:cs="Times New Roman" w:hint="eastAsia"/>
          <w:szCs w:val="28"/>
        </w:rPr>
        <w:t>權重，並將相同轉換規則套用至驗證集與測試集，以降低資料洩漏風險。</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w:t>
      </w:r>
      <w:r w:rsidRPr="00751733">
        <w:rPr>
          <w:rFonts w:cs="Times New Roman" w:hint="eastAsia"/>
          <w:szCs w:val="28"/>
        </w:rPr>
        <w:t>SMOTE</w:t>
      </w:r>
      <w:r w:rsidRPr="00751733">
        <w:rPr>
          <w:rFonts w:cs="Times New Roman" w:hint="eastAsia"/>
          <w:szCs w:val="28"/>
        </w:rPr>
        <w:t>或其他成本敏感式學習方法，以檢驗類別不平衡調整後是否能提升少數類別之分類表現。</w:t>
      </w:r>
    </w:p>
    <w:p w14:paraId="08A6CE5D" w14:textId="77777777" w:rsidR="00053F92" w:rsidRPr="00706F03" w:rsidRDefault="00053F92" w:rsidP="0066788F">
      <w:pPr>
        <w:widowControl/>
        <w:spacing w:line="276" w:lineRule="auto"/>
        <w:rPr>
          <w:rFonts w:cs="Times New Roman"/>
          <w:szCs w:val="28"/>
        </w:rPr>
      </w:pPr>
      <w:r w:rsidRPr="00706F03">
        <w:rPr>
          <w:rFonts w:cs="Times New Roman"/>
          <w:szCs w:val="28"/>
        </w:rPr>
        <w:t>第三，裁判結果標籤可能存在邊界模糊</w:t>
      </w:r>
      <w:r w:rsidR="00433214" w:rsidRPr="00433214">
        <w:rPr>
          <w:rFonts w:cs="Times New Roman" w:hint="eastAsia"/>
          <w:szCs w:val="28"/>
        </w:rPr>
        <w:t>與類別內部異質性</w:t>
      </w:r>
      <w:r w:rsidRPr="00706F03">
        <w:rPr>
          <w:rFonts w:cs="Times New Roman"/>
          <w:szCs w:val="28"/>
        </w:rPr>
        <w:t>。本研究將裁判結果整理為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三類。然而，</w:t>
      </w:r>
      <w:r w:rsidRPr="00706F03">
        <w:rPr>
          <w:rFonts w:cs="Times New Roman"/>
          <w:szCs w:val="28"/>
        </w:rPr>
        <w:t xml:space="preserve">Mixed </w:t>
      </w:r>
      <w:r w:rsidRPr="00706F03">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06F03">
        <w:rPr>
          <w:rFonts w:cs="Times New Roman"/>
          <w:szCs w:val="28"/>
        </w:rPr>
        <w:t xml:space="preserve"> Mixed</w:t>
      </w:r>
      <w:r w:rsidRPr="00706F03">
        <w:rPr>
          <w:rFonts w:cs="Times New Roman"/>
          <w:szCs w:val="28"/>
        </w:rPr>
        <w:t>，但其法律意義與文本特徵未必一致。因此，模型對</w:t>
      </w:r>
      <w:r w:rsidRPr="00706F03">
        <w:rPr>
          <w:rFonts w:cs="Times New Roman"/>
          <w:szCs w:val="28"/>
        </w:rPr>
        <w:t xml:space="preserve"> Mixed </w:t>
      </w:r>
      <w:r w:rsidRPr="00706F03">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w:t>
      </w:r>
      <w:r w:rsidRPr="00383AAC">
        <w:rPr>
          <w:rFonts w:cs="Times New Roman"/>
          <w:szCs w:val="28"/>
        </w:rPr>
        <w:t>Chi-square + SVM</w:t>
      </w:r>
      <w:r w:rsidRPr="00383AAC">
        <w:rPr>
          <w:rFonts w:cs="Times New Roman"/>
          <w:szCs w:val="28"/>
        </w:rPr>
        <w:t>與</w:t>
      </w:r>
      <w:r w:rsidRPr="00383AAC">
        <w:rPr>
          <w:rFonts w:cs="Times New Roman"/>
          <w:szCs w:val="28"/>
        </w:rPr>
        <w:t>Chi-square + MNIR + SVM</w:t>
      </w:r>
      <w:r w:rsidRPr="00383AAC">
        <w:rPr>
          <w:rFonts w:cs="Times New Roman"/>
          <w:szCs w:val="28"/>
        </w:rPr>
        <w:t>之表現差異，但該分析未涵蓋不同資料切分與重新訓練模型所產生的變異。因此，本研究結果仍可能受到特定樣本切分影響。後續研究可進一步採用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研究結果較適合解讀為「判決文本分類」效果，而不宜直接解讀為模</w:t>
      </w:r>
      <w:r w:rsidRPr="00706F03">
        <w:rPr>
          <w:rFonts w:cs="Times New Roman"/>
          <w:szCs w:val="28"/>
        </w:rPr>
        <w:lastRenderedPageBreak/>
        <w:t>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proofErr w:type="spellStart"/>
      <w:r w:rsidRPr="00433214">
        <w:rPr>
          <w:rFonts w:cs="Times New Roman" w:hint="eastAsia"/>
          <w:szCs w:val="28"/>
        </w:rPr>
        <w:t>BoW</w:t>
      </w:r>
      <w:proofErr w:type="spellEnd"/>
      <w:r w:rsidRPr="00433214">
        <w:rPr>
          <w:rFonts w:cs="Times New Roman" w:hint="eastAsia"/>
          <w:szCs w:val="28"/>
        </w:rPr>
        <w:t>、</w:t>
      </w:r>
      <w:r w:rsidRPr="00433214">
        <w:rPr>
          <w:rFonts w:cs="Times New Roman" w:hint="eastAsia"/>
          <w:szCs w:val="28"/>
        </w:rPr>
        <w:t>TF</w:t>
      </w:r>
      <w:r w:rsidRPr="00433214">
        <w:rPr>
          <w:rFonts w:cs="Times New Roman" w:hint="eastAsia"/>
          <w:szCs w:val="28"/>
        </w:rPr>
        <w:t>與</w:t>
      </w:r>
      <w:r w:rsidRPr="00433214">
        <w:rPr>
          <w:rFonts w:cs="Times New Roman" w:hint="eastAsia"/>
          <w:szCs w:val="28"/>
        </w:rPr>
        <w:t>TF-IDF</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w:t>
      </w:r>
      <w:r w:rsidR="001E5412" w:rsidRPr="00706F03">
        <w:rPr>
          <w:rFonts w:cs="Times New Roman"/>
          <w:szCs w:val="28"/>
        </w:rPr>
        <w:t>Chi-square + MNIR + SVM</w:t>
      </w:r>
      <w:r w:rsidRPr="00706F03">
        <w:rPr>
          <w:rFonts w:cs="Times New Roman"/>
          <w:szCs w:val="28"/>
        </w:rPr>
        <w:t xml:space="preserve"> </w:t>
      </w:r>
      <w:r w:rsidR="001E5412" w:rsidRPr="00706F03">
        <w:rPr>
          <w:rFonts w:cs="Times New Roman"/>
          <w:szCs w:val="28"/>
        </w:rPr>
        <w:t>相較於</w:t>
      </w:r>
      <w:r w:rsidR="001E5412" w:rsidRPr="00706F03">
        <w:rPr>
          <w:rFonts w:cs="Times New Roman"/>
          <w:szCs w:val="28"/>
        </w:rPr>
        <w:t xml:space="preserve"> Chi-square + SVM </w:t>
      </w:r>
      <w:r w:rsidR="001E5412" w:rsidRPr="00706F03">
        <w:rPr>
          <w:rFonts w:cs="Times New Roman"/>
          <w:szCs w:val="28"/>
        </w:rPr>
        <w:t>未取得</w:t>
      </w:r>
      <w:r w:rsidRPr="00706F03">
        <w:rPr>
          <w:rFonts w:cs="Times New Roman"/>
          <w:szCs w:val="28"/>
        </w:rPr>
        <w:t>較佳表現。然而，此結果應限縮於本研究資料、標籤設定、文本處理方式與超參數範圍之下。本研究不能據此推論</w:t>
      </w:r>
      <w:r w:rsidRPr="00706F03">
        <w:rPr>
          <w:rFonts w:cs="Times New Roman"/>
          <w:szCs w:val="28"/>
        </w:rPr>
        <w:t xml:space="preserve"> MNIR </w:t>
      </w:r>
      <w:r w:rsidRPr="00706F03">
        <w:rPr>
          <w:rFonts w:cs="Times New Roman"/>
          <w:szCs w:val="28"/>
        </w:rPr>
        <w:t>在所有法律文本分類任務中皆不具效果。若後續研究採用不同案件類型、不同標籤設計、不同特徵數設定、重複交叉驗證或其他下游分類器，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MNIR</w:t>
      </w:r>
      <w:r w:rsidR="00433214" w:rsidRPr="00433214">
        <w:rPr>
          <w:rFonts w:cs="Times New Roman" w:hint="eastAsia"/>
          <w:szCs w:val="28"/>
        </w:rPr>
        <w:t>將卡方篩選後之</w:t>
      </w:r>
      <w:r w:rsidR="00433214" w:rsidRPr="00433214">
        <w:rPr>
          <w:rFonts w:cs="Times New Roman" w:hint="eastAsia"/>
          <w:szCs w:val="28"/>
        </w:rPr>
        <w:t>1,000</w:t>
      </w:r>
      <w:r w:rsidR="00433214" w:rsidRPr="00433214">
        <w:rPr>
          <w:rFonts w:cs="Times New Roman" w:hint="eastAsia"/>
          <w:szCs w:val="28"/>
        </w:rPr>
        <w:t>或</w:t>
      </w:r>
      <w:r w:rsidR="00433214" w:rsidRPr="00433214">
        <w:rPr>
          <w:rFonts w:cs="Times New Roman" w:hint="eastAsia"/>
          <w:szCs w:val="28"/>
        </w:rPr>
        <w:t>5,000</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w:t>
      </w:r>
      <w:r w:rsidRPr="00C10485">
        <w:rPr>
          <w:rFonts w:cs="Times New Roman" w:hint="eastAsia"/>
          <w:szCs w:val="28"/>
        </w:rPr>
        <w:t>Chi-square + MNIR + SVM</w:t>
      </w:r>
      <w:r w:rsidRPr="00C10485">
        <w:rPr>
          <w:rFonts w:cs="Times New Roman" w:hint="eastAsia"/>
          <w:szCs w:val="28"/>
        </w:rPr>
        <w:t>與</w:t>
      </w:r>
      <w:r w:rsidRPr="00C10485">
        <w:rPr>
          <w:rFonts w:cs="Times New Roman" w:hint="eastAsia"/>
          <w:szCs w:val="28"/>
        </w:rPr>
        <w:t>Chi-square + SVM</w:t>
      </w:r>
      <w:r w:rsidRPr="00C10485">
        <w:rPr>
          <w:rFonts w:cs="Times New Roman" w:hint="eastAsia"/>
          <w:szCs w:val="28"/>
        </w:rPr>
        <w:t>兩種模型流程，並以</w:t>
      </w:r>
      <w:proofErr w:type="spellStart"/>
      <w:r w:rsidRPr="00C10485">
        <w:rPr>
          <w:rFonts w:cs="Times New Roman" w:hint="eastAsia"/>
          <w:szCs w:val="28"/>
        </w:rPr>
        <w:t>BoW</w:t>
      </w:r>
      <w:proofErr w:type="spellEnd"/>
      <w:r w:rsidRPr="00C10485">
        <w:rPr>
          <w:rFonts w:cs="Times New Roman" w:hint="eastAsia"/>
          <w:szCs w:val="28"/>
        </w:rPr>
        <w:t>、</w:t>
      </w:r>
      <w:r w:rsidRPr="00C10485">
        <w:rPr>
          <w:rFonts w:cs="Times New Roman" w:hint="eastAsia"/>
          <w:szCs w:val="28"/>
        </w:rPr>
        <w:t>TF</w:t>
      </w:r>
      <w:r w:rsidRPr="00C10485">
        <w:rPr>
          <w:rFonts w:cs="Times New Roman" w:hint="eastAsia"/>
          <w:szCs w:val="28"/>
        </w:rPr>
        <w:t>與</w:t>
      </w:r>
      <w:r w:rsidRPr="00C10485">
        <w:rPr>
          <w:rFonts w:cs="Times New Roman" w:hint="eastAsia"/>
          <w:szCs w:val="28"/>
        </w:rPr>
        <w:t>TF-IDF</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Chi-square + SVM</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制表示，本研究結果不宜直接推論至所有智慧財產權紛爭，而應限縮於公開裁判書中具備明確裁判結果之案件。</w:t>
      </w:r>
    </w:p>
    <w:p w14:paraId="752A4595"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5.4 </w:t>
      </w:r>
      <w:r w:rsidR="00267900" w:rsidRPr="00706F03">
        <w:rPr>
          <w:rFonts w:ascii="Times New Roman" w:eastAsia="標楷體"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706F03">
        <w:rPr>
          <w:rFonts w:cs="Times New Roman"/>
          <w:szCs w:val="28"/>
        </w:rPr>
        <w:t>Chi-</w:t>
      </w:r>
      <w:r w:rsidRPr="00706F03">
        <w:rPr>
          <w:rFonts w:cs="Times New Roman"/>
          <w:szCs w:val="28"/>
        </w:rPr>
        <w:lastRenderedPageBreak/>
        <w:t xml:space="preserve">square + MNIR + SVM </w:t>
      </w:r>
      <w:r w:rsidRPr="00706F03">
        <w:rPr>
          <w:rFonts w:cs="Times New Roman"/>
          <w:szCs w:val="28"/>
        </w:rPr>
        <w:t>流程相較於</w:t>
      </w:r>
      <w:r w:rsidRPr="00706F03">
        <w:rPr>
          <w:rFonts w:cs="Times New Roman"/>
          <w:szCs w:val="28"/>
        </w:rPr>
        <w:t xml:space="preserve"> Chi-square + SVM </w:t>
      </w:r>
      <w:r w:rsidRPr="00706F03">
        <w:rPr>
          <w:rFonts w:cs="Times New Roman"/>
          <w:szCs w:val="28"/>
        </w:rPr>
        <w:t>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。此結果顯示，在本研究資料、標籤設定與超參數範圍下，</w:t>
      </w:r>
      <w:r w:rsidRPr="00706F03">
        <w:rPr>
          <w:rFonts w:cs="Times New Roman"/>
          <w:szCs w:val="28"/>
        </w:rPr>
        <w:t xml:space="preserve">MNIR </w:t>
      </w:r>
      <w:r w:rsidRPr="00706F03">
        <w:rPr>
          <w:rFonts w:cs="Times New Roman"/>
          <w:szCs w:val="28"/>
        </w:rPr>
        <w:t>監督式特徵轉換相較於直接使用卡方篩選後之稀疏文字特徵</w:t>
      </w:r>
      <w:r w:rsidR="007019C8" w:rsidRPr="00706F03">
        <w:rPr>
          <w:rFonts w:cs="Times New Roman" w:hint="eastAsia"/>
          <w:szCs w:val="28"/>
        </w:rPr>
        <w:t>並未</w:t>
      </w:r>
      <w:r w:rsidRPr="00706F03">
        <w:rPr>
          <w:rFonts w:cs="Times New Roman"/>
          <w:szCs w:val="28"/>
        </w:rPr>
        <w:t>取得更佳表現。然而，此結果不應被解讀為</w:t>
      </w:r>
      <w:r w:rsidRPr="00706F03">
        <w:rPr>
          <w:rFonts w:cs="Times New Roman"/>
          <w:szCs w:val="28"/>
        </w:rPr>
        <w:t xml:space="preserve"> MNIR </w:t>
      </w:r>
      <w:r w:rsidRPr="00706F03">
        <w:rPr>
          <w:rFonts w:cs="Times New Roman"/>
          <w:szCs w:val="28"/>
        </w:rPr>
        <w:t>方法本身無效，而應限縮理解為：在本研究已先透過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af3"/>
        <w:jc w:val="center"/>
        <w:tblW w:w="5076"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，行政案件中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vAlign w:val="center"/>
            <w:hideMark/>
          </w:tcPr>
          <w:p w14:paraId="1210609F"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，刑事附帶民事案件中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lastRenderedPageBreak/>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5.5 </w:t>
      </w:r>
      <w:r w:rsidRPr="00706F03">
        <w:rPr>
          <w:rFonts w:ascii="Times New Roman" w:eastAsia="標楷體" w:hAnsi="Times New Roman" w:cs="Times New Roman"/>
          <w:color w:val="auto"/>
          <w:szCs w:val="28"/>
        </w:rPr>
        <w:t>總結</w:t>
      </w:r>
    </w:p>
    <w:p w14:paraId="7FD87FDC" w14:textId="5FDD2FF0"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分類模型之比較，本研究發現，在本研究資料與設定下，</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具有較佳分類表現，顯示卡方篩選後之稀疏文字特徵已能保留相當程度的裁判結果分類訊息。因此，傳統文字特徵結合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可作為智慧財產權判決文本分類任務中具參考價值的基準流程。然而，本研究亦顯示，模型表現不應僅以整體準確率判斷。由於裁判結果存在</w:t>
      </w:r>
      <w:r w:rsidRPr="00706F03">
        <w:rPr>
          <w:rFonts w:cs="Times New Roman"/>
          <w:szCs w:val="28"/>
        </w:rPr>
        <w:lastRenderedPageBreak/>
        <w:t>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 w:val="28"/>
        </w:rPr>
        <w:lastRenderedPageBreak/>
        <w:t>參考文獻</w:t>
      </w:r>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18" w:history="1">
        <w:r w:rsidR="00461938" w:rsidRPr="00706F03">
          <w:rPr>
            <w:rStyle w:val="af0"/>
            <w:rFonts w:cs="Times New Roman"/>
            <w:color w:val="auto"/>
          </w:rPr>
          <w:t>https://law.moj.gov.tw/LawClass/LawAll.aspx?pcode=A0010090</w:t>
        </w:r>
      </w:hyperlink>
    </w:p>
    <w:p w14:paraId="7FC60BFD" w14:textId="77777777" w:rsidR="00FC1982" w:rsidRPr="00706F03" w:rsidRDefault="00FC1982"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2026</w:t>
      </w:r>
      <w:r w:rsidRPr="00706F03">
        <w:rPr>
          <w:rFonts w:cs="Times New Roman"/>
        </w:rPr>
        <w:t>，</w:t>
      </w:r>
      <w:r w:rsidRPr="00706F03">
        <w:rPr>
          <w:rFonts w:cs="Times New Roman"/>
        </w:rPr>
        <w:t>3</w:t>
      </w:r>
      <w:r w:rsidR="00141ACE" w:rsidRPr="00706F03">
        <w:rPr>
          <w:rFonts w:cs="Times New Roman"/>
        </w:rPr>
        <w:t xml:space="preserve"> </w:t>
      </w:r>
      <w:r w:rsidRPr="00706F03">
        <w:rPr>
          <w:rFonts w:cs="Times New Roman"/>
        </w:rPr>
        <w:t>月</w:t>
      </w:r>
      <w:r w:rsidRPr="00706F03">
        <w:rPr>
          <w:rFonts w:cs="Times New Roman"/>
        </w:rPr>
        <w:t>31</w:t>
      </w:r>
      <w:r w:rsidR="00141ACE" w:rsidRPr="00706F03">
        <w:rPr>
          <w:rFonts w:cs="Times New Roman"/>
        </w:rPr>
        <w:t xml:space="preserve"> </w:t>
      </w:r>
      <w:r w:rsidRPr="00706F03">
        <w:rPr>
          <w:rFonts w:cs="Times New Roman"/>
        </w:rPr>
        <w:t>日）。行政訴訟。</w:t>
      </w:r>
      <w:r w:rsidR="003F5CB6" w:rsidRPr="00706F03">
        <w:rPr>
          <w:rFonts w:cs="Times New Roman"/>
          <w:i/>
        </w:rPr>
        <w:t>司法院全球資訊網</w:t>
      </w:r>
      <w:r w:rsidRPr="00706F03">
        <w:rPr>
          <w:rFonts w:cs="Times New Roman"/>
        </w:rPr>
        <w:t>。</w:t>
      </w:r>
      <w:hyperlink r:id="rId19" w:history="1">
        <w:r w:rsidRPr="00706F03">
          <w:rPr>
            <w:rStyle w:val="af0"/>
            <w:rFonts w:cs="Times New Roman"/>
            <w:color w:val="auto"/>
          </w:rPr>
          <w:t>https://www.judicial.gov.tw/tw/np-85-1.html</w:t>
        </w:r>
      </w:hyperlink>
    </w:p>
    <w:p w14:paraId="6BC6DDC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009F05B0" w:rsidRPr="00706F03">
        <w:rPr>
          <w:rFonts w:cs="Times New Roman"/>
        </w:rPr>
        <w:t>2025</w:t>
      </w:r>
      <w:r w:rsidR="009F05B0"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）。民事訴訟須知。</w:t>
      </w:r>
      <w:r w:rsidR="003F5CB6" w:rsidRPr="00706F03">
        <w:rPr>
          <w:rFonts w:cs="Times New Roman"/>
          <w:i/>
        </w:rPr>
        <w:t>司法院全球資訊網</w:t>
      </w:r>
      <w:r w:rsidRPr="00706F03">
        <w:rPr>
          <w:rFonts w:cs="Times New Roman"/>
        </w:rPr>
        <w:t>。</w:t>
      </w:r>
      <w:hyperlink r:id="rId20" w:history="1">
        <w:r w:rsidRPr="00706F03">
          <w:rPr>
            <w:rStyle w:val="af0"/>
            <w:rFonts w:cs="Times New Roman"/>
            <w:color w:val="auto"/>
          </w:rPr>
          <w:t>https://www.judicial.gov.tw/tw/cp-165-27-430b8-1.html</w:t>
        </w:r>
      </w:hyperlink>
    </w:p>
    <w:p w14:paraId="4737C2B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）。刑事訴訟須知。</w:t>
      </w:r>
      <w:r w:rsidRPr="00706F03">
        <w:rPr>
          <w:rFonts w:cs="Times New Roman"/>
          <w:i/>
        </w:rPr>
        <w:t>司法院全球資訊網</w:t>
      </w:r>
      <w:r w:rsidRPr="00706F03">
        <w:rPr>
          <w:rFonts w:cs="Times New Roman"/>
        </w:rPr>
        <w:t>。</w:t>
      </w:r>
      <w:hyperlink r:id="rId21" w:history="1">
        <w:r w:rsidRPr="00706F03">
          <w:rPr>
            <w:rStyle w:val="af0"/>
            <w:rFonts w:cs="Times New Roman"/>
            <w:color w:val="auto"/>
          </w:rPr>
          <w:t>https://www.judicial.gov.tw/tw/cp-165-28-683b6-1.html</w:t>
        </w:r>
      </w:hyperlink>
    </w:p>
    <w:p w14:paraId="4136883A" w14:textId="77777777"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3F5CB6" w:rsidRPr="00706F03">
        <w:rPr>
          <w:rFonts w:cs="Times New Roman"/>
        </w:rPr>
        <w:t>9</w:t>
      </w:r>
      <w:r w:rsidR="00141ACE" w:rsidRPr="00706F03">
        <w:rPr>
          <w:rFonts w:cs="Times New Roman"/>
        </w:rPr>
        <w:t xml:space="preserve"> </w:t>
      </w:r>
      <w:r w:rsidR="003F5CB6" w:rsidRPr="00706F03">
        <w:rPr>
          <w:rFonts w:cs="Times New Roman"/>
        </w:rPr>
        <w:t>日</w:t>
      </w:r>
      <w:r w:rsidRPr="00706F03">
        <w:rPr>
          <w:rFonts w:cs="Times New Roman"/>
        </w:rPr>
        <w:t>）。刑事附帶民事訴訟起訴狀。</w:t>
      </w:r>
      <w:r w:rsidRPr="00706F03">
        <w:rPr>
          <w:rFonts w:cs="Times New Roman"/>
          <w:i/>
        </w:rPr>
        <w:t>司法院全球資訊網</w:t>
      </w:r>
      <w:r w:rsidRPr="00706F03">
        <w:rPr>
          <w:rFonts w:cs="Times New Roman"/>
        </w:rPr>
        <w:t>。</w:t>
      </w:r>
      <w:hyperlink r:id="rId22" w:history="1">
        <w:r w:rsidRPr="00706F03">
          <w:rPr>
            <w:rStyle w:val="af0"/>
            <w:rFonts w:cs="Times New Roman"/>
            <w:color w:val="auto"/>
          </w:rPr>
          <w:t>https://www.judicial.gov.tw/tw/cp-1370-4310-e5078-1.html</w:t>
        </w:r>
      </w:hyperlink>
    </w:p>
    <w:p w14:paraId="6415026B" w14:textId="77777777" w:rsidR="00F47BAC" w:rsidRDefault="00F47BAC" w:rsidP="0004071A">
      <w:pPr>
        <w:widowControl/>
        <w:spacing w:line="276" w:lineRule="auto"/>
        <w:ind w:left="720" w:hanging="720"/>
        <w:jc w:val="left"/>
        <w:rPr>
          <w:rFonts w:cs="Times New Roman"/>
        </w:rPr>
      </w:pPr>
      <w:r w:rsidRPr="00F47BAC">
        <w:rPr>
          <w:rFonts w:cs="Times New Roman" w:hint="eastAsia"/>
        </w:rPr>
        <w:t>闞鍾慧、王淑琳。（</w:t>
      </w:r>
      <w:r w:rsidRPr="00F47BAC">
        <w:rPr>
          <w:rFonts w:cs="Times New Roman" w:hint="eastAsia"/>
        </w:rPr>
        <w:t>2017</w:t>
      </w:r>
      <w:r w:rsidRPr="00F47BAC">
        <w:rPr>
          <w:rFonts w:cs="Times New Roman" w:hint="eastAsia"/>
        </w:rPr>
        <w:t>）。〈智慧財產法院成立</w:t>
      </w:r>
      <w:r w:rsidRPr="00F47BAC">
        <w:rPr>
          <w:rFonts w:cs="Times New Roman" w:hint="eastAsia"/>
        </w:rPr>
        <w:t>10</w:t>
      </w:r>
      <w:r w:rsidRPr="00F47BAC">
        <w:rPr>
          <w:rFonts w:cs="Times New Roman" w:hint="eastAsia"/>
        </w:rPr>
        <w:t>年以來受理各類案件審理績效指標及相關訴訟制度之審理實務操作狀況分析〉。智慧財產法院統計室。</w:t>
      </w:r>
      <w:r>
        <w:fldChar w:fldCharType="begin"/>
      </w:r>
      <w:r>
        <w:instrText>HYPERLINK "https://ipc.judicial.gov.tw/tw/dl-7697-7b307fa9f3c047a785d875250fc64544.html"</w:instrText>
      </w:r>
      <w:r>
        <w:fldChar w:fldCharType="separate"/>
      </w:r>
      <w:r w:rsidRPr="009602E7">
        <w:rPr>
          <w:rStyle w:val="af0"/>
          <w:rFonts w:cs="Times New Roman" w:hint="eastAsia"/>
        </w:rPr>
        <w:t>https://ipc.judicial.gov.tw/tw/dl-7697-7b307fa9f3c047a785d875250fc64544.html</w:t>
      </w:r>
      <w:r>
        <w:fldChar w:fldCharType="end"/>
      </w:r>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年專利審判實務之總體觀察及建議〉。《專利師》，</w:t>
      </w:r>
      <w:r w:rsidRPr="00F47BAC">
        <w:rPr>
          <w:rFonts w:cs="Times New Roman" w:hint="eastAsia"/>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r>
        <w:fldChar w:fldCharType="begin"/>
      </w:r>
      <w:r>
        <w:instrText>HYPERLINK "https://doi.org/10.3966/221845622017070030001"</w:instrText>
      </w:r>
      <w:r>
        <w:fldChar w:fldCharType="separate"/>
      </w:r>
      <w:r w:rsidRPr="009602E7">
        <w:rPr>
          <w:rStyle w:val="af0"/>
          <w:rFonts w:cs="Times New Roman" w:hint="eastAsia"/>
        </w:rPr>
        <w:t>https://doi.org/10.3966/221845622017070030001</w:t>
      </w:r>
      <w:r>
        <w:fldChar w:fldCharType="end"/>
      </w:r>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7</w:t>
      </w:r>
      <w:r w:rsidRPr="00F47BAC">
        <w:rPr>
          <w:rFonts w:cs="Times New Roman" w:hint="eastAsia"/>
        </w:rPr>
        <w:t>月</w:t>
      </w:r>
      <w:r w:rsidRPr="00F47BAC">
        <w:rPr>
          <w:rFonts w:cs="Times New Roman" w:hint="eastAsia"/>
        </w:rPr>
        <w:t>29</w:t>
      </w:r>
      <w:r w:rsidRPr="00F47BAC">
        <w:rPr>
          <w:rFonts w:cs="Times New Roman" w:hint="eastAsia"/>
        </w:rPr>
        <w:t>日）。〈著作權數位侵權判決之損害賠償實證研究〉。智慧財產權培訓學院。</w:t>
      </w:r>
      <w:r>
        <w:fldChar w:fldCharType="begin"/>
      </w:r>
      <w:r>
        <w:instrText>HYPERLINK "https://www.tipa.org.tw/tc/monthly_detial531.htm"</w:instrText>
      </w:r>
      <w:r>
        <w:fldChar w:fldCharType="separate"/>
      </w:r>
      <w:r w:rsidRPr="009602E7">
        <w:rPr>
          <w:rStyle w:val="af0"/>
          <w:rFonts w:cs="Times New Roman" w:hint="eastAsia"/>
        </w:rPr>
        <w:t>https://www.tipa.org.tw/tc/monthly_detial531.htm</w:t>
      </w:r>
      <w:r>
        <w:fldChar w:fldCharType="end"/>
      </w:r>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rPr>
        <w:t>經濟論文</w:t>
      </w:r>
      <w:r w:rsidRPr="00706F03">
        <w:rPr>
          <w:rFonts w:cs="Times New Roman"/>
        </w:rPr>
        <w:t>，</w:t>
      </w:r>
      <w:r w:rsidRPr="00706F03">
        <w:rPr>
          <w:rFonts w:cs="Times New Roman"/>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r>
        <w:fldChar w:fldCharType="begin"/>
      </w:r>
      <w:r>
        <w:instrText>HYPERLINK "https://www.airitilibrary.com/Article/Detail/1018161x-201912-201912300022-201912300022-533-546"</w:instrText>
      </w:r>
      <w:r>
        <w:fldChar w:fldCharType="separate"/>
      </w:r>
      <w:r w:rsidRPr="00706F03">
        <w:rPr>
          <w:rStyle w:val="af0"/>
          <w:rFonts w:cs="Times New Roman"/>
          <w:color w:val="auto"/>
        </w:rPr>
        <w:t>https://www.airitilibrary.com/Article/Detail/1018161x-201912-201912300022-201912300022-533-546</w:t>
      </w:r>
      <w:r>
        <w:fldChar w:fldCharType="end"/>
      </w:r>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rPr>
        <w:t>科技法學評論</w:t>
      </w:r>
      <w:r w:rsidRPr="00706F03">
        <w:rPr>
          <w:rFonts w:cs="Times New Roman"/>
        </w:rPr>
        <w:t>，</w:t>
      </w:r>
      <w:r w:rsidRPr="00706F03">
        <w:rPr>
          <w:rFonts w:cs="Times New Roman"/>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r w:rsidR="003F5CB6">
        <w:fldChar w:fldCharType="begin"/>
      </w:r>
      <w:r w:rsidR="003F5CB6">
        <w:instrText>HYPERLINK "https://lawdata.com.tw/tw/doi/?doi=10.3966/181130952013121002001"</w:instrText>
      </w:r>
      <w:r w:rsidR="003F5CB6">
        <w:fldChar w:fldCharType="separate"/>
      </w:r>
      <w:r w:rsidR="003F5CB6" w:rsidRPr="00706F03">
        <w:rPr>
          <w:rStyle w:val="af0"/>
          <w:rFonts w:cs="Times New Roman"/>
          <w:color w:val="auto"/>
        </w:rPr>
        <w:t>https://lawdata.com.tw/tw/doi/?doi=10.3966/181130952013121002001</w:t>
      </w:r>
      <w:r w:rsidR="003F5CB6">
        <w:fldChar w:fldCharType="end"/>
      </w:r>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rPr>
        <w:t>專利師</w:t>
      </w:r>
      <w:r w:rsidRPr="00706F03">
        <w:rPr>
          <w:rFonts w:cs="Times New Roman"/>
        </w:rPr>
        <w:t>，</w:t>
      </w:r>
      <w:r w:rsidRPr="00706F03">
        <w:rPr>
          <w:rFonts w:cs="Times New Roman"/>
        </w:rPr>
        <w:t>47</w:t>
      </w:r>
      <w:r w:rsidR="00B57FD2" w:rsidRPr="00706F03">
        <w:rPr>
          <w:rFonts w:cs="Times New Roman"/>
        </w:rPr>
        <w:t>，</w:t>
      </w:r>
      <w:r w:rsidR="00B57FD2" w:rsidRPr="00706F03">
        <w:rPr>
          <w:rFonts w:cs="Times New Roman"/>
        </w:rPr>
        <w:t>1-11</w:t>
      </w:r>
      <w:r w:rsidRPr="00706F03">
        <w:rPr>
          <w:rFonts w:cs="Times New Roman"/>
        </w:rPr>
        <w:t>。</w:t>
      </w:r>
      <w:r w:rsidR="00B57FD2">
        <w:fldChar w:fldCharType="begin"/>
      </w:r>
      <w:r w:rsidR="00B57FD2">
        <w:instrText>HYPERLINK "https://lawdata.com.tw/tw/doi/?doi=10.3966/221845622021100047001"</w:instrText>
      </w:r>
      <w:r w:rsidR="00B57FD2">
        <w:fldChar w:fldCharType="separate"/>
      </w:r>
      <w:r w:rsidR="00B57FD2" w:rsidRPr="00706F03">
        <w:rPr>
          <w:rStyle w:val="af0"/>
          <w:rFonts w:cs="Times New Roman"/>
          <w:color w:val="auto"/>
        </w:rPr>
        <w:t>https://lawdata.com.tw/tw/doi/?doi=10.3966/221845622021100047001</w:t>
      </w:r>
      <w:r w:rsidR="00B57FD2">
        <w:fldChar w:fldCharType="end"/>
      </w:r>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）。從數據一探智慧財產法院運作實況：專題三，民事訴訟。</w:t>
      </w:r>
      <w:r w:rsidRPr="00706F03">
        <w:rPr>
          <w:rFonts w:cs="Times New Roman"/>
          <w:i/>
        </w:rPr>
        <w:t>Winkler Partners</w:t>
      </w:r>
      <w:r w:rsidRPr="00706F03">
        <w:rPr>
          <w:rFonts w:cs="Times New Roman"/>
        </w:rPr>
        <w:t>。</w:t>
      </w:r>
      <w:r>
        <w:lastRenderedPageBreak/>
        <w:fldChar w:fldCharType="begin"/>
      </w:r>
      <w:r>
        <w:instrText>HYPERLINK "https://winklerpartners.com/zh/%E5%BE%9E%E6%95%B8%E6%93%9A%E4%B8%80%E6%8E%A2%E6%99%BA%E6%85%A7%E8%B2%A1%E7%94%A2%E6%B3%95%E9%99%A2%E9%81%8B%E4%BD%9C%E5%AF%A6%E6%B3%81-%E5%B0%88%E9%A1%8C%E4%B8%89-%E6%B0%91%E4%BA%8B/"</w:instrText>
      </w:r>
      <w:r>
        <w:fldChar w:fldCharType="separate"/>
      </w:r>
      <w:r w:rsidRPr="00706F03">
        <w:rPr>
          <w:rStyle w:val="af0"/>
          <w:rFonts w:cs="Times New Roman"/>
          <w:color w:val="auto"/>
        </w:rPr>
        <w:t>https://winklerpartners.com/zh/%E5%BE%9E%E6%95%B8%E6%93%9A%E4%B8%80%E6%8E%A2%E6%99%BA%E6%85%A7%E8%B2%A1%E7%94%A2%E6%B3%95%E9%99%A2%E9%81%8B%E4%BD%9C%E5%AF%A6%E6%B3%81-%E5%B0%88%E9%A1%8C%E4%B8%89-%E6%B0%91%E4%BA%8B/</w:t>
      </w:r>
      <w:r>
        <w:fldChar w:fldCharType="end"/>
      </w:r>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t>楊智傑（</w:t>
      </w:r>
      <w:r w:rsidRPr="00706F03">
        <w:rPr>
          <w:rFonts w:cs="Times New Roman"/>
        </w:rPr>
        <w:t>2012</w:t>
      </w:r>
      <w:r w:rsidRPr="00706F03">
        <w:rPr>
          <w:rFonts w:cs="Times New Roman"/>
        </w:rPr>
        <w:t>）。著作權濫用與不當使用之研究。《公平交易季刊》，</w:t>
      </w:r>
      <w:r w:rsidRPr="00706F03">
        <w:rPr>
          <w:rFonts w:cs="Times New Roman"/>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r>
        <w:fldChar w:fldCharType="begin"/>
      </w:r>
      <w:r>
        <w:instrText>HYPERLINK "https://www.lawbank.com.tw/treatise/pl_article.aspx?AID=P000214582&amp;utm_source=chatgpt.com" \t "_new"</w:instrText>
      </w:r>
      <w:r>
        <w:fldChar w:fldCharType="separate"/>
      </w:r>
      <w:r w:rsidRPr="00706F03">
        <w:rPr>
          <w:rStyle w:val="af0"/>
          <w:rFonts w:cs="Times New Roman"/>
          <w:color w:val="auto"/>
        </w:rPr>
        <w:t>https://www.lawbank.com.tw/treatise/pl_article.aspx?AID=P000214582</w:t>
      </w:r>
      <w:r>
        <w:fldChar w:fldCharType="end"/>
      </w:r>
    </w:p>
    <w:p w14:paraId="6FE39183"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Aletras</w:t>
      </w:r>
      <w:proofErr w:type="spellEnd"/>
      <w:r w:rsidRPr="00706F03">
        <w:rPr>
          <w:rFonts w:cs="Times New Roman"/>
        </w:rPr>
        <w:t xml:space="preserve">, N., </w:t>
      </w:r>
      <w:proofErr w:type="spellStart"/>
      <w:r w:rsidRPr="00706F03">
        <w:rPr>
          <w:rFonts w:cs="Times New Roman"/>
        </w:rPr>
        <w:t>Tsarapatsanis</w:t>
      </w:r>
      <w:proofErr w:type="spellEnd"/>
      <w:r w:rsidRPr="00706F03">
        <w:rPr>
          <w:rFonts w:cs="Times New Roman"/>
        </w:rPr>
        <w:t xml:space="preserve">, D., </w:t>
      </w:r>
      <w:proofErr w:type="spellStart"/>
      <w:r w:rsidRPr="00706F03">
        <w:rPr>
          <w:rFonts w:cs="Times New Roman"/>
        </w:rPr>
        <w:t>Preoţiuc</w:t>
      </w:r>
      <w:proofErr w:type="spellEnd"/>
      <w:r w:rsidRPr="00706F03">
        <w:rPr>
          <w:rFonts w:cs="Times New Roman"/>
        </w:rPr>
        <w:t xml:space="preserve">-Pietro, D., &amp; Lampos, V. (2016). Predicting judicial decisions of the European Court of Human Rights: A natural language processing perspective. </w:t>
      </w:r>
      <w:proofErr w:type="spellStart"/>
      <w:r w:rsidRPr="00706F03">
        <w:rPr>
          <w:rFonts w:cs="Times New Roman"/>
          <w:i/>
        </w:rPr>
        <w:t>PeerJ</w:t>
      </w:r>
      <w:proofErr w:type="spellEnd"/>
      <w:r w:rsidRPr="00706F03">
        <w:rPr>
          <w:rFonts w:cs="Times New Roman"/>
          <w:i/>
        </w:rPr>
        <w:t xml:space="preserve"> Computer Science, 2</w:t>
      </w:r>
      <w:r w:rsidRPr="00706F03">
        <w:rPr>
          <w:rFonts w:cs="Times New Roman"/>
        </w:rPr>
        <w:t xml:space="preserve">, Article e93. </w:t>
      </w:r>
      <w:hyperlink r:id="rId23" w:history="1">
        <w:r w:rsidRPr="00706F03">
          <w:rPr>
            <w:rStyle w:val="af0"/>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Alghazzawi</w:t>
      </w:r>
      <w:proofErr w:type="spellEnd"/>
      <w:r w:rsidRPr="00706F03">
        <w:rPr>
          <w:rFonts w:cs="Times New Roman"/>
        </w:rPr>
        <w:t xml:space="preserve">, D., </w:t>
      </w:r>
      <w:proofErr w:type="spellStart"/>
      <w:r w:rsidRPr="00706F03">
        <w:rPr>
          <w:rFonts w:cs="Times New Roman"/>
        </w:rPr>
        <w:t>Bamasag</w:t>
      </w:r>
      <w:proofErr w:type="spellEnd"/>
      <w:r w:rsidRPr="00706F03">
        <w:rPr>
          <w:rFonts w:cs="Times New Roman"/>
        </w:rPr>
        <w:t xml:space="preserve">, O., </w:t>
      </w:r>
      <w:proofErr w:type="spellStart"/>
      <w:r w:rsidRPr="00706F03">
        <w:rPr>
          <w:rFonts w:cs="Times New Roman"/>
        </w:rPr>
        <w:t>Albeshri</w:t>
      </w:r>
      <w:proofErr w:type="spellEnd"/>
      <w:r w:rsidRPr="00706F03">
        <w:rPr>
          <w:rFonts w:cs="Times New Roman"/>
        </w:rPr>
        <w:t xml:space="preserve">, A., Sana, I., Ullah, H., &amp; Asghar, M. Z. (2022). Efficient prediction of court judgments using an LSTM+CNN neural network model with an optimal feature set. </w:t>
      </w:r>
      <w:r w:rsidRPr="00706F03">
        <w:rPr>
          <w:rFonts w:cs="Times New Roman"/>
          <w:i/>
        </w:rPr>
        <w:t>Mathematics, 10</w:t>
      </w:r>
      <w:r w:rsidRPr="00706F03">
        <w:rPr>
          <w:rFonts w:cs="Times New Roman"/>
        </w:rPr>
        <w:t xml:space="preserve">(5), Article 683. </w:t>
      </w:r>
      <w:hyperlink r:id="rId24" w:history="1">
        <w:r w:rsidRPr="00706F03">
          <w:rPr>
            <w:rStyle w:val="af0"/>
            <w:rFonts w:cs="Times New Roman"/>
            <w:color w:val="auto"/>
          </w:rPr>
          <w:t>https://doi.org/10.3390/math10050683</w:t>
        </w:r>
      </w:hyperlink>
    </w:p>
    <w:p w14:paraId="58779590" w14:textId="77777777" w:rsidR="003F43CC" w:rsidRPr="00706F03" w:rsidRDefault="003F43CC" w:rsidP="003F43CC">
      <w:pPr>
        <w:widowControl/>
        <w:spacing w:line="276" w:lineRule="auto"/>
        <w:ind w:left="720" w:hanging="720"/>
        <w:jc w:val="left"/>
        <w:rPr>
          <w:rFonts w:cs="Times New Roman"/>
        </w:rPr>
      </w:pPr>
      <w:proofErr w:type="spellStart"/>
      <w:r w:rsidRPr="00706F03">
        <w:rPr>
          <w:rFonts w:cs="Times New Roman"/>
        </w:rPr>
        <w:t>Ariai</w:t>
      </w:r>
      <w:proofErr w:type="spellEnd"/>
      <w:r w:rsidRPr="00706F03">
        <w:rPr>
          <w:rFonts w:cs="Times New Roman"/>
        </w:rPr>
        <w:t xml:space="preserve">, F., Mackenzie, J., &amp; </w:t>
      </w:r>
      <w:proofErr w:type="spellStart"/>
      <w:r w:rsidRPr="00706F03">
        <w:rPr>
          <w:rFonts w:cs="Times New Roman"/>
        </w:rPr>
        <w:t>Demartini</w:t>
      </w:r>
      <w:proofErr w:type="spellEnd"/>
      <w:r w:rsidRPr="00706F03">
        <w:rPr>
          <w:rFonts w:cs="Times New Roman"/>
        </w:rPr>
        <w:t>, G. (202</w:t>
      </w:r>
      <w:r w:rsidR="005F3C21" w:rsidRPr="00706F03">
        <w:rPr>
          <w:rFonts w:cs="Times New Roman" w:hint="eastAsia"/>
        </w:rPr>
        <w:t>5</w:t>
      </w:r>
      <w:r w:rsidRPr="00706F03">
        <w:rPr>
          <w:rFonts w:cs="Times New Roman"/>
        </w:rPr>
        <w:t xml:space="preserve">). Natural language processing for the legal domain: A survey of tasks, datasets, models, and challenges. </w:t>
      </w:r>
      <w:r w:rsidRPr="00706F03">
        <w:rPr>
          <w:rFonts w:cs="Times New Roman"/>
          <w:i/>
          <w:iCs/>
        </w:rPr>
        <w:t>ACM Computing Surveys, 58</w:t>
      </w:r>
      <w:r w:rsidRPr="00706F03">
        <w:rPr>
          <w:rFonts w:cs="Times New Roman"/>
        </w:rPr>
        <w:t xml:space="preserve">(6), Article 163, 1–37. </w:t>
      </w:r>
      <w:hyperlink r:id="rId25" w:history="1">
        <w:r w:rsidRPr="00706F03">
          <w:rPr>
            <w:rStyle w:val="af0"/>
            <w:rFonts w:cs="Times New Roman"/>
            <w:color w:val="auto"/>
          </w:rPr>
          <w:t>https://doi.org/10.1145/3777009</w:t>
        </w:r>
      </w:hyperlink>
    </w:p>
    <w:p w14:paraId="7EB18AE1"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Chang, Y.-C., Chen, K.-P., &amp; Lin, C.-C. (2018). </w:t>
      </w:r>
      <w:r w:rsidRPr="00706F03">
        <w:rPr>
          <w:rFonts w:cs="Times New Roman"/>
          <w:i/>
          <w:iCs/>
        </w:rPr>
        <w:t>Anchoring effect in real litigation: An empirical study</w:t>
      </w:r>
      <w:r w:rsidRPr="00706F03">
        <w:rPr>
          <w:rFonts w:cs="Times New Roman"/>
        </w:rPr>
        <w:t xml:space="preserve">. SSRN. </w:t>
      </w:r>
      <w:hyperlink r:id="rId26" w:tgtFrame="_new" w:history="1">
        <w:r w:rsidRPr="00706F03">
          <w:rPr>
            <w:rStyle w:val="af0"/>
            <w:rFonts w:cs="Times New Roman"/>
            <w:color w:val="auto"/>
          </w:rPr>
          <w:t>https://papers.ssrn.com/sol3/papers.cfm?abstract_id=2726903</w:t>
        </w:r>
      </w:hyperlink>
      <w:r w:rsidRPr="00706F03">
        <w:rPr>
          <w:rFonts w:cs="Times New Roman"/>
        </w:rPr>
        <w:t xml:space="preserve"> </w:t>
      </w:r>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w:t>
      </w:r>
      <w:proofErr w:type="spellStart"/>
      <w:r w:rsidRPr="00706F03">
        <w:rPr>
          <w:rFonts w:cs="Times New Roman"/>
        </w:rPr>
        <w:t>Androutsopoulos</w:t>
      </w:r>
      <w:proofErr w:type="spellEnd"/>
      <w:r w:rsidRPr="00706F03">
        <w:rPr>
          <w:rFonts w:cs="Times New Roman"/>
        </w:rPr>
        <w:t xml:space="preserve">, I., &amp; </w:t>
      </w:r>
      <w:proofErr w:type="spellStart"/>
      <w:r w:rsidRPr="00706F03">
        <w:rPr>
          <w:rFonts w:cs="Times New Roman"/>
        </w:rPr>
        <w:t>Aletras</w:t>
      </w:r>
      <w:proofErr w:type="spellEnd"/>
      <w:r w:rsidRPr="00706F03">
        <w:rPr>
          <w:rFonts w:cs="Times New Roman"/>
        </w:rPr>
        <w:t xml:space="preserve">, N. (2019). Neural legal judgment prediction in English. In </w:t>
      </w:r>
      <w:r w:rsidRPr="00706F03">
        <w:rPr>
          <w:rFonts w:cs="Times New Roman"/>
          <w:i/>
        </w:rPr>
        <w:t>Proceedings of the 57th Annual Meeting of the Association for Computational Linguistics</w:t>
      </w:r>
      <w:r w:rsidRPr="00706F03">
        <w:rPr>
          <w:rFonts w:cs="Times New Roman"/>
        </w:rPr>
        <w:t xml:space="preserve"> (pp. 4317–4323). Association for Computational Linguistics. </w:t>
      </w:r>
      <w:hyperlink r:id="rId27" w:history="1">
        <w:r w:rsidRPr="00706F03">
          <w:rPr>
            <w:rStyle w:val="af0"/>
            <w:rFonts w:cs="Times New Roman"/>
            <w:color w:val="auto"/>
          </w:rPr>
          <w:t>https://aclanthology.org/P19-1424/</w:t>
        </w:r>
      </w:hyperlink>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 31</w:t>
      </w:r>
      <w:r w:rsidRPr="00706F03">
        <w:rPr>
          <w:rFonts w:cs="Times New Roman"/>
        </w:rPr>
        <w:t xml:space="preserve">(1), 93–126. </w:t>
      </w:r>
      <w:hyperlink r:id="rId28" w:history="1">
        <w:r w:rsidRPr="00706F03">
          <w:rPr>
            <w:rStyle w:val="af0"/>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29" w:tgtFrame="_new" w:history="1">
        <w:r w:rsidRPr="00706F03">
          <w:rPr>
            <w:rStyle w:val="af0"/>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rPr>
        <w:t>American Economic Journal: Applied Economics, 10</w:t>
      </w:r>
      <w:r w:rsidRPr="00706F03">
        <w:rPr>
          <w:rFonts w:cs="Times New Roman"/>
        </w:rPr>
        <w:t xml:space="preserve">(3), 171–205. </w:t>
      </w:r>
      <w:hyperlink r:id="rId30" w:history="1">
        <w:r w:rsidRPr="00706F03">
          <w:rPr>
            <w:rStyle w:val="af0"/>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w:t>
      </w:r>
      <w:r w:rsidRPr="00706F03">
        <w:rPr>
          <w:rFonts w:cs="Times New Roman"/>
        </w:rPr>
        <w:lastRenderedPageBreak/>
        <w:t>5461–5469). International Joint Conferences on Artificial Intelligence Organization.</w:t>
      </w:r>
      <w:hyperlink r:id="rId31" w:history="1">
        <w:r w:rsidRPr="00706F03">
          <w:rPr>
            <w:rStyle w:val="af0"/>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Heyes, A., &amp; </w:t>
      </w:r>
      <w:proofErr w:type="spellStart"/>
      <w:r w:rsidRPr="00706F03">
        <w:rPr>
          <w:rFonts w:cs="Times New Roman"/>
        </w:rPr>
        <w:t>Saberian</w:t>
      </w:r>
      <w:proofErr w:type="spellEnd"/>
      <w:r w:rsidRPr="00706F03">
        <w:rPr>
          <w:rFonts w:cs="Times New Roman"/>
        </w:rPr>
        <w:t xml:space="preserve">, S. (2019). Temperature and decisions: Evidence from 207,000 court cases. </w:t>
      </w:r>
      <w:r w:rsidRPr="00706F03">
        <w:rPr>
          <w:rFonts w:cs="Times New Roman"/>
          <w:i/>
        </w:rPr>
        <w:t>American Economic Journal: Applied Economics, 11</w:t>
      </w:r>
      <w:r w:rsidRPr="00706F03">
        <w:rPr>
          <w:rFonts w:cs="Times New Roman"/>
        </w:rPr>
        <w:t xml:space="preserve">(2), 238–265. </w:t>
      </w:r>
      <w:hyperlink r:id="rId32" w:history="1">
        <w:r w:rsidRPr="00706F03">
          <w:rPr>
            <w:rStyle w:val="af0"/>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 11</w:t>
      </w:r>
      <w:r w:rsidRPr="00706F03">
        <w:rPr>
          <w:rFonts w:cs="Times New Roman"/>
        </w:rPr>
        <w:t xml:space="preserve">(21), Article 10361. </w:t>
      </w:r>
      <w:hyperlink r:id="rId33" w:history="1">
        <w:r w:rsidRPr="00706F03">
          <w:rPr>
            <w:rStyle w:val="af0"/>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proofErr w:type="spellStart"/>
      <w:r w:rsidRPr="00706F03">
        <w:rPr>
          <w:rFonts w:cs="Times New Roman"/>
        </w:rPr>
        <w:t>Mamakas</w:t>
      </w:r>
      <w:proofErr w:type="spellEnd"/>
      <w:r w:rsidRPr="00706F03">
        <w:rPr>
          <w:rFonts w:cs="Times New Roman"/>
        </w:rPr>
        <w:t xml:space="preserve">, D., Tsotsi, P., </w:t>
      </w:r>
      <w:proofErr w:type="spellStart"/>
      <w:r w:rsidRPr="00706F03">
        <w:rPr>
          <w:rFonts w:cs="Times New Roman"/>
        </w:rPr>
        <w:t>Androutsopoulos</w:t>
      </w:r>
      <w:proofErr w:type="spellEnd"/>
      <w:r w:rsidRPr="00706F03">
        <w:rPr>
          <w:rFonts w:cs="Times New Roman"/>
        </w:rPr>
        <w:t xml:space="preserve">, I., &amp; Chalkidis, I. (2022). Processing long legal documents with pre-trained transformers: Modding </w:t>
      </w:r>
      <w:proofErr w:type="spellStart"/>
      <w:r w:rsidRPr="00706F03">
        <w:rPr>
          <w:rFonts w:cs="Times New Roman"/>
        </w:rPr>
        <w:t>LegalBERT</w:t>
      </w:r>
      <w:proofErr w:type="spellEnd"/>
      <w:r w:rsidRPr="00706F03">
        <w:rPr>
          <w:rFonts w:cs="Times New Roman"/>
        </w:rPr>
        <w:t xml:space="preserve"> and </w:t>
      </w:r>
      <w:proofErr w:type="spellStart"/>
      <w:r w:rsidRPr="00706F03">
        <w:rPr>
          <w:rFonts w:cs="Times New Roman"/>
        </w:rPr>
        <w:t>Longformer</w:t>
      </w:r>
      <w:proofErr w:type="spellEnd"/>
      <w:r w:rsidRPr="00706F03">
        <w:rPr>
          <w:rFonts w:cs="Times New Roman"/>
        </w:rPr>
        <w:t xml:space="preserve">.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34" w:history="1">
        <w:r w:rsidRPr="00706F03">
          <w:rPr>
            <w:rStyle w:val="af0"/>
            <w:rFonts w:cs="Times New Roman"/>
            <w:color w:val="auto"/>
          </w:rPr>
          <w:t>https://doi.org/10.18653/v1/2022.nllp-1.11</w:t>
        </w:r>
      </w:hyperlink>
    </w:p>
    <w:p w14:paraId="74F148B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Manning, C. D., Raghavan, P., &amp; Schütze, H. (2009). </w:t>
      </w:r>
      <w:r w:rsidRPr="00706F03">
        <w:rPr>
          <w:rFonts w:cs="Times New Roman"/>
          <w:i/>
        </w:rPr>
        <w:t>Introduction to information retrieval</w:t>
      </w:r>
      <w:r w:rsidRPr="00706F03">
        <w:rPr>
          <w:rFonts w:cs="Times New Roman"/>
        </w:rPr>
        <w:t>. Cambridge University Press.</w:t>
      </w:r>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sklearn.feature_selection.chi2. scikit-learn. Retrieved May 10, 2026, from </w:t>
      </w:r>
      <w:hyperlink r:id="rId35" w:history="1">
        <w:r w:rsidRPr="00706F03">
          <w:rPr>
            <w:rStyle w:val="af0"/>
            <w:rFonts w:cs="Times New Roman"/>
            <w:color w:val="auto"/>
          </w:rPr>
          <w:t>https://scikit-learn.org/stable/modules/generated/sklearn.feature_selection.chi2.html</w:t>
        </w:r>
      </w:hyperlink>
    </w:p>
    <w:p w14:paraId="05D35055" w14:textId="77777777" w:rsidR="003F43CC" w:rsidRPr="00706F03" w:rsidRDefault="003F43CC" w:rsidP="003F43CC">
      <w:pPr>
        <w:widowControl/>
        <w:spacing w:line="276" w:lineRule="auto"/>
        <w:ind w:left="720" w:hanging="720"/>
        <w:jc w:val="left"/>
        <w:rPr>
          <w:rFonts w:cs="Times New Roman"/>
        </w:rPr>
      </w:pPr>
      <w:r w:rsidRPr="00706F03">
        <w:rPr>
          <w:rFonts w:cs="Times New Roman"/>
        </w:rPr>
        <w:t xml:space="preserve">scikit-learn developers. (n.d.-b). </w:t>
      </w:r>
      <w:proofErr w:type="spellStart"/>
      <w:r w:rsidRPr="00706F03">
        <w:rPr>
          <w:rFonts w:cs="Times New Roman"/>
        </w:rPr>
        <w:t>sklearn.feature_extraction.text.TfidfVectorizer</w:t>
      </w:r>
      <w:proofErr w:type="spellEnd"/>
      <w:r w:rsidRPr="00706F03">
        <w:rPr>
          <w:rFonts w:cs="Times New Roman"/>
        </w:rPr>
        <w:t xml:space="preserve">. scikit-learn. Retrieved May 10, 2026, from </w:t>
      </w:r>
      <w:hyperlink r:id="rId36" w:history="1">
        <w:r w:rsidRPr="00706F03">
          <w:rPr>
            <w:rStyle w:val="af0"/>
            <w:rFonts w:cs="Times New Roman"/>
            <w:color w:val="auto"/>
          </w:rPr>
          <w:t>https://scikit-learn.org/stable/modules/generated/sklearn.feature_extraction.text.TfidfVectorizer.html</w:t>
        </w:r>
      </w:hyperlink>
    </w:p>
    <w:p w14:paraId="16BD6D67"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Surdeanu</w:t>
      </w:r>
      <w:proofErr w:type="spellEnd"/>
      <w:r w:rsidRPr="00706F03">
        <w:rPr>
          <w:rFonts w:cs="Times New Roman"/>
        </w:rPr>
        <w:t xml:space="preserve">, M., </w:t>
      </w:r>
      <w:proofErr w:type="spellStart"/>
      <w:r w:rsidRPr="00706F03">
        <w:rPr>
          <w:rFonts w:cs="Times New Roman"/>
        </w:rPr>
        <w:t>Nallapati</w:t>
      </w:r>
      <w:proofErr w:type="spellEnd"/>
      <w:r w:rsidRPr="00706F03">
        <w:rPr>
          <w:rFonts w:cs="Times New Roman"/>
        </w:rPr>
        <w:t xml:space="preserve">, R., Gregory, G., Walker, J., &amp; Manning, C. D. (2011). Risk analysis for intellectual property litigation. In </w:t>
      </w:r>
      <w:r w:rsidRPr="00706F03">
        <w:rPr>
          <w:rFonts w:cs="Times New Roman"/>
          <w:i/>
        </w:rPr>
        <w:t>Proceedings of the 13th International Conference on Artificial Intelligence and Law</w:t>
      </w:r>
      <w:r w:rsidRPr="00706F03">
        <w:rPr>
          <w:rFonts w:cs="Times New Roman"/>
        </w:rPr>
        <w:t xml:space="preserve"> (pp. 116–120). Association for Computing Machinery. </w:t>
      </w:r>
      <w:hyperlink r:id="rId37" w:history="1">
        <w:r w:rsidRPr="00706F03">
          <w:rPr>
            <w:rStyle w:val="af0"/>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rPr>
        <w:t>Journal of the American Statistical Association, 108</w:t>
      </w:r>
      <w:r w:rsidRPr="00706F03">
        <w:rPr>
          <w:rFonts w:cs="Times New Roman"/>
        </w:rPr>
        <w:t xml:space="preserve">(503), 755–770. </w:t>
      </w:r>
      <w:hyperlink r:id="rId38" w:history="1">
        <w:r w:rsidRPr="00706F03">
          <w:rPr>
            <w:rStyle w:val="af0"/>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w:t>
      </w:r>
      <w:proofErr w:type="spellStart"/>
      <w:r w:rsidRPr="00706F03">
        <w:rPr>
          <w:rFonts w:cs="Times New Roman"/>
        </w:rPr>
        <w:t>FinMTEB</w:t>
      </w:r>
      <w:proofErr w:type="spellEnd"/>
      <w:r w:rsidRPr="00706F03">
        <w:rPr>
          <w:rFonts w:cs="Times New Roman"/>
        </w:rPr>
        <w:t xml:space="preserve">: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39" w:history="1">
        <w:r w:rsidRPr="00706F03">
          <w:rPr>
            <w:rStyle w:val="af0"/>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lastRenderedPageBreak/>
        <w:t xml:space="preserve">Yang, S., Tong, S., Zhu, G., Cao, J., Wang, Y., Xue, Z., Sun, H., &amp; Wen, Y. (2022). MVE-FLK: A multi-task legal judgment prediction via multi-view encoder fusing legal keywords. </w:t>
      </w:r>
      <w:r w:rsidRPr="00706F03">
        <w:rPr>
          <w:rFonts w:cs="Times New Roman"/>
          <w:i/>
          <w:iCs/>
        </w:rPr>
        <w:t>Knowledge-Based Systems, 239</w:t>
      </w:r>
      <w:r w:rsidRPr="00706F03">
        <w:rPr>
          <w:rFonts w:cs="Times New Roman"/>
        </w:rPr>
        <w:t>, Article 107960.</w:t>
      </w:r>
      <w:r w:rsidRPr="00706F03">
        <w:rPr>
          <w:rFonts w:cs="Times New Roman"/>
          <w:kern w:val="0"/>
          <w14:ligatures w14:val="none"/>
        </w:rPr>
        <w:t xml:space="preserve"> </w:t>
      </w:r>
      <w:hyperlink r:id="rId40" w:history="1">
        <w:r w:rsidRPr="00706F03">
          <w:rPr>
            <w:rStyle w:val="af0"/>
            <w:rFonts w:cs="Times New Roman"/>
            <w:color w:val="auto"/>
          </w:rPr>
          <w:t>https://doi.org/10.1016/j.knosys.2021.107960</w:t>
        </w:r>
      </w:hyperlink>
    </w:p>
    <w:sectPr w:rsidR="004C1AE9" w:rsidRPr="00706F03" w:rsidSect="0004071A">
      <w:headerReference w:type="even" r:id="rId41"/>
      <w:headerReference w:type="default" r:id="rId42"/>
      <w:headerReference w:type="first" r:id="rId43"/>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B94C0" w14:textId="77777777" w:rsidR="00DD36CA" w:rsidRDefault="00DD36CA" w:rsidP="00204DC5">
      <w:pPr>
        <w:spacing w:after="0" w:line="240" w:lineRule="auto"/>
      </w:pPr>
      <w:r>
        <w:separator/>
      </w:r>
    </w:p>
  </w:endnote>
  <w:endnote w:type="continuationSeparator" w:id="0">
    <w:p w14:paraId="38BA74E9" w14:textId="77777777" w:rsidR="00DD36CA" w:rsidRDefault="00DD36CA"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Microsoft JhengHei"/>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6A65F" w14:textId="77777777" w:rsidR="00DD36CA" w:rsidRDefault="00DD36CA" w:rsidP="00204DC5">
      <w:pPr>
        <w:spacing w:after="0" w:line="240" w:lineRule="auto"/>
      </w:pPr>
      <w:r>
        <w:separator/>
      </w:r>
    </w:p>
  </w:footnote>
  <w:footnote w:type="continuationSeparator" w:id="0">
    <w:p w14:paraId="57933ED1" w14:textId="77777777" w:rsidR="00DD36CA" w:rsidRDefault="00DD36CA"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EF3C1" w14:textId="77777777" w:rsidR="00E53FEC" w:rsidRDefault="00000000">
    <w:pPr>
      <w:pStyle w:val="af4"/>
    </w:pPr>
    <w:r>
      <w:rPr>
        <w:noProof/>
      </w:rPr>
      <w:pict w14:anchorId="6CEBB6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68BB2" w14:textId="77777777" w:rsidR="00E53FEC" w:rsidRDefault="00000000">
    <w:pPr>
      <w:pStyle w:val="af4"/>
    </w:pPr>
    <w:r>
      <w:rPr>
        <w:noProof/>
      </w:rPr>
      <w:pict w14:anchorId="29071F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E359E" w14:textId="77777777" w:rsidR="00E53FEC" w:rsidRDefault="00000000">
    <w:pPr>
      <w:pStyle w:val="af4"/>
    </w:pPr>
    <w:r>
      <w:rPr>
        <w:noProof/>
      </w:rPr>
      <w:pict w14:anchorId="714246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69A"/>
    <w:rsid w:val="00564795"/>
    <w:rsid w:val="00565DC7"/>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931"/>
    <w:rsid w:val="006E5AFF"/>
    <w:rsid w:val="006E7085"/>
    <w:rsid w:val="006F51FC"/>
    <w:rsid w:val="006F60ED"/>
    <w:rsid w:val="006F6F97"/>
    <w:rsid w:val="007019C8"/>
    <w:rsid w:val="00701E11"/>
    <w:rsid w:val="00702DCB"/>
    <w:rsid w:val="0070310B"/>
    <w:rsid w:val="00704208"/>
    <w:rsid w:val="0070491A"/>
    <w:rsid w:val="00704996"/>
    <w:rsid w:val="00706F03"/>
    <w:rsid w:val="00707432"/>
    <w:rsid w:val="00707A84"/>
    <w:rsid w:val="00707EA2"/>
    <w:rsid w:val="00714DEA"/>
    <w:rsid w:val="00734F6F"/>
    <w:rsid w:val="00737C2E"/>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D36CA"/>
    <w:rsid w:val="00DE36ED"/>
    <w:rsid w:val="00DE4C52"/>
    <w:rsid w:val="00DE6133"/>
    <w:rsid w:val="00DE7A89"/>
    <w:rsid w:val="00DF4347"/>
    <w:rsid w:val="00DF44BC"/>
    <w:rsid w:val="00DF543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554D"/>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 w:type="paragraph" w:customStyle="1" w:styleId="p1">
    <w:name w:val="p1"/>
    <w:basedOn w:val="a"/>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law.moj.gov.tw/LawClass/LawAll.aspx?pcode=A0010090" TargetMode="External"/><Relationship Id="rId26" Type="http://schemas.openxmlformats.org/officeDocument/2006/relationships/hyperlink" Target="https://papers.ssrn.com/sol3/papers.cfm?abstract_id=2726903" TargetMode="External"/><Relationship Id="rId39" Type="http://schemas.openxmlformats.org/officeDocument/2006/relationships/hyperlink" Target="https://doi.org/10.18653/v1/2025.emnlp-main.179" TargetMode="External"/><Relationship Id="rId21" Type="http://schemas.openxmlformats.org/officeDocument/2006/relationships/hyperlink" Target="https://www.judicial.gov.tw/tw/cp-165-28-683b6-1.html" TargetMode="External"/><Relationship Id="rId34" Type="http://schemas.openxmlformats.org/officeDocument/2006/relationships/hyperlink" Target="https://doi.org/10.18653/v1/2022.nllp-1.11"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github.com/ckiplab/ckip-transforme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3390/math10050683" TargetMode="External"/><Relationship Id="rId32" Type="http://schemas.openxmlformats.org/officeDocument/2006/relationships/hyperlink" Target="https://doi.org/10.1257/app.20170223" TargetMode="External"/><Relationship Id="rId37" Type="http://schemas.openxmlformats.org/officeDocument/2006/relationships/hyperlink" Target="https://doi.org/10.1145/2018358.2018375" TargetMode="External"/><Relationship Id="rId40" Type="http://schemas.openxmlformats.org/officeDocument/2006/relationships/hyperlink" Target="https://doi.org/10.1016/j.knosys.2021.107960"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7717/peerj-cs.93" TargetMode="External"/><Relationship Id="rId28" Type="http://schemas.openxmlformats.org/officeDocument/2006/relationships/hyperlink" Target="https://doi.org/10.1093/jleo/ewt022" TargetMode="External"/><Relationship Id="rId36" Type="http://schemas.openxmlformats.org/officeDocument/2006/relationships/hyperlink" Target="https://scikit-learn.org/stable/modules/generated/sklearn.feature_extraction.text.TfidfVectorizer.html" TargetMode="External"/><Relationship Id="rId10" Type="http://schemas.openxmlformats.org/officeDocument/2006/relationships/image" Target="media/image2.png"/><Relationship Id="rId19" Type="http://schemas.openxmlformats.org/officeDocument/2006/relationships/hyperlink" Target="https://www.judicial.gov.tw/tw/np-85-1.html" TargetMode="External"/><Relationship Id="rId31" Type="http://schemas.openxmlformats.org/officeDocument/2006/relationships/hyperlink" Target="%20https:/doi.org/10.24963/ijcai.2022/765"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w.judicial.gov.tw/tw/cp-1370-4310-e5078-1.html" TargetMode="External"/><Relationship Id="rId27" Type="http://schemas.openxmlformats.org/officeDocument/2006/relationships/hyperlink" Target="https://aclanthology.org/P19-1424/" TargetMode="External"/><Relationship Id="rId30" Type="http://schemas.openxmlformats.org/officeDocument/2006/relationships/hyperlink" Target="https://doi.org/10.1257/app.20160390" TargetMode="External"/><Relationship Id="rId35" Type="http://schemas.openxmlformats.org/officeDocument/2006/relationships/hyperlink" Target="https://scikit-learn.org/stable/modules/generated/sklearn.feature_selection.chi2.html" TargetMode="External"/><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doi.org/10.1145/3777009" TargetMode="External"/><Relationship Id="rId33" Type="http://schemas.openxmlformats.org/officeDocument/2006/relationships/hyperlink" Target="https://doi.org/10.3390/app112110361" TargetMode="External"/><Relationship Id="rId38" Type="http://schemas.openxmlformats.org/officeDocument/2006/relationships/hyperlink" Target="https://doi.org/10.1080/01621459.2012.734168" TargetMode="External"/><Relationship Id="rId20" Type="http://schemas.openxmlformats.org/officeDocument/2006/relationships/hyperlink" Target="https://www.judicial.gov.tw/tw/cp-165-27-430b8-1.html" TargetMode="External"/><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71</Pages>
  <Words>11336</Words>
  <Characters>64616</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43</cp:revision>
  <cp:lastPrinted>2026-06-16T12:21:00Z</cp:lastPrinted>
  <dcterms:created xsi:type="dcterms:W3CDTF">2026-07-04T13:22:00Z</dcterms:created>
  <dcterms:modified xsi:type="dcterms:W3CDTF">2026-07-09T12:29:00Z</dcterms:modified>
</cp:coreProperties>
</file>