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44"/>
          <w:rFonts w:eastAsia="Microsoft JhengHei"/>
        </w:rPr>
        <w:t>智慧財產權判決書勝敗訴預測之文字探勘研究</w:t>
      </w:r>
    </w:p>
    <w:p>
      <w:pPr>
        <w:jc w:val="center"/>
      </w:pPr>
      <w:r>
        <w:rPr>
          <w:sz w:val="30"/>
          <w:rFonts w:eastAsia="Microsoft JhengHei"/>
        </w:rPr>
        <w:t>以卡方特徵選擇、SVM 與 MNIR 特徵轉換為例</w:t>
      </w:r>
    </w:p>
    <w:p>
      <w:pPr>
        <w:spacing w:before="1800"/>
        <w:jc w:val="center"/>
      </w:pPr>
      <w:r>
        <w:rPr>
          <w:b/>
        </w:rPr>
        <w:t>論文初稿</w:t>
        <w:br/>
      </w:r>
      <w:r>
        <w:t>作者：［請填入姓名］</w:t>
        <w:br/>
        <w:t>系所：［請填入系所］</w:t>
        <w:br/>
        <w:t>指導教授：［請填入姓名］</w:t>
        <w:br/>
        <w:t>日期：2026 年 5 月</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92"/>
      </w:tblGrid>
      <w:tr>
        <w:tc>
          <w:tcPr>
            <w:tcW w:type="dxa" w:w="9292"/>
            <w:shd w:fill="EAF2F8"/>
            <w:vAlign w:val="center"/>
          </w:tcPr>
          <w:p>
            <w:pPr>
              <w:spacing w:after="0"/>
            </w:pPr>
            <w:r>
              <w:rPr>
                <w:color w:val="2D3748"/>
                <w:sz w:val="20"/>
              </w:rPr>
              <w:t>初稿說明：本文件依目前專案程式與 Step 3 full run 結果自動整理，題名、研究問題、文獻引用、學校格式與附錄細節仍需由作者確認後修訂。</w:t>
            </w:r>
          </w:p>
        </w:tc>
      </w:tr>
    </w:tbl>
    <w:p/>
    <w:p>
      <w:pPr>
        <w:sectPr>
          <w:pgSz w:w="12240" w:h="15840"/>
          <w:pgMar w:top="1361" w:right="1474" w:bottom="1247" w:left="1474" w:header="720" w:footer="720" w:gutter="0"/>
          <w:cols w:space="720"/>
          <w:docGrid w:linePitch="360"/>
        </w:sectPr>
      </w:pPr>
    </w:p>
    <w:p>
      <w:pPr>
        <w:pStyle w:val="Heading1"/>
      </w:pPr>
      <w:r>
        <w:rPr>
          <w:rFonts w:ascii="Calibri" w:hAnsi="Calibri" w:eastAsia="Microsoft JhengHei"/>
          <w:color w:val="1F4E79"/>
        </w:rPr>
        <w:t>摘要</w:t>
      </w:r>
    </w:p>
    <w:p>
      <w:pPr>
        <w:spacing w:line="324" w:lineRule="auto" w:after="120"/>
        <w:ind w:firstLine="420"/>
      </w:pPr>
      <w:r>
        <w:rPr>
          <w:sz w:val="22"/>
          <w:rFonts w:eastAsia="Microsoft JhengHei"/>
        </w:rPr>
        <w:t>本研究以司法院公開之智慧財產權相關判決書為研究對象，建立一套從判決書前處理、中文斷詞、文件詞彙矩陣建構、特徵選擇到模型評估的文字資料分析流程。研究目標為依據判決書中事實段落與相關文本特徵，預測案件結果屬於勝訴、敗訴或部分勝敗訴三類，以評估傳統機器學習方法在法律文本分類任務中的適用性。</w:t>
      </w:r>
    </w:p>
    <w:p>
      <w:pPr>
        <w:spacing w:line="324" w:lineRule="auto" w:after="120"/>
        <w:ind w:firstLine="420"/>
      </w:pPr>
      <w:r>
        <w:rPr>
          <w:sz w:val="22"/>
          <w:rFonts w:eastAsia="Microsoft JhengHei"/>
        </w:rPr>
        <w:t>實驗將案件區分為行政、民事、刑事與刑事附帶民事四類資料集，並比較移除結果洩漏詞彙前後之文本版本。特徵表示包含 BoW、TF 與 TF-IDF，模型流程則比較多數類別基準模型、卡方特徵選擇後之 SVM，以及卡方特徵選擇、MNIR 特徵轉換與 SVM 結合之流程。為避免資料洩漏，所有卡方特徵選擇均僅於訓練集上配適，超參數 K 與 SVM 懲罰參數 C 則依驗證集 Macro F1 選定，測試集僅用於最終評估。</w:t>
      </w:r>
    </w:p>
    <w:p>
      <w:pPr>
        <w:spacing w:line="324" w:lineRule="auto" w:after="120"/>
        <w:ind w:firstLine="420"/>
      </w:pPr>
      <w:r>
        <w:rPr>
          <w:sz w:val="22"/>
          <w:rFonts w:eastAsia="Microsoft JhengHei"/>
        </w:rPr>
        <w:t>實驗結果顯示，資料集存在明顯類別不平衡，僅以 Accuracy 衡量容易高估模型表現，因此本研究以 Macro F1 作為主要指標。整體而言，卡方特徵選擇後直接訓練 SVM 的傳統稀疏文字模型，在四類資料集中皆取得高於 MNIR 流程的 Macro F1，顯示在本研究任務中，經特徵篩選後的詞彙特徵仍保有較強分類訊息。</w:t>
      </w:r>
    </w:p>
    <w:p>
      <w:pPr>
        <w:spacing w:line="324" w:lineRule="auto" w:after="120"/>
        <w:ind w:firstLine="420"/>
      </w:pPr>
      <w:r>
        <w:rPr>
          <w:sz w:val="22"/>
          <w:rFonts w:eastAsia="Microsoft JhengHei"/>
        </w:rPr>
        <w:t>關鍵字：智慧財產權、判決預測、文字探勘、卡方特徵選擇、支持向量機、MNIR</w:t>
      </w:r>
    </w:p>
    <w:p>
      <w:pPr>
        <w:pStyle w:val="Heading1"/>
      </w:pPr>
      <w:r>
        <w:rPr>
          <w:rFonts w:ascii="Calibri" w:hAnsi="Calibri" w:eastAsia="Microsoft JhengHei"/>
          <w:color w:val="1F4E79"/>
        </w:rPr>
        <w:t>目錄（初稿）</w:t>
      </w:r>
    </w:p>
    <w:p>
      <w:r>
        <w:t>第一章 緒論</w:t>
      </w:r>
    </w:p>
    <w:p>
      <w:r>
        <w:t>第二章 文獻回顧</w:t>
      </w:r>
    </w:p>
    <w:p>
      <w:r>
        <w:t>第三章 研究方法</w:t>
      </w:r>
    </w:p>
    <w:p>
      <w:r>
        <w:t>第四章 實驗結果</w:t>
      </w:r>
    </w:p>
    <w:p>
      <w:r>
        <w:t>第五章 討論</w:t>
      </w:r>
    </w:p>
    <w:p>
      <w:r>
        <w:t>第六章 結論與未來研究</w:t>
      </w:r>
    </w:p>
    <w:p>
      <w:r>
        <w:t>參考文獻與附錄</w:t>
      </w:r>
    </w:p>
    <w:p>
      <w:pPr>
        <w:sectPr>
          <w:pgSz w:w="12240" w:h="15840"/>
          <w:pgMar w:top="1361" w:right="1474" w:bottom="1247" w:left="1474" w:header="720" w:footer="720" w:gutter="0"/>
          <w:cols w:space="720"/>
          <w:docGrid w:linePitch="360"/>
        </w:sectPr>
      </w:pPr>
    </w:p>
    <w:p>
      <w:pPr>
        <w:pStyle w:val="Heading1"/>
      </w:pPr>
      <w:r>
        <w:rPr>
          <w:rFonts w:ascii="Calibri" w:hAnsi="Calibri" w:eastAsia="Microsoft JhengHei"/>
          <w:color w:val="1F4E79"/>
        </w:rPr>
        <w:t>第一章 緒論</w:t>
      </w:r>
    </w:p>
    <w:p>
      <w:pPr>
        <w:pStyle w:val="Heading2"/>
      </w:pPr>
      <w:r>
        <w:rPr>
          <w:rFonts w:ascii="Calibri" w:hAnsi="Calibri" w:eastAsia="Microsoft JhengHei"/>
          <w:color w:val="1F4E79"/>
        </w:rPr>
        <w:t>1.1 研究背景</w:t>
      </w:r>
    </w:p>
    <w:p>
      <w:pPr>
        <w:spacing w:line="324" w:lineRule="auto" w:after="120"/>
        <w:ind w:firstLine="420"/>
      </w:pPr>
      <w:r>
        <w:rPr>
          <w:sz w:val="22"/>
          <w:rFonts w:eastAsia="Microsoft JhengHei"/>
        </w:rPr>
        <w:t>司法判決書累積了大量關於法律爭點、事實認定與裁判結果的文本資訊。隨著自然語言處理與機器學習方法逐漸應用於法律資訊分析，如何將非結構化判決文字轉換為可供模型學習的特徵，並建立可重現的分類流程，成為法律科技與實證法學研究的重要議題。智慧財產權案件兼具專業術語密集、案件類型多元與裁判結果高度不平衡等特性，因此適合作為法律文本分類方法的實驗場域。</w:t>
      </w:r>
    </w:p>
    <w:p>
      <w:pPr>
        <w:pStyle w:val="Heading2"/>
      </w:pPr>
      <w:r>
        <w:rPr>
          <w:rFonts w:ascii="Calibri" w:hAnsi="Calibri" w:eastAsia="Microsoft JhengHei"/>
          <w:color w:val="1F4E79"/>
        </w:rPr>
        <w:t>1.2 研究目的</w:t>
      </w:r>
    </w:p>
    <w:p>
      <w:pPr>
        <w:spacing w:line="324" w:lineRule="auto" w:after="120"/>
        <w:ind w:firstLine="420"/>
      </w:pPr>
      <w:r>
        <w:rPr>
          <w:sz w:val="22"/>
          <w:rFonts w:eastAsia="Microsoft JhengHei"/>
        </w:rPr>
        <w:t>本研究目的在於建立智慧財產權判決書勝敗訴預測流程，並比較不同文字特徵表示與分類流程的預測表現。具體而言，本研究關注三個問題：第一，經過規則標註與中文斷詞後，傳統詞彙特徵是否能有效預測判決結果；第二，卡方特徵選擇與 SVM 是否足以形成具競爭力之基準模型；第三，MNIR 特徵轉換是否能進一步改善模型表現。</w:t>
      </w:r>
    </w:p>
    <w:p>
      <w:pPr>
        <w:pStyle w:val="Heading2"/>
      </w:pPr>
      <w:r>
        <w:rPr>
          <w:rFonts w:ascii="Calibri" w:hAnsi="Calibri" w:eastAsia="Microsoft JhengHei"/>
          <w:color w:val="1F4E79"/>
        </w:rPr>
        <w:t>1.3 研究範圍與限制</w:t>
      </w:r>
    </w:p>
    <w:p>
      <w:pPr>
        <w:spacing w:line="324" w:lineRule="auto" w:after="120"/>
        <w:ind w:firstLine="420"/>
      </w:pPr>
      <w:r>
        <w:rPr>
          <w:sz w:val="22"/>
          <w:rFonts w:eastAsia="Microsoft JhengHei"/>
        </w:rPr>
        <w:t>本研究以已蒐集並前處理之智慧財產權相關判決資料為範圍，標籤聚焦於 Win、Lose 與 Mixed 三類。研究不主張模型可取代法律專業判斷，而是將其定位為文本分類與實證分析工具。由於標籤係由規則與人工例外修正建立，仍可能存在標註誤差；此外，案件文字中的裁判結果詞彙可能形成 outcome leakage，因此本研究另行建立 no-leakage 版本以檢驗其影響。</w:t>
      </w:r>
    </w:p>
    <w:p>
      <w:pPr>
        <w:pStyle w:val="Heading1"/>
      </w:pPr>
      <w:r>
        <w:rPr>
          <w:rFonts w:ascii="Calibri" w:hAnsi="Calibri" w:eastAsia="Microsoft JhengHei"/>
          <w:color w:val="1F4E79"/>
        </w:rPr>
        <w:t>第二章 文獻回顧</w:t>
      </w:r>
    </w:p>
    <w:p>
      <w:pPr>
        <w:spacing w:line="324" w:lineRule="auto" w:after="120"/>
        <w:ind w:firstLine="420"/>
      </w:pPr>
      <w:r>
        <w:rPr>
          <w:sz w:val="22"/>
          <w:rFonts w:eastAsia="Microsoft JhengHei"/>
        </w:rPr>
        <w:t>本章待補正式文獻引用。初稿建議分為三類文獻：法律文本探勘與裁判預測、中文法律文本斷詞與特徵表示、以及文字分類模型與特徵選擇方法。最終版本應補入國內外法律判決預測、SVM 於文本分類之應用、TF-IDF 與卡方特徵選擇，以及 MNIR 或相關監督式特徵轉換方法之研究。</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92"/>
      </w:tblGrid>
      <w:tr>
        <w:tc>
          <w:tcPr>
            <w:tcW w:type="dxa" w:w="9292"/>
            <w:shd w:fill="EAF2F8"/>
            <w:vAlign w:val="center"/>
          </w:tcPr>
          <w:p>
            <w:pPr>
              <w:spacing w:after="0"/>
            </w:pPr>
            <w:r>
              <w:rPr>
                <w:color w:val="2D3748"/>
                <w:sz w:val="20"/>
              </w:rPr>
              <w:t>待確認問題：是否已有指定文獻、學校要求引用格式，或需納入法學方法論相關文獻。</w:t>
            </w:r>
          </w:p>
        </w:tc>
      </w:tr>
    </w:tbl>
    <w:p/>
    <w:p>
      <w:pPr>
        <w:pStyle w:val="Heading1"/>
      </w:pPr>
      <w:r>
        <w:rPr>
          <w:rFonts w:ascii="Calibri" w:hAnsi="Calibri" w:eastAsia="Microsoft JhengHei"/>
          <w:color w:val="1F4E79"/>
        </w:rPr>
        <w:t>第三章 研究方法</w:t>
      </w:r>
    </w:p>
    <w:p>
      <w:pPr>
        <w:pStyle w:val="Heading2"/>
      </w:pPr>
      <w:r>
        <w:rPr>
          <w:rFonts w:ascii="Calibri" w:hAnsi="Calibri" w:eastAsia="Microsoft JhengHei"/>
          <w:color w:val="1F4E79"/>
        </w:rPr>
        <w:t>3.1 研究流程</w:t>
      </w:r>
    </w:p>
    <w:p>
      <w:pPr>
        <w:spacing w:line="324" w:lineRule="auto" w:after="120"/>
        <w:ind w:firstLine="420"/>
      </w:pPr>
      <w:r>
        <w:rPr>
          <w:sz w:val="22"/>
          <w:rFonts w:eastAsia="Microsoft JhengHei"/>
        </w:rPr>
        <w:t>本研究流程包含資料蒐集、資料前處理、文本特徵建構、模型訓練與模型評估五個階段。首先以智慧財產相關關鍵字與案件資訊篩選判決書；其次透過規則判定案件類型與裁判結果，並自全文擷取事實段落；接著使用 CKIP 進行中文斷詞，並建立 BoW、TF 與 TF-IDF 三種文件詞彙矩陣；最後以分層資料切分、卡方特徵選擇、SVM 與 MNIR 流程進行實驗比較。</w:t>
      </w:r>
    </w:p>
    <w:p>
      <w:pPr>
        <w:pStyle w:val="Heading2"/>
      </w:pPr>
      <w:r>
        <w:rPr>
          <w:rFonts w:ascii="Calibri" w:hAnsi="Calibri" w:eastAsia="Microsoft JhengHei"/>
          <w:color w:val="1F4E79"/>
        </w:rPr>
        <w:t>3.2 資料標籤與案件類型</w:t>
      </w:r>
    </w:p>
    <w:p>
      <w:pPr>
        <w:spacing w:line="324" w:lineRule="auto" w:after="120"/>
        <w:ind w:firstLine="420"/>
      </w:pPr>
      <w:r>
        <w:rPr>
          <w:sz w:val="22"/>
          <w:rFonts w:eastAsia="Microsoft JhengHei"/>
        </w:rPr>
        <w:t>本研究將有效案件依 JTYPE 區分為行政、民事、刑事與刑事附帶民事四類，並將裁判結果整理為 Win、Lose 與 Mixed。資料前處理階段會排除裁定、不重要案件與非目標結果，以形成可供監督式學習使用的目標資料集。</w:t>
      </w:r>
    </w:p>
    <w:p>
      <w:pPr>
        <w:jc w:val="center"/>
      </w:pPr>
      <w:r>
        <w:rPr>
          <w:b/>
          <w:color w:val="2D3748"/>
          <w:sz w:val="20"/>
        </w:rPr>
        <w:t>表 1 目標資料集之案件類型與裁判結果分布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58"/>
        <w:gridCol w:w="1858"/>
        <w:gridCol w:w="1858"/>
        <w:gridCol w:w="1858"/>
        <w:gridCol w:w="1858"/>
      </w:tblGrid>
      <w:tr>
        <w:tc>
          <w:tcPr>
            <w:tcW w:type="dxa" w:w="1858"/>
            <w:shd w:fill="2F5597"/>
            <w:vAlign w:val="center"/>
          </w:tcPr>
          <w:p>
            <w:pPr>
              <w:jc w:val="center"/>
            </w:pPr>
            <w:r/>
            <w:r>
              <w:rPr>
                <w:b/>
                <w:color w:val="FFFFFF"/>
                <w:sz w:val="18"/>
              </w:rPr>
              <w:t>案件類型</w:t>
            </w:r>
          </w:p>
        </w:tc>
        <w:tc>
          <w:tcPr>
            <w:tcW w:type="dxa" w:w="1858"/>
            <w:shd w:fill="2F5597"/>
            <w:vAlign w:val="center"/>
          </w:tcPr>
          <w:p>
            <w:pPr>
              <w:jc w:val="center"/>
            </w:pPr>
            <w:r/>
            <w:r>
              <w:rPr>
                <w:b/>
                <w:color w:val="FFFFFF"/>
                <w:sz w:val="18"/>
              </w:rPr>
              <w:t>Lose</w:t>
            </w:r>
          </w:p>
        </w:tc>
        <w:tc>
          <w:tcPr>
            <w:tcW w:type="dxa" w:w="1858"/>
            <w:shd w:fill="2F5597"/>
            <w:vAlign w:val="center"/>
          </w:tcPr>
          <w:p>
            <w:pPr>
              <w:jc w:val="center"/>
            </w:pPr>
            <w:r/>
            <w:r>
              <w:rPr>
                <w:b/>
                <w:color w:val="FFFFFF"/>
                <w:sz w:val="18"/>
              </w:rPr>
              <w:t>Mixed</w:t>
            </w:r>
          </w:p>
        </w:tc>
        <w:tc>
          <w:tcPr>
            <w:tcW w:type="dxa" w:w="1858"/>
            <w:shd w:fill="2F5597"/>
            <w:vAlign w:val="center"/>
          </w:tcPr>
          <w:p>
            <w:pPr>
              <w:jc w:val="center"/>
            </w:pPr>
            <w:r/>
            <w:r>
              <w:rPr>
                <w:b/>
                <w:color w:val="FFFFFF"/>
                <w:sz w:val="18"/>
              </w:rPr>
              <w:t>Win</w:t>
            </w:r>
          </w:p>
        </w:tc>
        <w:tc>
          <w:tcPr>
            <w:tcW w:type="dxa" w:w="1858"/>
            <w:shd w:fill="2F5597"/>
            <w:vAlign w:val="center"/>
          </w:tcPr>
          <w:p>
            <w:pPr>
              <w:jc w:val="center"/>
            </w:pPr>
            <w:r/>
            <w:r>
              <w:rPr>
                <w:b/>
                <w:color w:val="FFFFFF"/>
                <w:sz w:val="18"/>
              </w:rPr>
              <w:t>合計</w:t>
            </w:r>
          </w:p>
        </w:tc>
      </w:tr>
      <w:tr>
        <w:tc>
          <w:tcPr>
            <w:tcW w:type="dxa" w:w="1858"/>
            <w:vAlign w:val="center"/>
          </w:tcPr>
          <w:p>
            <w:pPr>
              <w:jc w:val="center"/>
            </w:pPr>
            <w:r/>
            <w:r>
              <w:rPr>
                <w:b w:val="0"/>
                <w:sz w:val="18"/>
              </w:rPr>
              <w:t>行政</w:t>
            </w:r>
          </w:p>
        </w:tc>
        <w:tc>
          <w:tcPr>
            <w:tcW w:type="dxa" w:w="1858"/>
            <w:vAlign w:val="center"/>
          </w:tcPr>
          <w:p>
            <w:pPr>
              <w:jc w:val="center"/>
            </w:pPr>
            <w:r/>
            <w:r>
              <w:rPr>
                <w:b w:val="0"/>
                <w:sz w:val="18"/>
              </w:rPr>
              <w:t>10106</w:t>
            </w:r>
          </w:p>
        </w:tc>
        <w:tc>
          <w:tcPr>
            <w:tcW w:type="dxa" w:w="1858"/>
            <w:vAlign w:val="center"/>
          </w:tcPr>
          <w:p>
            <w:pPr>
              <w:jc w:val="center"/>
            </w:pPr>
            <w:r/>
            <w:r>
              <w:rPr>
                <w:b w:val="0"/>
                <w:sz w:val="18"/>
              </w:rPr>
              <w:t>502</w:t>
            </w:r>
          </w:p>
        </w:tc>
        <w:tc>
          <w:tcPr>
            <w:tcW w:type="dxa" w:w="1858"/>
            <w:vAlign w:val="center"/>
          </w:tcPr>
          <w:p>
            <w:pPr>
              <w:jc w:val="center"/>
            </w:pPr>
            <w:r/>
            <w:r>
              <w:rPr>
                <w:b w:val="0"/>
                <w:sz w:val="18"/>
              </w:rPr>
              <w:t>911</w:t>
            </w:r>
          </w:p>
        </w:tc>
        <w:tc>
          <w:tcPr>
            <w:tcW w:type="dxa" w:w="1858"/>
            <w:vAlign w:val="center"/>
          </w:tcPr>
          <w:p>
            <w:pPr>
              <w:jc w:val="center"/>
            </w:pPr>
            <w:r/>
            <w:r>
              <w:rPr>
                <w:b w:val="0"/>
                <w:sz w:val="18"/>
              </w:rPr>
              <w:t>11519</w:t>
            </w:r>
          </w:p>
        </w:tc>
      </w:tr>
      <w:tr>
        <w:tc>
          <w:tcPr>
            <w:tcW w:type="dxa" w:w="1858"/>
            <w:vAlign w:val="center"/>
          </w:tcPr>
          <w:p>
            <w:pPr>
              <w:jc w:val="center"/>
            </w:pPr>
            <w:r/>
            <w:r>
              <w:rPr>
                <w:b w:val="0"/>
                <w:sz w:val="18"/>
              </w:rPr>
              <w:t>民事</w:t>
            </w:r>
          </w:p>
        </w:tc>
        <w:tc>
          <w:tcPr>
            <w:tcW w:type="dxa" w:w="1858"/>
            <w:vAlign w:val="center"/>
          </w:tcPr>
          <w:p>
            <w:pPr>
              <w:jc w:val="center"/>
            </w:pPr>
            <w:r/>
            <w:r>
              <w:rPr>
                <w:b w:val="0"/>
                <w:sz w:val="18"/>
              </w:rPr>
              <w:t>3887</w:t>
            </w:r>
          </w:p>
        </w:tc>
        <w:tc>
          <w:tcPr>
            <w:tcW w:type="dxa" w:w="1858"/>
            <w:vAlign w:val="center"/>
          </w:tcPr>
          <w:p>
            <w:pPr>
              <w:jc w:val="center"/>
            </w:pPr>
            <w:r/>
            <w:r>
              <w:rPr>
                <w:b w:val="0"/>
                <w:sz w:val="18"/>
              </w:rPr>
              <w:t>1408</w:t>
            </w:r>
          </w:p>
        </w:tc>
        <w:tc>
          <w:tcPr>
            <w:tcW w:type="dxa" w:w="1858"/>
            <w:vAlign w:val="center"/>
          </w:tcPr>
          <w:p>
            <w:pPr>
              <w:jc w:val="center"/>
            </w:pPr>
            <w:r/>
            <w:r>
              <w:rPr>
                <w:b w:val="0"/>
                <w:sz w:val="18"/>
              </w:rPr>
              <w:t>435</w:t>
            </w:r>
          </w:p>
        </w:tc>
        <w:tc>
          <w:tcPr>
            <w:tcW w:type="dxa" w:w="1858"/>
            <w:vAlign w:val="center"/>
          </w:tcPr>
          <w:p>
            <w:pPr>
              <w:jc w:val="center"/>
            </w:pPr>
            <w:r/>
            <w:r>
              <w:rPr>
                <w:b w:val="0"/>
                <w:sz w:val="18"/>
              </w:rPr>
              <w:t>5730</w:t>
            </w:r>
          </w:p>
        </w:tc>
      </w:tr>
      <w:tr>
        <w:tc>
          <w:tcPr>
            <w:tcW w:type="dxa" w:w="1858"/>
            <w:vAlign w:val="center"/>
          </w:tcPr>
          <w:p>
            <w:pPr>
              <w:jc w:val="center"/>
            </w:pPr>
            <w:r/>
            <w:r>
              <w:rPr>
                <w:b w:val="0"/>
                <w:sz w:val="18"/>
              </w:rPr>
              <w:t>刑事</w:t>
            </w:r>
          </w:p>
        </w:tc>
        <w:tc>
          <w:tcPr>
            <w:tcW w:type="dxa" w:w="1858"/>
            <w:vAlign w:val="center"/>
          </w:tcPr>
          <w:p>
            <w:pPr>
              <w:jc w:val="center"/>
            </w:pPr>
            <w:r/>
            <w:r>
              <w:rPr>
                <w:b w:val="0"/>
                <w:sz w:val="18"/>
              </w:rPr>
              <w:t>24552</w:t>
            </w:r>
          </w:p>
        </w:tc>
        <w:tc>
          <w:tcPr>
            <w:tcW w:type="dxa" w:w="1858"/>
            <w:vAlign w:val="center"/>
          </w:tcPr>
          <w:p>
            <w:pPr>
              <w:jc w:val="center"/>
            </w:pPr>
            <w:r/>
            <w:r>
              <w:rPr>
                <w:b w:val="0"/>
                <w:sz w:val="18"/>
              </w:rPr>
              <w:t>80</w:t>
            </w:r>
          </w:p>
        </w:tc>
        <w:tc>
          <w:tcPr>
            <w:tcW w:type="dxa" w:w="1858"/>
            <w:vAlign w:val="center"/>
          </w:tcPr>
          <w:p>
            <w:pPr>
              <w:jc w:val="center"/>
            </w:pPr>
            <w:r/>
            <w:r>
              <w:rPr>
                <w:b w:val="0"/>
                <w:sz w:val="18"/>
              </w:rPr>
              <w:t>1636</w:t>
            </w:r>
          </w:p>
        </w:tc>
        <w:tc>
          <w:tcPr>
            <w:tcW w:type="dxa" w:w="1858"/>
            <w:vAlign w:val="center"/>
          </w:tcPr>
          <w:p>
            <w:pPr>
              <w:jc w:val="center"/>
            </w:pPr>
            <w:r/>
            <w:r>
              <w:rPr>
                <w:b w:val="0"/>
                <w:sz w:val="18"/>
              </w:rPr>
              <w:t>26268</w:t>
            </w:r>
          </w:p>
        </w:tc>
      </w:tr>
      <w:tr>
        <w:tc>
          <w:tcPr>
            <w:tcW w:type="dxa" w:w="1858"/>
            <w:vAlign w:val="center"/>
          </w:tcPr>
          <w:p>
            <w:pPr>
              <w:jc w:val="center"/>
            </w:pPr>
            <w:r/>
            <w:r>
              <w:rPr>
                <w:b w:val="0"/>
                <w:sz w:val="18"/>
              </w:rPr>
              <w:t>刑事附帶民事</w:t>
            </w:r>
          </w:p>
        </w:tc>
        <w:tc>
          <w:tcPr>
            <w:tcW w:type="dxa" w:w="1858"/>
            <w:vAlign w:val="center"/>
          </w:tcPr>
          <w:p>
            <w:pPr>
              <w:jc w:val="center"/>
            </w:pPr>
            <w:r/>
            <w:r>
              <w:rPr>
                <w:b w:val="0"/>
                <w:sz w:val="18"/>
              </w:rPr>
              <w:t>748</w:t>
            </w:r>
          </w:p>
        </w:tc>
        <w:tc>
          <w:tcPr>
            <w:tcW w:type="dxa" w:w="1858"/>
            <w:vAlign w:val="center"/>
          </w:tcPr>
          <w:p>
            <w:pPr>
              <w:jc w:val="center"/>
            </w:pPr>
            <w:r/>
            <w:r>
              <w:rPr>
                <w:b w:val="0"/>
                <w:sz w:val="18"/>
              </w:rPr>
              <w:t>1047</w:t>
            </w:r>
          </w:p>
        </w:tc>
        <w:tc>
          <w:tcPr>
            <w:tcW w:type="dxa" w:w="1858"/>
            <w:vAlign w:val="center"/>
          </w:tcPr>
          <w:p>
            <w:pPr>
              <w:jc w:val="center"/>
            </w:pPr>
            <w:r/>
            <w:r>
              <w:rPr>
                <w:b w:val="0"/>
                <w:sz w:val="18"/>
              </w:rPr>
              <w:t>32</w:t>
            </w:r>
          </w:p>
        </w:tc>
        <w:tc>
          <w:tcPr>
            <w:tcW w:type="dxa" w:w="1858"/>
            <w:vAlign w:val="center"/>
          </w:tcPr>
          <w:p>
            <w:pPr>
              <w:jc w:val="center"/>
            </w:pPr>
            <w:r/>
            <w:r>
              <w:rPr>
                <w:b w:val="0"/>
                <w:sz w:val="18"/>
              </w:rPr>
              <w:t>1827</w:t>
            </w:r>
          </w:p>
        </w:tc>
      </w:tr>
      <w:tr>
        <w:tc>
          <w:tcPr>
            <w:tcW w:type="dxa" w:w="1858"/>
            <w:vAlign w:val="center"/>
          </w:tcPr>
          <w:p>
            <w:pPr>
              <w:jc w:val="center"/>
            </w:pPr>
            <w:r/>
            <w:r>
              <w:rPr>
                <w:b w:val="0"/>
                <w:sz w:val="18"/>
              </w:rPr>
              <w:t>合計</w:t>
            </w:r>
          </w:p>
        </w:tc>
        <w:tc>
          <w:tcPr>
            <w:tcW w:type="dxa" w:w="1858"/>
            <w:vAlign w:val="center"/>
          </w:tcPr>
          <w:p>
            <w:pPr>
              <w:jc w:val="center"/>
            </w:pPr>
            <w:r/>
            <w:r>
              <w:rPr>
                <w:b w:val="0"/>
                <w:sz w:val="18"/>
              </w:rPr>
              <w:t>39293</w:t>
            </w:r>
          </w:p>
        </w:tc>
        <w:tc>
          <w:tcPr>
            <w:tcW w:type="dxa" w:w="1858"/>
            <w:vAlign w:val="center"/>
          </w:tcPr>
          <w:p>
            <w:pPr>
              <w:jc w:val="center"/>
            </w:pPr>
            <w:r/>
            <w:r>
              <w:rPr>
                <w:b w:val="0"/>
                <w:sz w:val="18"/>
              </w:rPr>
              <w:t>3037</w:t>
            </w:r>
          </w:p>
        </w:tc>
        <w:tc>
          <w:tcPr>
            <w:tcW w:type="dxa" w:w="1858"/>
            <w:vAlign w:val="center"/>
          </w:tcPr>
          <w:p>
            <w:pPr>
              <w:jc w:val="center"/>
            </w:pPr>
            <w:r/>
            <w:r>
              <w:rPr>
                <w:b w:val="0"/>
                <w:sz w:val="18"/>
              </w:rPr>
              <w:t>3014</w:t>
            </w:r>
          </w:p>
        </w:tc>
        <w:tc>
          <w:tcPr>
            <w:tcW w:type="dxa" w:w="1858"/>
            <w:vAlign w:val="center"/>
          </w:tcPr>
          <w:p>
            <w:pPr>
              <w:jc w:val="center"/>
            </w:pPr>
            <w:r/>
            <w:r>
              <w:rPr>
                <w:b w:val="0"/>
                <w:sz w:val="18"/>
              </w:rPr>
              <w:t>45344</w:t>
            </w:r>
          </w:p>
        </w:tc>
      </w:tr>
    </w:tbl>
    <w:p/>
    <w:p>
      <w:pPr>
        <w:pStyle w:val="Heading2"/>
      </w:pPr>
      <w:r>
        <w:rPr>
          <w:rFonts w:ascii="Calibri" w:hAnsi="Calibri" w:eastAsia="Microsoft JhengHei"/>
          <w:color w:val="1F4E79"/>
        </w:rPr>
        <w:t>3.3 文本特徵表示</w:t>
      </w:r>
    </w:p>
    <w:p>
      <w:pPr>
        <w:spacing w:line="324" w:lineRule="auto" w:after="120"/>
        <w:ind w:firstLine="420"/>
      </w:pPr>
      <w:r>
        <w:rPr>
          <w:sz w:val="22"/>
          <w:rFonts w:eastAsia="Microsoft JhengHei"/>
        </w:rPr>
        <w:t>本研究比較三種常見文字特徵表示。BoW 以詞彙出現次數表示文件；TF 將詞頻正規化，以降低文件長度差異造成的影響；TF-IDF 則進一步考量詞彙在語料庫中的辨識程度。三種特徵皆以相同資料切分與超參數選擇流程進行比較。</w:t>
      </w:r>
    </w:p>
    <w:p>
      <w:pPr>
        <w:pStyle w:val="Heading2"/>
      </w:pPr>
      <w:r>
        <w:rPr>
          <w:rFonts w:ascii="Calibri" w:hAnsi="Calibri" w:eastAsia="Microsoft JhengHei"/>
          <w:color w:val="1F4E79"/>
        </w:rPr>
        <w:t>3.4 卡方特徵選擇</w:t>
      </w:r>
    </w:p>
    <w:p>
      <w:pPr>
        <w:spacing w:line="324" w:lineRule="auto" w:after="120"/>
        <w:ind w:firstLine="420"/>
      </w:pPr>
      <w:r>
        <w:rPr>
          <w:sz w:val="22"/>
          <w:rFonts w:eastAsia="Microsoft JhengHei"/>
        </w:rPr>
        <w:t>由於法律文本 DTM 維度高且包含大量低資訊詞彙，本研究採用卡方統計量篩選與分類標籤較相關的詞彙特徵。為避免資料洩漏，卡方選擇僅於訓練集上配適，再套用至驗證集與測試集。特徵數 K 不預先固定，而是以驗證集 Macro F1 於候選值中選定。</w:t>
      </w:r>
    </w:p>
    <w:p>
      <w:pPr>
        <w:pStyle w:val="Heading2"/>
      </w:pPr>
      <w:r>
        <w:rPr>
          <w:rFonts w:ascii="Calibri" w:hAnsi="Calibri" w:eastAsia="Microsoft JhengHei"/>
          <w:color w:val="1F4E79"/>
        </w:rPr>
        <w:t>3.5 模型與基準方法</w:t>
      </w:r>
    </w:p>
    <w:p>
      <w:pPr>
        <w:spacing w:line="324" w:lineRule="auto" w:after="120"/>
        <w:ind w:firstLine="420"/>
      </w:pPr>
      <w:r>
        <w:rPr>
          <w:sz w:val="22"/>
          <w:rFonts w:eastAsia="Microsoft JhengHei"/>
        </w:rPr>
        <w:t>本研究設計三類比較模型。第一為 Majority Class baseline，永遠預測訓練集中最多的類別，用以衡量資料不平衡下的最低基準。第二為卡方特徵選擇後直接訓練 SVM 的稀疏文字模型。第三為本研究原先設定之 MNIR-based pipeline，即先以 MNIR 轉換特徵後，再以 SVM 進行分類。</w:t>
      </w:r>
    </w:p>
    <w:p>
      <w:pPr>
        <w:pStyle w:val="Heading2"/>
      </w:pPr>
      <w:r>
        <w:rPr>
          <w:rFonts w:ascii="Calibri" w:hAnsi="Calibri" w:eastAsia="Microsoft JhengHei"/>
          <w:color w:val="1F4E79"/>
        </w:rPr>
        <w:t>3.6 評估設計</w:t>
      </w:r>
    </w:p>
    <w:p>
      <w:pPr>
        <w:spacing w:line="324" w:lineRule="auto" w:after="120"/>
        <w:ind w:firstLine="420"/>
      </w:pPr>
      <w:r>
        <w:rPr>
          <w:sz w:val="22"/>
          <w:rFonts w:eastAsia="Microsoft JhengHei"/>
        </w:rPr>
        <w:t>資料採 70%、10%、20% 之分層訓練集、驗證集與測試集切分。卡方 K 與 SVM C 僅依驗證集 Macro F1 選定，測試集僅在最終模型確定後評估一次。評估指標包含 Accuracy、Macro F1、各類別 Precision、Recall、F1-score，以及混淆矩陣。考量本研究資料類別分布不均，後續結果以 Macro F1 作為主要判斷依據。</w:t>
      </w:r>
    </w:p>
    <w:p>
      <w:pPr>
        <w:pStyle w:val="Heading1"/>
      </w:pPr>
      <w:r>
        <w:rPr>
          <w:rFonts w:ascii="Calibri" w:hAnsi="Calibri" w:eastAsia="Microsoft JhengHei"/>
          <w:color w:val="1F4E79"/>
        </w:rPr>
        <w:t>第四章 實驗結果</w:t>
      </w:r>
    </w:p>
    <w:p>
      <w:pPr>
        <w:pStyle w:val="Heading2"/>
      </w:pPr>
      <w:r>
        <w:rPr>
          <w:rFonts w:ascii="Calibri" w:hAnsi="Calibri" w:eastAsia="Microsoft JhengHei"/>
          <w:color w:val="1F4E79"/>
        </w:rPr>
        <w:t>4.1 資料不平衡現象</w:t>
      </w:r>
    </w:p>
    <w:p>
      <w:pPr>
        <w:spacing w:line="324" w:lineRule="auto" w:after="120"/>
        <w:ind w:firstLine="420"/>
      </w:pPr>
      <w:r>
        <w:rPr>
          <w:sz w:val="22"/>
          <w:rFonts w:eastAsia="Microsoft JhengHei"/>
        </w:rPr>
        <w:t>由表 1 可見，各案件類型均呈現明顯類別不平衡。行政與刑事案件中 Lose 類別占比最高；民事案件雖有較多 Mixed 案件，但 Win 仍為少數；刑事附帶民事案件則以 Mixed 與 Lose 為主，Win 樣本極少。此現象使 Accuracy 容易受多數類別主導，因此 Macro F1 更能反映模型於少數類別上的分類能力。</w:t>
      </w:r>
    </w:p>
    <w:p>
      <w:pPr>
        <w:pStyle w:val="Heading2"/>
      </w:pPr>
      <w:r>
        <w:rPr>
          <w:rFonts w:ascii="Calibri" w:hAnsi="Calibri" w:eastAsia="Microsoft JhengHei"/>
          <w:color w:val="1F4E79"/>
        </w:rPr>
        <w:t>4.2 MNIR + SVM 流程之最佳結果</w:t>
      </w:r>
    </w:p>
    <w:p>
      <w:pPr>
        <w:jc w:val="center"/>
      </w:pPr>
      <w:r>
        <w:rPr>
          <w:b/>
          <w:color w:val="2D3748"/>
          <w:sz w:val="20"/>
        </w:rPr>
        <w:t>表 2 MNIR + SVM 流程於各資料集之最佳測試結果</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327"/>
        <w:gridCol w:w="1327"/>
        <w:gridCol w:w="1327"/>
        <w:gridCol w:w="1327"/>
        <w:gridCol w:w="1327"/>
        <w:gridCol w:w="1327"/>
        <w:gridCol w:w="1327"/>
      </w:tblGrid>
      <w:tr>
        <w:tc>
          <w:tcPr>
            <w:tcW w:type="dxa" w:w="1327"/>
            <w:shd w:fill="2F5597"/>
            <w:vAlign w:val="center"/>
          </w:tcPr>
          <w:p>
            <w:pPr>
              <w:jc w:val="center"/>
            </w:pPr>
            <w:r/>
            <w:r>
              <w:rPr>
                <w:b/>
                <w:color w:val="FFFFFF"/>
                <w:sz w:val="18"/>
              </w:rPr>
              <w:t>資料集</w:t>
            </w:r>
          </w:p>
        </w:tc>
        <w:tc>
          <w:tcPr>
            <w:tcW w:type="dxa" w:w="1327"/>
            <w:shd w:fill="2F5597"/>
            <w:vAlign w:val="center"/>
          </w:tcPr>
          <w:p>
            <w:pPr>
              <w:jc w:val="center"/>
            </w:pPr>
            <w:r/>
            <w:r>
              <w:rPr>
                <w:b/>
                <w:color w:val="FFFFFF"/>
                <w:sz w:val="18"/>
              </w:rPr>
              <w:t>Leakage版本</w:t>
            </w:r>
          </w:p>
        </w:tc>
        <w:tc>
          <w:tcPr>
            <w:tcW w:type="dxa" w:w="1327"/>
            <w:shd w:fill="2F5597"/>
            <w:vAlign w:val="center"/>
          </w:tcPr>
          <w:p>
            <w:pPr>
              <w:jc w:val="center"/>
            </w:pPr>
            <w:r/>
            <w:r>
              <w:rPr>
                <w:b/>
                <w:color w:val="FFFFFF"/>
                <w:sz w:val="18"/>
              </w:rPr>
              <w:t>特徵</w:t>
            </w:r>
          </w:p>
        </w:tc>
        <w:tc>
          <w:tcPr>
            <w:tcW w:type="dxa" w:w="1327"/>
            <w:shd w:fill="2F5597"/>
            <w:vAlign w:val="center"/>
          </w:tcPr>
          <w:p>
            <w:pPr>
              <w:jc w:val="center"/>
            </w:pPr>
            <w:r/>
            <w:r>
              <w:rPr>
                <w:b/>
                <w:color w:val="FFFFFF"/>
                <w:sz w:val="18"/>
              </w:rPr>
              <w:t>最佳K</w:t>
            </w:r>
          </w:p>
        </w:tc>
        <w:tc>
          <w:tcPr>
            <w:tcW w:type="dxa" w:w="1327"/>
            <w:shd w:fill="2F5597"/>
            <w:vAlign w:val="center"/>
          </w:tcPr>
          <w:p>
            <w:pPr>
              <w:jc w:val="center"/>
            </w:pPr>
            <w:r/>
            <w:r>
              <w:rPr>
                <w:b/>
                <w:color w:val="FFFFFF"/>
                <w:sz w:val="18"/>
              </w:rPr>
              <w:t>最佳C</w:t>
            </w:r>
          </w:p>
        </w:tc>
        <w:tc>
          <w:tcPr>
            <w:tcW w:type="dxa" w:w="1327"/>
            <w:shd w:fill="2F5597"/>
            <w:vAlign w:val="center"/>
          </w:tcPr>
          <w:p>
            <w:pPr>
              <w:jc w:val="center"/>
            </w:pPr>
            <w:r/>
            <w:r>
              <w:rPr>
                <w:b/>
                <w:color w:val="FFFFFF"/>
                <w:sz w:val="18"/>
              </w:rPr>
              <w:t>Accuracy</w:t>
            </w:r>
          </w:p>
        </w:tc>
        <w:tc>
          <w:tcPr>
            <w:tcW w:type="dxa" w:w="1327"/>
            <w:shd w:fill="2F5597"/>
            <w:vAlign w:val="center"/>
          </w:tcPr>
          <w:p>
            <w:pPr>
              <w:jc w:val="center"/>
            </w:pPr>
            <w:r/>
            <w:r>
              <w:rPr>
                <w:b/>
                <w:color w:val="FFFFFF"/>
                <w:sz w:val="18"/>
              </w:rPr>
              <w:t>Macro F1</w:t>
            </w:r>
          </w:p>
        </w:tc>
      </w:tr>
      <w:tr>
        <w:tc>
          <w:tcPr>
            <w:tcW w:type="dxa" w:w="1327"/>
            <w:vAlign w:val="center"/>
          </w:tcPr>
          <w:p>
            <w:pPr>
              <w:jc w:val="center"/>
            </w:pPr>
            <w:r/>
            <w:r>
              <w:rPr>
                <w:b w:val="0"/>
                <w:sz w:val="18"/>
              </w:rPr>
              <w:t>刑事</w:t>
            </w:r>
          </w:p>
        </w:tc>
        <w:tc>
          <w:tcPr>
            <w:tcW w:type="dxa" w:w="1327"/>
            <w:vAlign w:val="center"/>
          </w:tcPr>
          <w:p>
            <w:pPr>
              <w:jc w:val="center"/>
            </w:pPr>
            <w:r/>
            <w:r>
              <w:rPr>
                <w:b w:val="0"/>
                <w:sz w:val="18"/>
              </w:rPr>
              <w:t>no_leakage</w:t>
            </w:r>
          </w:p>
        </w:tc>
        <w:tc>
          <w:tcPr>
            <w:tcW w:type="dxa" w:w="1327"/>
            <w:vAlign w:val="center"/>
          </w:tcPr>
          <w:p>
            <w:pPr>
              <w:jc w:val="center"/>
            </w:pPr>
            <w:r/>
            <w:r>
              <w:rPr>
                <w:b w:val="0"/>
                <w:sz w:val="18"/>
              </w:rPr>
              <w:t>tfidf</w:t>
            </w:r>
          </w:p>
        </w:tc>
        <w:tc>
          <w:tcPr>
            <w:tcW w:type="dxa" w:w="1327"/>
            <w:vAlign w:val="center"/>
          </w:tcPr>
          <w:p>
            <w:pPr>
              <w:jc w:val="center"/>
            </w:pPr>
            <w:r/>
            <w:r>
              <w:rPr>
                <w:b w:val="0"/>
                <w:sz w:val="18"/>
              </w:rPr>
              <w:t>5000</w:t>
            </w:r>
          </w:p>
        </w:tc>
        <w:tc>
          <w:tcPr>
            <w:tcW w:type="dxa" w:w="1327"/>
            <w:vAlign w:val="center"/>
          </w:tcPr>
          <w:p>
            <w:pPr>
              <w:jc w:val="center"/>
            </w:pPr>
            <w:r/>
            <w:r>
              <w:rPr>
                <w:b w:val="0"/>
                <w:sz w:val="18"/>
              </w:rPr>
              <w:t>0.125</w:t>
            </w:r>
          </w:p>
        </w:tc>
        <w:tc>
          <w:tcPr>
            <w:tcW w:type="dxa" w:w="1327"/>
            <w:vAlign w:val="center"/>
          </w:tcPr>
          <w:p>
            <w:pPr>
              <w:jc w:val="center"/>
            </w:pPr>
            <w:r/>
            <w:r>
              <w:rPr>
                <w:b w:val="0"/>
                <w:sz w:val="18"/>
              </w:rPr>
              <w:t>0.928</w:t>
            </w:r>
          </w:p>
        </w:tc>
        <w:tc>
          <w:tcPr>
            <w:tcW w:type="dxa" w:w="1327"/>
            <w:vAlign w:val="center"/>
          </w:tcPr>
          <w:p>
            <w:pPr>
              <w:jc w:val="center"/>
            </w:pPr>
            <w:r/>
            <w:r>
              <w:rPr>
                <w:b w:val="0"/>
                <w:sz w:val="18"/>
              </w:rPr>
              <w:t>0.390</w:t>
            </w:r>
          </w:p>
        </w:tc>
      </w:tr>
      <w:tr>
        <w:tc>
          <w:tcPr>
            <w:tcW w:type="dxa" w:w="1327"/>
            <w:vAlign w:val="center"/>
          </w:tcPr>
          <w:p>
            <w:pPr>
              <w:jc w:val="center"/>
            </w:pPr>
            <w:r/>
            <w:r>
              <w:rPr>
                <w:b w:val="0"/>
                <w:sz w:val="18"/>
              </w:rPr>
              <w:t>刑事附帶民事</w:t>
            </w:r>
          </w:p>
        </w:tc>
        <w:tc>
          <w:tcPr>
            <w:tcW w:type="dxa" w:w="1327"/>
            <w:vAlign w:val="center"/>
          </w:tcPr>
          <w:p>
            <w:pPr>
              <w:jc w:val="center"/>
            </w:pPr>
            <w:r/>
            <w:r>
              <w:rPr>
                <w:b w:val="0"/>
                <w:sz w:val="18"/>
              </w:rPr>
              <w:t>with_leakage</w:t>
            </w:r>
          </w:p>
        </w:tc>
        <w:tc>
          <w:tcPr>
            <w:tcW w:type="dxa" w:w="1327"/>
            <w:vAlign w:val="center"/>
          </w:tcPr>
          <w:p>
            <w:pPr>
              <w:jc w:val="center"/>
            </w:pPr>
            <w:r/>
            <w:r>
              <w:rPr>
                <w:b w:val="0"/>
                <w:sz w:val="18"/>
              </w:rPr>
              <w:t>bow</w:t>
            </w:r>
          </w:p>
        </w:tc>
        <w:tc>
          <w:tcPr>
            <w:tcW w:type="dxa" w:w="1327"/>
            <w:vAlign w:val="center"/>
          </w:tcPr>
          <w:p>
            <w:pPr>
              <w:jc w:val="center"/>
            </w:pPr>
            <w:r/>
            <w:r>
              <w:rPr>
                <w:b w:val="0"/>
                <w:sz w:val="18"/>
              </w:rPr>
              <w:t>3000</w:t>
            </w:r>
          </w:p>
        </w:tc>
        <w:tc>
          <w:tcPr>
            <w:tcW w:type="dxa" w:w="1327"/>
            <w:vAlign w:val="center"/>
          </w:tcPr>
          <w:p>
            <w:pPr>
              <w:jc w:val="center"/>
            </w:pPr>
            <w:r/>
            <w:r>
              <w:rPr>
                <w:b w:val="0"/>
                <w:sz w:val="18"/>
              </w:rPr>
              <w:t>0.062</w:t>
            </w:r>
          </w:p>
        </w:tc>
        <w:tc>
          <w:tcPr>
            <w:tcW w:type="dxa" w:w="1327"/>
            <w:vAlign w:val="center"/>
          </w:tcPr>
          <w:p>
            <w:pPr>
              <w:jc w:val="center"/>
            </w:pPr>
            <w:r/>
            <w:r>
              <w:rPr>
                <w:b w:val="0"/>
                <w:sz w:val="18"/>
              </w:rPr>
              <w:t>0.854</w:t>
            </w:r>
          </w:p>
        </w:tc>
        <w:tc>
          <w:tcPr>
            <w:tcW w:type="dxa" w:w="1327"/>
            <w:vAlign w:val="center"/>
          </w:tcPr>
          <w:p>
            <w:pPr>
              <w:jc w:val="center"/>
            </w:pPr>
            <w:r/>
            <w:r>
              <w:rPr>
                <w:b w:val="0"/>
                <w:sz w:val="18"/>
              </w:rPr>
              <w:t>0.571</w:t>
            </w:r>
          </w:p>
        </w:tc>
      </w:tr>
      <w:tr>
        <w:tc>
          <w:tcPr>
            <w:tcW w:type="dxa" w:w="1327"/>
            <w:vAlign w:val="center"/>
          </w:tcPr>
          <w:p>
            <w:pPr>
              <w:jc w:val="center"/>
            </w:pPr>
            <w:r/>
            <w:r>
              <w:rPr>
                <w:b w:val="0"/>
                <w:sz w:val="18"/>
              </w:rPr>
              <w:t>民事</w:t>
            </w:r>
          </w:p>
        </w:tc>
        <w:tc>
          <w:tcPr>
            <w:tcW w:type="dxa" w:w="1327"/>
            <w:vAlign w:val="center"/>
          </w:tcPr>
          <w:p>
            <w:pPr>
              <w:jc w:val="center"/>
            </w:pPr>
            <w:r/>
            <w:r>
              <w:rPr>
                <w:b w:val="0"/>
                <w:sz w:val="18"/>
              </w:rPr>
              <w:t>with_leakage</w:t>
            </w:r>
          </w:p>
        </w:tc>
        <w:tc>
          <w:tcPr>
            <w:tcW w:type="dxa" w:w="1327"/>
            <w:vAlign w:val="center"/>
          </w:tcPr>
          <w:p>
            <w:pPr>
              <w:jc w:val="center"/>
            </w:pPr>
            <w:r/>
            <w:r>
              <w:rPr>
                <w:b w:val="0"/>
                <w:sz w:val="18"/>
              </w:rPr>
              <w:t>tfidf</w:t>
            </w:r>
          </w:p>
        </w:tc>
        <w:tc>
          <w:tcPr>
            <w:tcW w:type="dxa" w:w="1327"/>
            <w:vAlign w:val="center"/>
          </w:tcPr>
          <w:p>
            <w:pPr>
              <w:jc w:val="center"/>
            </w:pPr>
            <w:r/>
            <w:r>
              <w:rPr>
                <w:b w:val="0"/>
                <w:sz w:val="18"/>
              </w:rPr>
              <w:t>3000</w:t>
            </w:r>
          </w:p>
        </w:tc>
        <w:tc>
          <w:tcPr>
            <w:tcW w:type="dxa" w:w="1327"/>
            <w:vAlign w:val="center"/>
          </w:tcPr>
          <w:p>
            <w:pPr>
              <w:jc w:val="center"/>
            </w:pPr>
            <w:r/>
            <w:r>
              <w:rPr>
                <w:b w:val="0"/>
                <w:sz w:val="18"/>
              </w:rPr>
              <w:t>0.500</w:t>
            </w:r>
          </w:p>
        </w:tc>
        <w:tc>
          <w:tcPr>
            <w:tcW w:type="dxa" w:w="1327"/>
            <w:vAlign w:val="center"/>
          </w:tcPr>
          <w:p>
            <w:pPr>
              <w:jc w:val="center"/>
            </w:pPr>
            <w:r/>
            <w:r>
              <w:rPr>
                <w:b w:val="0"/>
                <w:sz w:val="18"/>
              </w:rPr>
              <w:t>0.695</w:t>
            </w:r>
          </w:p>
        </w:tc>
        <w:tc>
          <w:tcPr>
            <w:tcW w:type="dxa" w:w="1327"/>
            <w:vAlign w:val="center"/>
          </w:tcPr>
          <w:p>
            <w:pPr>
              <w:jc w:val="center"/>
            </w:pPr>
            <w:r/>
            <w:r>
              <w:rPr>
                <w:b w:val="0"/>
                <w:sz w:val="18"/>
              </w:rPr>
              <w:t>0.364</w:t>
            </w:r>
          </w:p>
        </w:tc>
      </w:tr>
      <w:tr>
        <w:tc>
          <w:tcPr>
            <w:tcW w:type="dxa" w:w="1327"/>
            <w:vAlign w:val="center"/>
          </w:tcPr>
          <w:p>
            <w:pPr>
              <w:jc w:val="center"/>
            </w:pPr>
            <w:r/>
            <w:r>
              <w:rPr>
                <w:b w:val="0"/>
                <w:sz w:val="18"/>
              </w:rPr>
              <w:t>行政</w:t>
            </w:r>
          </w:p>
        </w:tc>
        <w:tc>
          <w:tcPr>
            <w:tcW w:type="dxa" w:w="1327"/>
            <w:vAlign w:val="center"/>
          </w:tcPr>
          <w:p>
            <w:pPr>
              <w:jc w:val="center"/>
            </w:pPr>
            <w:r/>
            <w:r>
              <w:rPr>
                <w:b w:val="0"/>
                <w:sz w:val="18"/>
              </w:rPr>
              <w:t>no_leakage</w:t>
            </w:r>
          </w:p>
        </w:tc>
        <w:tc>
          <w:tcPr>
            <w:tcW w:type="dxa" w:w="1327"/>
            <w:vAlign w:val="center"/>
          </w:tcPr>
          <w:p>
            <w:pPr>
              <w:jc w:val="center"/>
            </w:pPr>
            <w:r/>
            <w:r>
              <w:rPr>
                <w:b w:val="0"/>
                <w:sz w:val="18"/>
              </w:rPr>
              <w:t>bow</w:t>
            </w:r>
          </w:p>
        </w:tc>
        <w:tc>
          <w:tcPr>
            <w:tcW w:type="dxa" w:w="1327"/>
            <w:vAlign w:val="center"/>
          </w:tcPr>
          <w:p>
            <w:pPr>
              <w:jc w:val="center"/>
            </w:pPr>
            <w:r/>
            <w:r>
              <w:rPr>
                <w:b w:val="0"/>
                <w:sz w:val="18"/>
              </w:rPr>
              <w:t>5000</w:t>
            </w:r>
          </w:p>
        </w:tc>
        <w:tc>
          <w:tcPr>
            <w:tcW w:type="dxa" w:w="1327"/>
            <w:vAlign w:val="center"/>
          </w:tcPr>
          <w:p>
            <w:pPr>
              <w:jc w:val="center"/>
            </w:pPr>
            <w:r/>
            <w:r>
              <w:rPr>
                <w:b w:val="0"/>
                <w:sz w:val="18"/>
              </w:rPr>
              <w:t>0.062</w:t>
            </w:r>
          </w:p>
        </w:tc>
        <w:tc>
          <w:tcPr>
            <w:tcW w:type="dxa" w:w="1327"/>
            <w:vAlign w:val="center"/>
          </w:tcPr>
          <w:p>
            <w:pPr>
              <w:jc w:val="center"/>
            </w:pPr>
            <w:r/>
            <w:r>
              <w:rPr>
                <w:b w:val="0"/>
                <w:sz w:val="18"/>
              </w:rPr>
              <w:t>0.875</w:t>
            </w:r>
          </w:p>
        </w:tc>
        <w:tc>
          <w:tcPr>
            <w:tcW w:type="dxa" w:w="1327"/>
            <w:vAlign w:val="center"/>
          </w:tcPr>
          <w:p>
            <w:pPr>
              <w:jc w:val="center"/>
            </w:pPr>
            <w:r/>
            <w:r>
              <w:rPr>
                <w:b w:val="0"/>
                <w:sz w:val="18"/>
              </w:rPr>
              <w:t>0.318</w:t>
            </w:r>
          </w:p>
        </w:tc>
      </w:tr>
    </w:tbl>
    <w:p/>
    <w:p>
      <w:pPr>
        <w:spacing w:line="324" w:lineRule="auto" w:after="120"/>
        <w:ind w:firstLine="420"/>
      </w:pPr>
      <w:r>
        <w:rPr>
          <w:sz w:val="22"/>
          <w:rFonts w:eastAsia="Microsoft JhengHei"/>
        </w:rPr>
        <w:t>MNIR + SVM 流程在四類資料集中的最佳 Macro F1 介於 0.318 至 0.571。刑事附帶民事資料集表現相對較佳，行政、民事與刑事資料集則因類別不平衡與少數類別樣本不足，Macro F1 顯著低於 Accuracy。</w:t>
      </w:r>
    </w:p>
    <w:p>
      <w:pPr>
        <w:pStyle w:val="Heading2"/>
      </w:pPr>
      <w:r>
        <w:rPr>
          <w:rFonts w:ascii="Calibri" w:hAnsi="Calibri" w:eastAsia="Microsoft JhengHei"/>
          <w:color w:val="1F4E79"/>
        </w:rPr>
        <w:t>4.3 Baseline 與模型比較</w:t>
      </w:r>
    </w:p>
    <w:p>
      <w:pPr>
        <w:jc w:val="center"/>
      </w:pPr>
      <w:r>
        <w:rPr>
          <w:b/>
          <w:color w:val="2D3748"/>
          <w:sz w:val="20"/>
        </w:rPr>
        <w:t>表 3 各資料集最佳模型比較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49"/>
        <w:gridCol w:w="1549"/>
        <w:gridCol w:w="1549"/>
        <w:gridCol w:w="1549"/>
        <w:gridCol w:w="1549"/>
        <w:gridCol w:w="1549"/>
      </w:tblGrid>
      <w:tr>
        <w:tc>
          <w:tcPr>
            <w:tcW w:type="dxa" w:w="1549"/>
            <w:shd w:fill="2F5597"/>
            <w:vAlign w:val="center"/>
          </w:tcPr>
          <w:p>
            <w:pPr>
              <w:jc w:val="center"/>
            </w:pPr>
            <w:r/>
            <w:r>
              <w:rPr>
                <w:b/>
                <w:color w:val="FFFFFF"/>
                <w:sz w:val="18"/>
              </w:rPr>
              <w:t>資料集</w:t>
            </w:r>
          </w:p>
        </w:tc>
        <w:tc>
          <w:tcPr>
            <w:tcW w:type="dxa" w:w="1549"/>
            <w:shd w:fill="2F5597"/>
            <w:vAlign w:val="center"/>
          </w:tcPr>
          <w:p>
            <w:pPr>
              <w:jc w:val="center"/>
            </w:pPr>
            <w:r/>
            <w:r>
              <w:rPr>
                <w:b/>
                <w:color w:val="FFFFFF"/>
                <w:sz w:val="18"/>
              </w:rPr>
              <w:t>Leakage版本</w:t>
            </w:r>
          </w:p>
        </w:tc>
        <w:tc>
          <w:tcPr>
            <w:tcW w:type="dxa" w:w="1549"/>
            <w:shd w:fill="2F5597"/>
            <w:vAlign w:val="center"/>
          </w:tcPr>
          <w:p>
            <w:pPr>
              <w:jc w:val="center"/>
            </w:pPr>
            <w:r/>
            <w:r>
              <w:rPr>
                <w:b/>
                <w:color w:val="FFFFFF"/>
                <w:sz w:val="18"/>
              </w:rPr>
              <w:t>特徵</w:t>
            </w:r>
          </w:p>
        </w:tc>
        <w:tc>
          <w:tcPr>
            <w:tcW w:type="dxa" w:w="1549"/>
            <w:shd w:fill="2F5597"/>
            <w:vAlign w:val="center"/>
          </w:tcPr>
          <w:p>
            <w:pPr>
              <w:jc w:val="center"/>
            </w:pPr>
            <w:r/>
            <w:r>
              <w:rPr>
                <w:b/>
                <w:color w:val="FFFFFF"/>
                <w:sz w:val="18"/>
              </w:rPr>
              <w:t>模型</w:t>
            </w:r>
          </w:p>
        </w:tc>
        <w:tc>
          <w:tcPr>
            <w:tcW w:type="dxa" w:w="1549"/>
            <w:shd w:fill="2F5597"/>
            <w:vAlign w:val="center"/>
          </w:tcPr>
          <w:p>
            <w:pPr>
              <w:jc w:val="center"/>
            </w:pPr>
            <w:r/>
            <w:r>
              <w:rPr>
                <w:b/>
                <w:color w:val="FFFFFF"/>
                <w:sz w:val="18"/>
              </w:rPr>
              <w:t>Accuracy</w:t>
            </w:r>
          </w:p>
        </w:tc>
        <w:tc>
          <w:tcPr>
            <w:tcW w:type="dxa" w:w="1549"/>
            <w:shd w:fill="2F5597"/>
            <w:vAlign w:val="center"/>
          </w:tcPr>
          <w:p>
            <w:pPr>
              <w:jc w:val="center"/>
            </w:pPr>
            <w:r/>
            <w:r>
              <w:rPr>
                <w:b/>
                <w:color w:val="FFFFFF"/>
                <w:sz w:val="18"/>
              </w:rPr>
              <w:t>Macro F1</w:t>
            </w:r>
          </w:p>
        </w:tc>
      </w:tr>
      <w:tr>
        <w:tc>
          <w:tcPr>
            <w:tcW w:type="dxa" w:w="1549"/>
            <w:vAlign w:val="center"/>
          </w:tcPr>
          <w:p>
            <w:pPr>
              <w:jc w:val="center"/>
            </w:pPr>
            <w:r/>
            <w:r>
              <w:rPr>
                <w:b w:val="0"/>
                <w:sz w:val="18"/>
              </w:rPr>
              <w:t>刑事</w:t>
            </w:r>
          </w:p>
        </w:tc>
        <w:tc>
          <w:tcPr>
            <w:tcW w:type="dxa" w:w="1549"/>
            <w:vAlign w:val="center"/>
          </w:tcPr>
          <w:p>
            <w:pPr>
              <w:jc w:val="center"/>
            </w:pPr>
            <w:r/>
            <w:r>
              <w:rPr>
                <w:b w:val="0"/>
                <w:sz w:val="18"/>
              </w:rPr>
              <w:t>with_leakage</w:t>
            </w:r>
          </w:p>
        </w:tc>
        <w:tc>
          <w:tcPr>
            <w:tcW w:type="dxa" w:w="1549"/>
            <w:vAlign w:val="center"/>
          </w:tcPr>
          <w:p>
            <w:pPr>
              <w:jc w:val="center"/>
            </w:pPr>
            <w:r/>
            <w:r>
              <w:rPr>
                <w:b w:val="0"/>
                <w:sz w:val="18"/>
              </w:rPr>
              <w:t>bow</w:t>
            </w:r>
          </w:p>
        </w:tc>
        <w:tc>
          <w:tcPr>
            <w:tcW w:type="dxa" w:w="1549"/>
            <w:vAlign w:val="center"/>
          </w:tcPr>
          <w:p>
            <w:pPr>
              <w:jc w:val="center"/>
            </w:pPr>
            <w:r/>
            <w:r>
              <w:rPr>
                <w:b w:val="0"/>
                <w:sz w:val="18"/>
              </w:rPr>
              <w:t>BoW + SVM</w:t>
            </w:r>
          </w:p>
        </w:tc>
        <w:tc>
          <w:tcPr>
            <w:tcW w:type="dxa" w:w="1549"/>
            <w:vAlign w:val="center"/>
          </w:tcPr>
          <w:p>
            <w:pPr>
              <w:jc w:val="center"/>
            </w:pPr>
            <w:r/>
            <w:r>
              <w:rPr>
                <w:b w:val="0"/>
                <w:sz w:val="18"/>
              </w:rPr>
              <w:t>0.947</w:t>
            </w:r>
          </w:p>
        </w:tc>
        <w:tc>
          <w:tcPr>
            <w:tcW w:type="dxa" w:w="1549"/>
            <w:vAlign w:val="center"/>
          </w:tcPr>
          <w:p>
            <w:pPr>
              <w:jc w:val="center"/>
            </w:pPr>
            <w:r/>
            <w:r>
              <w:rPr>
                <w:b w:val="0"/>
                <w:sz w:val="18"/>
              </w:rPr>
              <w:t>0.587</w:t>
            </w:r>
          </w:p>
        </w:tc>
      </w:tr>
      <w:tr>
        <w:tc>
          <w:tcPr>
            <w:tcW w:type="dxa" w:w="1549"/>
            <w:vAlign w:val="center"/>
          </w:tcPr>
          <w:p>
            <w:pPr>
              <w:jc w:val="center"/>
            </w:pPr>
            <w:r/>
            <w:r>
              <w:rPr>
                <w:b w:val="0"/>
                <w:sz w:val="18"/>
              </w:rPr>
              <w:t>刑事附帶民事</w:t>
            </w:r>
          </w:p>
        </w:tc>
        <w:tc>
          <w:tcPr>
            <w:tcW w:type="dxa" w:w="1549"/>
            <w:vAlign w:val="center"/>
          </w:tcPr>
          <w:p>
            <w:pPr>
              <w:jc w:val="center"/>
            </w:pPr>
            <w:r/>
            <w:r>
              <w:rPr>
                <w:b w:val="0"/>
                <w:sz w:val="18"/>
              </w:rPr>
              <w:t>no_leakage</w:t>
            </w:r>
          </w:p>
        </w:tc>
        <w:tc>
          <w:tcPr>
            <w:tcW w:type="dxa" w:w="1549"/>
            <w:vAlign w:val="center"/>
          </w:tcPr>
          <w:p>
            <w:pPr>
              <w:jc w:val="center"/>
            </w:pPr>
            <w:r/>
            <w:r>
              <w:rPr>
                <w:b w:val="0"/>
                <w:sz w:val="18"/>
              </w:rPr>
              <w:t>bow</w:t>
            </w:r>
          </w:p>
        </w:tc>
        <w:tc>
          <w:tcPr>
            <w:tcW w:type="dxa" w:w="1549"/>
            <w:vAlign w:val="center"/>
          </w:tcPr>
          <w:p>
            <w:pPr>
              <w:jc w:val="center"/>
            </w:pPr>
            <w:r/>
            <w:r>
              <w:rPr>
                <w:b w:val="0"/>
                <w:sz w:val="18"/>
              </w:rPr>
              <w:t>BoW + SVM</w:t>
            </w:r>
          </w:p>
        </w:tc>
        <w:tc>
          <w:tcPr>
            <w:tcW w:type="dxa" w:w="1549"/>
            <w:vAlign w:val="center"/>
          </w:tcPr>
          <w:p>
            <w:pPr>
              <w:jc w:val="center"/>
            </w:pPr>
            <w:r/>
            <w:r>
              <w:rPr>
                <w:b w:val="0"/>
                <w:sz w:val="18"/>
              </w:rPr>
              <w:t>0.854</w:t>
            </w:r>
          </w:p>
        </w:tc>
        <w:tc>
          <w:tcPr>
            <w:tcW w:type="dxa" w:w="1549"/>
            <w:vAlign w:val="center"/>
          </w:tcPr>
          <w:p>
            <w:pPr>
              <w:jc w:val="center"/>
            </w:pPr>
            <w:r/>
            <w:r>
              <w:rPr>
                <w:b w:val="0"/>
                <w:sz w:val="18"/>
              </w:rPr>
              <w:t>0.654</w:t>
            </w:r>
          </w:p>
        </w:tc>
      </w:tr>
      <w:tr>
        <w:tc>
          <w:tcPr>
            <w:tcW w:type="dxa" w:w="1549"/>
            <w:vAlign w:val="center"/>
          </w:tcPr>
          <w:p>
            <w:pPr>
              <w:jc w:val="center"/>
            </w:pPr>
            <w:r/>
            <w:r>
              <w:rPr>
                <w:b w:val="0"/>
                <w:sz w:val="18"/>
              </w:rPr>
              <w:t>民事</w:t>
            </w:r>
          </w:p>
        </w:tc>
        <w:tc>
          <w:tcPr>
            <w:tcW w:type="dxa" w:w="1549"/>
            <w:vAlign w:val="center"/>
          </w:tcPr>
          <w:p>
            <w:pPr>
              <w:jc w:val="center"/>
            </w:pPr>
            <w:r/>
            <w:r>
              <w:rPr>
                <w:b w:val="0"/>
                <w:sz w:val="18"/>
              </w:rPr>
              <w:t>with_leakage</w:t>
            </w:r>
          </w:p>
        </w:tc>
        <w:tc>
          <w:tcPr>
            <w:tcW w:type="dxa" w:w="1549"/>
            <w:vAlign w:val="center"/>
          </w:tcPr>
          <w:p>
            <w:pPr>
              <w:jc w:val="center"/>
            </w:pPr>
            <w:r/>
            <w:r>
              <w:rPr>
                <w:b w:val="0"/>
                <w:sz w:val="18"/>
              </w:rPr>
              <w:t>bow</w:t>
            </w:r>
          </w:p>
        </w:tc>
        <w:tc>
          <w:tcPr>
            <w:tcW w:type="dxa" w:w="1549"/>
            <w:vAlign w:val="center"/>
          </w:tcPr>
          <w:p>
            <w:pPr>
              <w:jc w:val="center"/>
            </w:pPr>
            <w:r/>
            <w:r>
              <w:rPr>
                <w:b w:val="0"/>
                <w:sz w:val="18"/>
              </w:rPr>
              <w:t>BoW + SVM</w:t>
            </w:r>
          </w:p>
        </w:tc>
        <w:tc>
          <w:tcPr>
            <w:tcW w:type="dxa" w:w="1549"/>
            <w:vAlign w:val="center"/>
          </w:tcPr>
          <w:p>
            <w:pPr>
              <w:jc w:val="center"/>
            </w:pPr>
            <w:r/>
            <w:r>
              <w:rPr>
                <w:b w:val="0"/>
                <w:sz w:val="18"/>
              </w:rPr>
              <w:t>0.656</w:t>
            </w:r>
          </w:p>
        </w:tc>
        <w:tc>
          <w:tcPr>
            <w:tcW w:type="dxa" w:w="1549"/>
            <w:vAlign w:val="center"/>
          </w:tcPr>
          <w:p>
            <w:pPr>
              <w:jc w:val="center"/>
            </w:pPr>
            <w:r/>
            <w:r>
              <w:rPr>
                <w:b w:val="0"/>
                <w:sz w:val="18"/>
              </w:rPr>
              <w:t>0.419</w:t>
            </w:r>
          </w:p>
        </w:tc>
      </w:tr>
      <w:tr>
        <w:tc>
          <w:tcPr>
            <w:tcW w:type="dxa" w:w="1549"/>
            <w:vAlign w:val="center"/>
          </w:tcPr>
          <w:p>
            <w:pPr>
              <w:jc w:val="center"/>
            </w:pPr>
            <w:r/>
            <w:r>
              <w:rPr>
                <w:b w:val="0"/>
                <w:sz w:val="18"/>
              </w:rPr>
              <w:t>行政</w:t>
            </w:r>
          </w:p>
        </w:tc>
        <w:tc>
          <w:tcPr>
            <w:tcW w:type="dxa" w:w="1549"/>
            <w:vAlign w:val="center"/>
          </w:tcPr>
          <w:p>
            <w:pPr>
              <w:jc w:val="center"/>
            </w:pPr>
            <w:r/>
            <w:r>
              <w:rPr>
                <w:b w:val="0"/>
                <w:sz w:val="18"/>
              </w:rPr>
              <w:t>no_leakage</w:t>
            </w:r>
          </w:p>
        </w:tc>
        <w:tc>
          <w:tcPr>
            <w:tcW w:type="dxa" w:w="1549"/>
            <w:vAlign w:val="center"/>
          </w:tcPr>
          <w:p>
            <w:pPr>
              <w:jc w:val="center"/>
            </w:pPr>
            <w:r/>
            <w:r>
              <w:rPr>
                <w:b w:val="0"/>
                <w:sz w:val="18"/>
              </w:rPr>
              <w:t>bow</w:t>
            </w:r>
          </w:p>
        </w:tc>
        <w:tc>
          <w:tcPr>
            <w:tcW w:type="dxa" w:w="1549"/>
            <w:vAlign w:val="center"/>
          </w:tcPr>
          <w:p>
            <w:pPr>
              <w:jc w:val="center"/>
            </w:pPr>
            <w:r/>
            <w:r>
              <w:rPr>
                <w:b w:val="0"/>
                <w:sz w:val="18"/>
              </w:rPr>
              <w:t>BoW + SVM</w:t>
            </w:r>
          </w:p>
        </w:tc>
        <w:tc>
          <w:tcPr>
            <w:tcW w:type="dxa" w:w="1549"/>
            <w:vAlign w:val="center"/>
          </w:tcPr>
          <w:p>
            <w:pPr>
              <w:jc w:val="center"/>
            </w:pPr>
            <w:r/>
            <w:r>
              <w:rPr>
                <w:b w:val="0"/>
                <w:sz w:val="18"/>
              </w:rPr>
              <w:t>0.828</w:t>
            </w:r>
          </w:p>
        </w:tc>
        <w:tc>
          <w:tcPr>
            <w:tcW w:type="dxa" w:w="1549"/>
            <w:vAlign w:val="center"/>
          </w:tcPr>
          <w:p>
            <w:pPr>
              <w:jc w:val="center"/>
            </w:pPr>
            <w:r/>
            <w:r>
              <w:rPr>
                <w:b w:val="0"/>
                <w:sz w:val="18"/>
              </w:rPr>
              <w:t>0.385</w:t>
            </w:r>
          </w:p>
        </w:tc>
      </w:tr>
    </w:tbl>
    <w:p/>
    <w:p>
      <w:pPr>
        <w:spacing w:line="324" w:lineRule="auto" w:after="120"/>
        <w:ind w:firstLine="420"/>
      </w:pPr>
      <w:r>
        <w:rPr>
          <w:sz w:val="22"/>
          <w:rFonts w:eastAsia="Microsoft JhengHei"/>
        </w:rPr>
        <w:t>實驗結果顯示，四類資料集之最佳 Macro F1 均由卡方特徵選擇後直接訓練 SVM 的模型取得。此結果表示，在本研究資料中，傳統稀疏詞彙特徵經適當特徵篩選後，能保留較多與判決結果相關的分類訊息；相較之下，MNIR 轉換後的特徵並未穩定改善分類效果。</w:t>
      </w:r>
    </w:p>
    <w:p>
      <w:pPr>
        <w:jc w:val="center"/>
      </w:pPr>
      <w:r>
        <w:rPr>
          <w:b/>
          <w:color w:val="2D3748"/>
          <w:sz w:val="20"/>
        </w:rPr>
        <w:t>表 4 各資料集 with-leakage 與 no-leakage 版本之最佳 Macro F1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097"/>
        <w:gridCol w:w="3097"/>
        <w:gridCol w:w="3097"/>
      </w:tblGrid>
      <w:tr>
        <w:tc>
          <w:tcPr>
            <w:tcW w:type="dxa" w:w="3097"/>
            <w:shd w:fill="2F5597"/>
            <w:vAlign w:val="center"/>
          </w:tcPr>
          <w:p>
            <w:pPr>
              <w:jc w:val="center"/>
            </w:pPr>
            <w:r/>
            <w:r>
              <w:rPr>
                <w:b/>
                <w:color w:val="FFFFFF"/>
                <w:sz w:val="18"/>
              </w:rPr>
              <w:t>資料集</w:t>
            </w:r>
          </w:p>
        </w:tc>
        <w:tc>
          <w:tcPr>
            <w:tcW w:type="dxa" w:w="3097"/>
            <w:shd w:fill="2F5597"/>
            <w:vAlign w:val="center"/>
          </w:tcPr>
          <w:p>
            <w:pPr>
              <w:jc w:val="center"/>
            </w:pPr>
            <w:r/>
            <w:r>
              <w:rPr>
                <w:b/>
                <w:color w:val="FFFFFF"/>
                <w:sz w:val="18"/>
              </w:rPr>
              <w:t>no_leakage</w:t>
            </w:r>
          </w:p>
        </w:tc>
        <w:tc>
          <w:tcPr>
            <w:tcW w:type="dxa" w:w="3097"/>
            <w:shd w:fill="2F5597"/>
            <w:vAlign w:val="center"/>
          </w:tcPr>
          <w:p>
            <w:pPr>
              <w:jc w:val="center"/>
            </w:pPr>
            <w:r/>
            <w:r>
              <w:rPr>
                <w:b/>
                <w:color w:val="FFFFFF"/>
                <w:sz w:val="18"/>
              </w:rPr>
              <w:t>with_leakage</w:t>
            </w:r>
          </w:p>
        </w:tc>
      </w:tr>
      <w:tr>
        <w:tc>
          <w:tcPr>
            <w:tcW w:type="dxa" w:w="3097"/>
            <w:vAlign w:val="center"/>
          </w:tcPr>
          <w:p>
            <w:pPr>
              <w:jc w:val="center"/>
            </w:pPr>
            <w:r/>
            <w:r>
              <w:rPr>
                <w:b w:val="0"/>
                <w:sz w:val="18"/>
              </w:rPr>
              <w:t>刑事</w:t>
            </w:r>
          </w:p>
        </w:tc>
        <w:tc>
          <w:tcPr>
            <w:tcW w:type="dxa" w:w="3097"/>
            <w:vAlign w:val="center"/>
          </w:tcPr>
          <w:p>
            <w:pPr>
              <w:jc w:val="center"/>
            </w:pPr>
            <w:r/>
            <w:r>
              <w:rPr>
                <w:b w:val="0"/>
                <w:sz w:val="18"/>
              </w:rPr>
              <w:t>0.584</w:t>
            </w:r>
          </w:p>
        </w:tc>
        <w:tc>
          <w:tcPr>
            <w:tcW w:type="dxa" w:w="3097"/>
            <w:vAlign w:val="center"/>
          </w:tcPr>
          <w:p>
            <w:pPr>
              <w:jc w:val="center"/>
            </w:pPr>
            <w:r/>
            <w:r>
              <w:rPr>
                <w:b w:val="0"/>
                <w:sz w:val="18"/>
              </w:rPr>
              <w:t>0.587</w:t>
            </w:r>
          </w:p>
        </w:tc>
      </w:tr>
      <w:tr>
        <w:tc>
          <w:tcPr>
            <w:tcW w:type="dxa" w:w="3097"/>
            <w:vAlign w:val="center"/>
          </w:tcPr>
          <w:p>
            <w:pPr>
              <w:jc w:val="center"/>
            </w:pPr>
            <w:r/>
            <w:r>
              <w:rPr>
                <w:b w:val="0"/>
                <w:sz w:val="18"/>
              </w:rPr>
              <w:t>刑事附帶民事</w:t>
            </w:r>
          </w:p>
        </w:tc>
        <w:tc>
          <w:tcPr>
            <w:tcW w:type="dxa" w:w="3097"/>
            <w:vAlign w:val="center"/>
          </w:tcPr>
          <w:p>
            <w:pPr>
              <w:jc w:val="center"/>
            </w:pPr>
            <w:r/>
            <w:r>
              <w:rPr>
                <w:b w:val="0"/>
                <w:sz w:val="18"/>
              </w:rPr>
              <w:t>0.654</w:t>
            </w:r>
          </w:p>
        </w:tc>
        <w:tc>
          <w:tcPr>
            <w:tcW w:type="dxa" w:w="3097"/>
            <w:vAlign w:val="center"/>
          </w:tcPr>
          <w:p>
            <w:pPr>
              <w:jc w:val="center"/>
            </w:pPr>
            <w:r/>
            <w:r>
              <w:rPr>
                <w:b w:val="0"/>
                <w:sz w:val="18"/>
              </w:rPr>
              <w:t>0.646</w:t>
            </w:r>
          </w:p>
        </w:tc>
      </w:tr>
      <w:tr>
        <w:tc>
          <w:tcPr>
            <w:tcW w:type="dxa" w:w="3097"/>
            <w:vAlign w:val="center"/>
          </w:tcPr>
          <w:p>
            <w:pPr>
              <w:jc w:val="center"/>
            </w:pPr>
            <w:r/>
            <w:r>
              <w:rPr>
                <w:b w:val="0"/>
                <w:sz w:val="18"/>
              </w:rPr>
              <w:t>民事</w:t>
            </w:r>
          </w:p>
        </w:tc>
        <w:tc>
          <w:tcPr>
            <w:tcW w:type="dxa" w:w="3097"/>
            <w:vAlign w:val="center"/>
          </w:tcPr>
          <w:p>
            <w:pPr>
              <w:jc w:val="center"/>
            </w:pPr>
            <w:r/>
            <w:r>
              <w:rPr>
                <w:b w:val="0"/>
                <w:sz w:val="18"/>
              </w:rPr>
              <w:t>0.403</w:t>
            </w:r>
          </w:p>
        </w:tc>
        <w:tc>
          <w:tcPr>
            <w:tcW w:type="dxa" w:w="3097"/>
            <w:vAlign w:val="center"/>
          </w:tcPr>
          <w:p>
            <w:pPr>
              <w:jc w:val="center"/>
            </w:pPr>
            <w:r/>
            <w:r>
              <w:rPr>
                <w:b w:val="0"/>
                <w:sz w:val="18"/>
              </w:rPr>
              <w:t>0.419</w:t>
            </w:r>
          </w:p>
        </w:tc>
      </w:tr>
      <w:tr>
        <w:tc>
          <w:tcPr>
            <w:tcW w:type="dxa" w:w="3097"/>
            <w:vAlign w:val="center"/>
          </w:tcPr>
          <w:p>
            <w:pPr>
              <w:jc w:val="center"/>
            </w:pPr>
            <w:r/>
            <w:r>
              <w:rPr>
                <w:b w:val="0"/>
                <w:sz w:val="18"/>
              </w:rPr>
              <w:t>行政</w:t>
            </w:r>
          </w:p>
        </w:tc>
        <w:tc>
          <w:tcPr>
            <w:tcW w:type="dxa" w:w="3097"/>
            <w:vAlign w:val="center"/>
          </w:tcPr>
          <w:p>
            <w:pPr>
              <w:jc w:val="center"/>
            </w:pPr>
            <w:r/>
            <w:r>
              <w:rPr>
                <w:b w:val="0"/>
                <w:sz w:val="18"/>
              </w:rPr>
              <w:t>0.385</w:t>
            </w:r>
          </w:p>
        </w:tc>
        <w:tc>
          <w:tcPr>
            <w:tcW w:type="dxa" w:w="3097"/>
            <w:vAlign w:val="center"/>
          </w:tcPr>
          <w:p>
            <w:pPr>
              <w:jc w:val="center"/>
            </w:pPr>
            <w:r/>
            <w:r>
              <w:rPr>
                <w:b w:val="0"/>
                <w:sz w:val="18"/>
              </w:rPr>
              <w:t>0.383</w:t>
            </w:r>
          </w:p>
        </w:tc>
      </w:tr>
    </w:tbl>
    <w:p/>
    <w:p>
      <w:pPr>
        <w:pStyle w:val="Heading2"/>
      </w:pPr>
      <w:r>
        <w:rPr>
          <w:rFonts w:ascii="Calibri" w:hAnsi="Calibri" w:eastAsia="Microsoft JhengHei"/>
          <w:color w:val="1F4E79"/>
        </w:rPr>
        <w:t>4.4 超參數敏感度與參數高原</w:t>
      </w:r>
    </w:p>
    <w:p>
      <w:pPr>
        <w:spacing w:line="324" w:lineRule="auto" w:after="120"/>
        <w:ind w:firstLine="420"/>
      </w:pPr>
      <w:r>
        <w:rPr>
          <w:sz w:val="22"/>
          <w:rFonts w:eastAsia="Microsoft JhengHei"/>
        </w:rPr>
        <w:t>本研究以 validation Macro F1 選擇卡方特徵數 K 與 SVM 參數 C，並保留完整 K × C 參數表面。參數熱圖可用於判斷模型表現是否集中於單一最佳點，或在相鄰參數區間呈現穩定高原。若高分區域較寬，代表模型對該超參數設定較不敏感；反之，若高分僅出現在單一格點，則需更謹慎解讀模型穩定性。</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chi2_k_svm_c_validation_heatmap.png"/>
                    <pic:cNvPicPr/>
                  </pic:nvPicPr>
                  <pic:blipFill>
                    <a:blip r:embed="rId9"/>
                    <a:stretch>
                      <a:fillRect/>
                    </a:stretch>
                  </pic:blipFill>
                  <pic:spPr>
                    <a:xfrm>
                      <a:off x="0" y="0"/>
                      <a:ext cx="5303520" cy="3030583"/>
                    </a:xfrm>
                    <a:prstGeom prst="rect"/>
                  </pic:spPr>
                </pic:pic>
              </a:graphicData>
            </a:graphic>
          </wp:inline>
        </w:drawing>
      </w:r>
    </w:p>
    <w:p>
      <w:pPr>
        <w:jc w:val="center"/>
      </w:pPr>
      <w:r>
        <w:rPr>
          <w:b/>
          <w:color w:val="2D3748"/>
          <w:sz w:val="20"/>
        </w:rPr>
        <w:t>圖 1 參數表面範例：Chi-square K 與 SVM C 之 Validation Macro F1</w:t>
      </w:r>
    </w:p>
    <w:p>
      <w:pPr>
        <w:jc w:val="center"/>
      </w:pPr>
      <w:r>
        <w:drawing>
          <wp:inline xmlns:a="http://schemas.openxmlformats.org/drawingml/2006/main" xmlns:pic="http://schemas.openxmlformats.org/drawingml/2006/picture">
            <wp:extent cx="5303520" cy="3636699"/>
            <wp:docPr id="2" name="Picture 2"/>
            <wp:cNvGraphicFramePr>
              <a:graphicFrameLocks noChangeAspect="1"/>
            </wp:cNvGraphicFramePr>
            <a:graphic>
              <a:graphicData uri="http://schemas.openxmlformats.org/drawingml/2006/picture">
                <pic:pic>
                  <pic:nvPicPr>
                    <pic:cNvPr id="0" name="model_comparison_test_metrics.png"/>
                    <pic:cNvPicPr/>
                  </pic:nvPicPr>
                  <pic:blipFill>
                    <a:blip r:embed="rId10"/>
                    <a:stretch>
                      <a:fillRect/>
                    </a:stretch>
                  </pic:blipFill>
                  <pic:spPr>
                    <a:xfrm>
                      <a:off x="0" y="0"/>
                      <a:ext cx="5303520" cy="3636699"/>
                    </a:xfrm>
                    <a:prstGeom prst="rect"/>
                  </pic:spPr>
                </pic:pic>
              </a:graphicData>
            </a:graphic>
          </wp:inline>
        </w:drawing>
      </w:r>
    </w:p>
    <w:p>
      <w:pPr>
        <w:jc w:val="center"/>
      </w:pPr>
      <w:r>
        <w:rPr>
          <w:b/>
          <w:color w:val="2D3748"/>
          <w:sz w:val="20"/>
        </w:rPr>
        <w:t>圖 2 模型比較範例：測試集 Accuracy 與 Macro F1</w:t>
      </w:r>
    </w:p>
    <w:p>
      <w:r>
        <w:br w:type="page"/>
      </w:r>
    </w:p>
    <w:p>
      <w:pPr>
        <w:pStyle w:val="Heading2"/>
      </w:pPr>
      <w:r>
        <w:rPr>
          <w:rFonts w:ascii="Calibri" w:hAnsi="Calibri" w:eastAsia="Microsoft JhengHei"/>
          <w:color w:val="1F4E79"/>
        </w:rPr>
        <w:t>4.5 混淆矩陣分析</w:t>
      </w:r>
    </w:p>
    <w:p>
      <w:pPr>
        <w:spacing w:line="324" w:lineRule="auto" w:after="120"/>
        <w:ind w:firstLine="420"/>
      </w:pPr>
      <w:r>
        <w:rPr>
          <w:sz w:val="22"/>
          <w:rFonts w:eastAsia="Microsoft JhengHei"/>
        </w:rPr>
        <w:t>混淆矩陣可進一步檢視模型錯誤型態。由於多數資料集中 Lose 類別樣本較多，模型可能傾向將少數類別 Win 或 Mixed 誤判為 Lose。此現象說明在法律判決預測任務中，僅改善整體準確率不足以代表模型具有均衡分類能力，後續研究應進一步考慮類別權重、重抽樣或代價敏感學習。</w:t>
      </w:r>
    </w:p>
    <w:p>
      <w:pPr>
        <w:jc w:val="center"/>
      </w:pPr>
      <w:r>
        <w:drawing>
          <wp:inline xmlns:a="http://schemas.openxmlformats.org/drawingml/2006/main" xmlns:pic="http://schemas.openxmlformats.org/drawingml/2006/picture">
            <wp:extent cx="4846320" cy="4038600"/>
            <wp:docPr id="3" name="Picture 3"/>
            <wp:cNvGraphicFramePr>
              <a:graphicFrameLocks noChangeAspect="1"/>
            </wp:cNvGraphicFramePr>
            <a:graphic>
              <a:graphicData uri="http://schemas.openxmlformats.org/drawingml/2006/picture">
                <pic:pic>
                  <pic:nvPicPr>
                    <pic:cNvPr id="0" name="final_confusion_matrix.png"/>
                    <pic:cNvPicPr/>
                  </pic:nvPicPr>
                  <pic:blipFill>
                    <a:blip r:embed="rId11"/>
                    <a:stretch>
                      <a:fillRect/>
                    </a:stretch>
                  </pic:blipFill>
                  <pic:spPr>
                    <a:xfrm>
                      <a:off x="0" y="0"/>
                      <a:ext cx="4846320" cy="4038600"/>
                    </a:xfrm>
                    <a:prstGeom prst="rect"/>
                  </pic:spPr>
                </pic:pic>
              </a:graphicData>
            </a:graphic>
          </wp:inline>
        </w:drawing>
      </w:r>
    </w:p>
    <w:p>
      <w:pPr>
        <w:jc w:val="center"/>
      </w:pPr>
      <w:r>
        <w:rPr>
          <w:b/>
          <w:color w:val="2D3748"/>
          <w:sz w:val="20"/>
        </w:rPr>
        <w:t>圖 3 最佳模型範例之測試集混淆矩陣</w:t>
      </w:r>
    </w:p>
    <w:p>
      <w:pPr>
        <w:pStyle w:val="Heading1"/>
      </w:pPr>
      <w:r>
        <w:rPr>
          <w:rFonts w:ascii="Calibri" w:hAnsi="Calibri" w:eastAsia="Microsoft JhengHei"/>
          <w:color w:val="1F4E79"/>
        </w:rPr>
        <w:t>第五章 討論</w:t>
      </w:r>
    </w:p>
    <w:p>
      <w:pPr>
        <w:pStyle w:val="Heading2"/>
      </w:pPr>
      <w:r>
        <w:rPr>
          <w:rFonts w:ascii="Calibri" w:hAnsi="Calibri" w:eastAsia="Microsoft JhengHei"/>
          <w:color w:val="1F4E79"/>
        </w:rPr>
        <w:t>5.1 主要發現</w:t>
      </w:r>
    </w:p>
    <w:p>
      <w:pPr>
        <w:spacing w:line="324" w:lineRule="auto" w:after="120"/>
        <w:ind w:firstLine="420"/>
      </w:pPr>
      <w:r>
        <w:rPr>
          <w:sz w:val="22"/>
          <w:rFonts w:eastAsia="Microsoft JhengHei"/>
        </w:rPr>
        <w:t>本研究主要發現有三點。第一，智慧財產權判決資料存在嚴重類別不平衡，Accuracy 高低不能單獨代表分類品質。第二，卡方特徵選擇與 SVM 組成的傳統文字分類流程在本資料上具備強競爭力，且在四類資料集中均優於 MNIR + SVM 流程。第三，移除 outcome leakage 後，部分資料集表現下降但並非一致，顯示結果洩漏詞彙對不同案件類型與特徵表示的影響程度有所差異。</w:t>
      </w:r>
    </w:p>
    <w:p>
      <w:pPr>
        <w:pStyle w:val="Heading2"/>
      </w:pPr>
      <w:r>
        <w:rPr>
          <w:rFonts w:ascii="Calibri" w:hAnsi="Calibri" w:eastAsia="Microsoft JhengHei"/>
          <w:color w:val="1F4E79"/>
        </w:rPr>
        <w:t>5.2 MNIR 未優於 Baseline 之可能原因</w:t>
      </w:r>
    </w:p>
    <w:p>
      <w:pPr>
        <w:spacing w:line="324" w:lineRule="auto" w:after="120"/>
        <w:ind w:firstLine="420"/>
      </w:pPr>
      <w:r>
        <w:rPr>
          <w:sz w:val="22"/>
          <w:rFonts w:eastAsia="Microsoft JhengHei"/>
        </w:rPr>
        <w:t>MNIR 特徵轉換未能優於直接使用卡方篩選後稀疏特徵，可能有數個原因。首先，法律判決結果與特定詞彙或片語之關聯可能已能由高維稀疏特徵直接捕捉，轉換後反而損失細部訊息。其次，少數類別樣本過少，使監督式特徵轉換難以穩定學習類別差異。最後，不同案件類型的裁判語言結構差異大，單一轉換流程未必適合所有資料集。</w:t>
      </w:r>
    </w:p>
    <w:p>
      <w:pPr>
        <w:pStyle w:val="Heading2"/>
      </w:pPr>
      <w:r>
        <w:rPr>
          <w:rFonts w:ascii="Calibri" w:hAnsi="Calibri" w:eastAsia="Microsoft JhengHei"/>
          <w:color w:val="1F4E79"/>
        </w:rPr>
        <w:t>5.3 實務與研究意涵</w:t>
      </w:r>
    </w:p>
    <w:p>
      <w:pPr>
        <w:spacing w:line="324" w:lineRule="auto" w:after="120"/>
        <w:ind w:firstLine="420"/>
      </w:pPr>
      <w:r>
        <w:rPr>
          <w:sz w:val="22"/>
          <w:rFonts w:eastAsia="Microsoft JhengHei"/>
        </w:rPr>
        <w:t>本研究結果提醒，在法律文本機器學習任務中，較複雜的特徵轉換方法不必然優於簡潔且可解釋的傳統模型。對於研究者而言，建立完整 baseline、保留參數選擇紀錄並以 Macro F1 與混淆矩陣檢驗模型，是避免過度解讀模型表現的重要步驟。對實務應用而言，模型輸出應被視為案件文本分析輔助，而非對個案結果之法律預測或判斷。</w:t>
      </w:r>
    </w:p>
    <w:p>
      <w:pPr>
        <w:pStyle w:val="Heading2"/>
      </w:pPr>
      <w:r>
        <w:rPr>
          <w:rFonts w:ascii="Calibri" w:hAnsi="Calibri" w:eastAsia="Microsoft JhengHei"/>
          <w:color w:val="1F4E79"/>
        </w:rPr>
        <w:t>5.4 研究限制</w:t>
      </w:r>
    </w:p>
    <w:p>
      <w:pPr>
        <w:spacing w:line="324" w:lineRule="auto" w:after="120"/>
        <w:ind w:firstLine="420"/>
      </w:pPr>
      <w:r>
        <w:rPr>
          <w:sz w:val="22"/>
          <w:rFonts w:eastAsia="Microsoft JhengHei"/>
        </w:rPr>
        <w:t>本研究仍有數項限制。第一，裁判結果標籤由規則與人工例外修正產生，仍需進一步抽樣驗證標籤正確性。第二，本文尚未納入深度語言模型或法律專用語言模型，因此無法比較傳統模型與預訓練模型之差異。第三，本研究以三類結果標籤為主，尚未細緻處理和解、發回、更審或程序性駁回等法律結果。第四，各案件類型之樣本數與類別比例差異大，模型比較仍受資料結構影響。</w:t>
      </w:r>
    </w:p>
    <w:p>
      <w:pPr>
        <w:pStyle w:val="Heading1"/>
      </w:pPr>
      <w:r>
        <w:rPr>
          <w:rFonts w:ascii="Calibri" w:hAnsi="Calibri" w:eastAsia="Microsoft JhengHei"/>
          <w:color w:val="1F4E79"/>
        </w:rPr>
        <w:t>第六章 結論與未來研究</w:t>
      </w:r>
    </w:p>
    <w:p>
      <w:pPr>
        <w:spacing w:line="324" w:lineRule="auto" w:after="120"/>
        <w:ind w:firstLine="420"/>
      </w:pPr>
      <w:r>
        <w:rPr>
          <w:sz w:val="22"/>
          <w:rFonts w:eastAsia="Microsoft JhengHei"/>
        </w:rPr>
        <w:t>本研究建立一套智慧財產權判決書文字分析與勝敗訴分類流程，涵蓋判決資料前處理、中文斷詞、DTM 特徵建構、卡方特徵選擇、SVM 分類、MNIR 特徵轉換與完整模型評估。實驗結果顯示，在目前資料與設定下，卡方特徵選擇後之 SVM baseline 整體表現優於 MNIR + SVM，尤其在 Macro F1 指標上更能反映少數類別分類能力。</w:t>
      </w:r>
    </w:p>
    <w:p>
      <w:pPr>
        <w:spacing w:line="324" w:lineRule="auto" w:after="120"/>
        <w:ind w:firstLine="420"/>
      </w:pPr>
      <w:r>
        <w:rPr>
          <w:sz w:val="22"/>
          <w:rFonts w:eastAsia="Microsoft JhengHei"/>
        </w:rPr>
        <w:t>未來研究可從四個方向延伸。第一，進行更嚴謹的標籤抽樣檢查與錯誤分析。第二，加入 class weighting、重抽樣或 focal loss 等方法處理類別不平衡。第三，嘗試法律語言模型或中文預訓練模型，比較其與傳統稀疏特徵模型的差異。第四，將模型解釋方法納入分析，例如檢視高卡方詞彙、SVM 權重或 SHAP 值，以提升法律文本分類結果的可解釋性。</w:t>
      </w:r>
    </w:p>
    <w:p>
      <w:pPr>
        <w:pStyle w:val="Heading1"/>
      </w:pPr>
      <w:r>
        <w:rPr>
          <w:rFonts w:ascii="Calibri" w:hAnsi="Calibri" w:eastAsia="Microsoft JhengHei"/>
          <w:color w:val="1F4E79"/>
        </w:rPr>
        <w:t>參考文獻（待補）</w:t>
      </w:r>
    </w:p>
    <w:p>
      <w:pPr>
        <w:ind w:left="454" w:hanging="454"/>
      </w:pPr>
      <w:r>
        <w:t>［待補］法律文本探勘與裁判預測相關文獻。</w:t>
      </w:r>
    </w:p>
    <w:p>
      <w:pPr>
        <w:ind w:left="454" w:hanging="454"/>
      </w:pPr>
      <w:r>
        <w:t>［待補］SVM 與傳統文字分類方法相關文獻。</w:t>
      </w:r>
    </w:p>
    <w:p>
      <w:pPr>
        <w:ind w:left="454" w:hanging="454"/>
      </w:pPr>
      <w:r>
        <w:t>［待補］卡方特徵選擇、TF-IDF 與中文斷詞相關文獻。</w:t>
      </w:r>
    </w:p>
    <w:p>
      <w:pPr>
        <w:ind w:left="454" w:hanging="454"/>
      </w:pPr>
      <w:r>
        <w:t>［待補］MNIR 或監督式文字特徵轉換相關文獻。</w:t>
      </w:r>
    </w:p>
    <w:p>
      <w:pPr>
        <w:pStyle w:val="Heading1"/>
      </w:pPr>
      <w:r>
        <w:rPr>
          <w:rFonts w:ascii="Calibri" w:hAnsi="Calibri" w:eastAsia="Microsoft JhengHei"/>
          <w:color w:val="1F4E79"/>
        </w:rPr>
        <w:t>附錄：待確認事項</w:t>
      </w:r>
    </w:p>
    <w:p>
      <w:pPr>
        <w:pStyle w:val="ListBullet"/>
      </w:pPr>
      <w:r>
        <w:t>正式論文題名、作者姓名、學校、系所與指導教授資訊。</w:t>
      </w:r>
    </w:p>
    <w:p>
      <w:pPr>
        <w:pStyle w:val="ListBullet"/>
      </w:pPr>
      <w:r>
        <w:t>學校規定之頁面格式、摘要格式、章節編號與參考文獻格式。</w:t>
      </w:r>
    </w:p>
    <w:p>
      <w:pPr>
        <w:pStyle w:val="ListBullet"/>
      </w:pPr>
      <w:r>
        <w:t>是否需要加入英文摘要與英文關鍵字。</w:t>
      </w:r>
    </w:p>
    <w:p>
      <w:pPr>
        <w:pStyle w:val="ListBullet"/>
      </w:pPr>
      <w:r>
        <w:t>是否要以 BoW + SVM 作為主模型，將 MNIR + SVM 放入消融比較。</w:t>
      </w:r>
    </w:p>
    <w:p>
      <w:pPr>
        <w:pStyle w:val="ListBullet"/>
      </w:pPr>
      <w:r>
        <w:t>是否需要補入完整四類資料集之混淆矩陣與參數熱圖作為附錄。</w:t>
      </w:r>
    </w:p>
    <w:p>
      <w:pPr>
        <w:pStyle w:val="ListBullet"/>
      </w:pPr>
      <w:r>
        <w:t>文獻回顧需補入之指定文獻清單。</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