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73348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5B37D3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1D7237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65782B1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4E1A57F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3AE730E"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680BA60"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612E672"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E1F8066"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6C134151"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9BD9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3A720D6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AD781E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489FC48D"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Bag-of-Words, BoW</w:t>
      </w:r>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25ECF58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2</w:t>
      </w:r>
    </w:p>
    <w:p w14:paraId="0E943C40"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Abstract</w:t>
      </w:r>
      <w:r>
        <w:rPr>
          <w:rFonts w:ascii="Times New Roman" w:eastAsia="DFKai-SB" w:hAnsi="Times New Roman" w:cs="Times New Roman"/>
          <w:b w:val="0"/>
          <w:color w:val="auto"/>
          <w:sz w:val="24"/>
          <w:szCs w:val="28"/>
        </w:rPr>
        <w:tab/>
        <w:t>4</w:t>
      </w:r>
    </w:p>
    <w:p w14:paraId="67D80E8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表目錄</w:t>
      </w:r>
      <w:r>
        <w:rPr>
          <w:rFonts w:ascii="Times New Roman" w:eastAsia="DFKai-SB" w:hAnsi="Times New Roman" w:cs="Times New Roman"/>
          <w:b w:val="0"/>
          <w:color w:val="auto"/>
          <w:sz w:val="24"/>
          <w:szCs w:val="28"/>
        </w:rPr>
        <w:tab/>
        <w:t>9</w:t>
      </w:r>
    </w:p>
    <w:p w14:paraId="66B35D5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圖目錄</w:t>
      </w:r>
      <w:r>
        <w:rPr>
          <w:rFonts w:ascii="Times New Roman" w:eastAsia="DFKai-SB" w:hAnsi="Times New Roman" w:cs="Times New Roman"/>
          <w:b w:val="0"/>
          <w:color w:val="auto"/>
          <w:sz w:val="24"/>
          <w:szCs w:val="28"/>
        </w:rPr>
        <w:tab/>
        <w:t>10</w:t>
      </w:r>
    </w:p>
    <w:p w14:paraId="0A10A0D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第一章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緒論</w:t>
      </w:r>
      <w:r>
        <w:rPr>
          <w:rFonts w:ascii="Times New Roman" w:eastAsia="DFKai-SB" w:hAnsi="Times New Roman" w:cs="Times New Roman"/>
          <w:b w:val="0"/>
          <w:color w:val="auto"/>
          <w:sz w:val="24"/>
          <w:szCs w:val="28"/>
        </w:rPr>
        <w:tab/>
        <w:t>11</w:t>
      </w:r>
    </w:p>
    <w:p w14:paraId="3AF6D722"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1.1 </w:t>
      </w:r>
      <w:r>
        <w:rPr>
          <w:rFonts w:ascii="Times New Roman" w:eastAsia="DFKai-SB" w:hAnsi="Times New Roman" w:cs="Times New Roman"/>
          <w:b w:val="0"/>
          <w:color w:val="auto"/>
          <w:sz w:val="24"/>
          <w:szCs w:val="28"/>
        </w:rPr>
        <w:t>研究背景與動機</w:t>
      </w:r>
      <w:r>
        <w:rPr>
          <w:rFonts w:ascii="Times New Roman" w:eastAsia="DFKai-SB" w:hAnsi="Times New Roman" w:cs="Times New Roman"/>
          <w:b w:val="0"/>
          <w:color w:val="auto"/>
          <w:sz w:val="24"/>
          <w:szCs w:val="28"/>
        </w:rPr>
        <w:tab/>
        <w:t>11</w:t>
      </w:r>
    </w:p>
    <w:p w14:paraId="2AA7FF5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1.2 </w:t>
      </w:r>
      <w:r>
        <w:rPr>
          <w:rFonts w:ascii="Times New Roman" w:eastAsia="DFKai-SB" w:hAnsi="Times New Roman" w:cs="Times New Roman"/>
          <w:b w:val="0"/>
          <w:color w:val="auto"/>
          <w:sz w:val="24"/>
          <w:szCs w:val="28"/>
        </w:rPr>
        <w:t>研究目的</w:t>
      </w:r>
      <w:r>
        <w:rPr>
          <w:rFonts w:ascii="Times New Roman" w:eastAsia="DFKai-SB" w:hAnsi="Times New Roman" w:cs="Times New Roman"/>
          <w:b w:val="0"/>
          <w:color w:val="auto"/>
          <w:sz w:val="24"/>
          <w:szCs w:val="28"/>
        </w:rPr>
        <w:tab/>
        <w:t>13</w:t>
      </w:r>
    </w:p>
    <w:p w14:paraId="09FB1A6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1.3 </w:t>
      </w:r>
      <w:r>
        <w:rPr>
          <w:rFonts w:ascii="Times New Roman" w:eastAsia="DFKai-SB" w:hAnsi="Times New Roman" w:cs="Times New Roman"/>
          <w:b w:val="0"/>
          <w:color w:val="auto"/>
          <w:sz w:val="24"/>
          <w:szCs w:val="28"/>
        </w:rPr>
        <w:t>研究問題</w:t>
      </w:r>
      <w:r>
        <w:rPr>
          <w:rFonts w:ascii="Times New Roman" w:eastAsia="DFKai-SB" w:hAnsi="Times New Roman" w:cs="Times New Roman"/>
          <w:b w:val="0"/>
          <w:color w:val="auto"/>
          <w:sz w:val="24"/>
          <w:szCs w:val="28"/>
        </w:rPr>
        <w:tab/>
        <w:t>14</w:t>
      </w:r>
    </w:p>
    <w:p w14:paraId="01308F9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1.4 </w:t>
      </w:r>
      <w:r>
        <w:rPr>
          <w:rFonts w:ascii="Times New Roman" w:eastAsia="DFKai-SB" w:hAnsi="Times New Roman" w:cs="Times New Roman"/>
          <w:b w:val="0"/>
          <w:color w:val="auto"/>
          <w:sz w:val="24"/>
          <w:szCs w:val="28"/>
        </w:rPr>
        <w:t>研究定位與論文架構</w:t>
      </w:r>
      <w:r>
        <w:rPr>
          <w:rFonts w:ascii="Times New Roman" w:eastAsia="DFKai-SB" w:hAnsi="Times New Roman" w:cs="Times New Roman"/>
          <w:b w:val="0"/>
          <w:color w:val="auto"/>
          <w:sz w:val="24"/>
          <w:szCs w:val="28"/>
        </w:rPr>
        <w:tab/>
        <w:t>14</w:t>
      </w:r>
    </w:p>
    <w:p w14:paraId="3F00D00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第二章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文獻回顧</w:t>
      </w:r>
      <w:r>
        <w:rPr>
          <w:rFonts w:ascii="Times New Roman" w:eastAsia="DFKai-SB" w:hAnsi="Times New Roman" w:cs="Times New Roman"/>
          <w:b w:val="0"/>
          <w:color w:val="auto"/>
          <w:sz w:val="24"/>
          <w:szCs w:val="28"/>
        </w:rPr>
        <w:tab/>
        <w:t>15</w:t>
      </w:r>
    </w:p>
    <w:p w14:paraId="1D3A2771"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2.1 </w:t>
      </w:r>
      <w:r>
        <w:rPr>
          <w:rFonts w:ascii="Times New Roman" w:eastAsia="DFKai-SB" w:hAnsi="Times New Roman" w:cs="Times New Roman"/>
          <w:b w:val="0"/>
          <w:color w:val="auto"/>
          <w:sz w:val="24"/>
          <w:szCs w:val="28"/>
        </w:rPr>
        <w:t>前言</w:t>
      </w:r>
      <w:r>
        <w:rPr>
          <w:rFonts w:ascii="Times New Roman" w:eastAsia="DFKai-SB" w:hAnsi="Times New Roman" w:cs="Times New Roman"/>
          <w:b w:val="0"/>
          <w:color w:val="auto"/>
          <w:sz w:val="24"/>
          <w:szCs w:val="28"/>
        </w:rPr>
        <w:tab/>
        <w:t>15</w:t>
      </w:r>
    </w:p>
    <w:p w14:paraId="5B07D92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2.2 </w:t>
      </w:r>
      <w:r>
        <w:rPr>
          <w:rFonts w:ascii="Times New Roman" w:eastAsia="DFKai-SB" w:hAnsi="Times New Roman" w:cs="Times New Roman"/>
          <w:b w:val="0"/>
          <w:color w:val="auto"/>
          <w:sz w:val="24"/>
          <w:szCs w:val="28"/>
        </w:rPr>
        <w:t>實證法律研究與量化分析的發展</w:t>
      </w:r>
      <w:r>
        <w:rPr>
          <w:rFonts w:ascii="Times New Roman" w:eastAsia="DFKai-SB" w:hAnsi="Times New Roman" w:cs="Times New Roman"/>
          <w:b w:val="0"/>
          <w:color w:val="auto"/>
          <w:sz w:val="24"/>
          <w:szCs w:val="28"/>
        </w:rPr>
        <w:tab/>
        <w:t>15</w:t>
      </w:r>
    </w:p>
    <w:p w14:paraId="572211A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2.3 </w:t>
      </w:r>
      <w:r>
        <w:rPr>
          <w:rFonts w:ascii="Times New Roman" w:eastAsia="DFKai-SB" w:hAnsi="Times New Roman" w:cs="Times New Roman"/>
          <w:b w:val="0"/>
          <w:color w:val="auto"/>
          <w:sz w:val="24"/>
          <w:szCs w:val="28"/>
        </w:rPr>
        <w:t>法律文本之特徵表示：</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TF-IDF</w:t>
      </w:r>
      <w:r>
        <w:rPr>
          <w:rFonts w:ascii="Times New Roman" w:eastAsia="DFKai-SB" w:hAnsi="Times New Roman" w:cs="Times New Roman"/>
          <w:b w:val="0"/>
          <w:color w:val="auto"/>
          <w:sz w:val="24"/>
          <w:szCs w:val="28"/>
        </w:rPr>
        <w:tab/>
        <w:t>16</w:t>
      </w:r>
    </w:p>
    <w:p w14:paraId="510CB3E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2.4 </w:t>
      </w:r>
      <w:r>
        <w:rPr>
          <w:rFonts w:ascii="Times New Roman" w:eastAsia="DFKai-SB" w:hAnsi="Times New Roman" w:cs="Times New Roman"/>
          <w:b w:val="0"/>
          <w:color w:val="auto"/>
          <w:sz w:val="24"/>
          <w:szCs w:val="28"/>
        </w:rPr>
        <w:t>預測模型建構與可解釋性之必要性</w:t>
      </w:r>
      <w:r>
        <w:rPr>
          <w:rFonts w:ascii="Times New Roman" w:eastAsia="DFKai-SB" w:hAnsi="Times New Roman" w:cs="Times New Roman"/>
          <w:b w:val="0"/>
          <w:color w:val="auto"/>
          <w:sz w:val="24"/>
          <w:szCs w:val="28"/>
        </w:rPr>
        <w:tab/>
        <w:t>17</w:t>
      </w:r>
    </w:p>
    <w:p w14:paraId="6F5F46A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2.5 MNIR </w:t>
      </w:r>
      <w:r>
        <w:rPr>
          <w:rFonts w:ascii="Times New Roman" w:eastAsia="DFKai-SB" w:hAnsi="Times New Roman" w:cs="Times New Roman"/>
          <w:b w:val="0"/>
          <w:color w:val="auto"/>
          <w:sz w:val="24"/>
          <w:szCs w:val="28"/>
        </w:rPr>
        <w:t>監督式特徵轉換與本研究定位</w:t>
      </w:r>
      <w:r>
        <w:rPr>
          <w:rFonts w:ascii="Times New Roman" w:eastAsia="DFKai-SB" w:hAnsi="Times New Roman" w:cs="Times New Roman"/>
          <w:b w:val="0"/>
          <w:color w:val="auto"/>
          <w:sz w:val="24"/>
          <w:szCs w:val="28"/>
        </w:rPr>
        <w:tab/>
        <w:t>18</w:t>
      </w:r>
    </w:p>
    <w:p w14:paraId="3526D1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2.6 </w:t>
      </w:r>
      <w:r>
        <w:rPr>
          <w:rFonts w:ascii="Times New Roman" w:eastAsia="DFKai-SB" w:hAnsi="Times New Roman" w:cs="Times New Roman"/>
          <w:b w:val="0"/>
          <w:color w:val="auto"/>
          <w:sz w:val="24"/>
          <w:szCs w:val="28"/>
        </w:rPr>
        <w:t>總結與研究缺口</w:t>
      </w:r>
      <w:r>
        <w:rPr>
          <w:rFonts w:ascii="Times New Roman" w:eastAsia="DFKai-SB" w:hAnsi="Times New Roman" w:cs="Times New Roman"/>
          <w:b w:val="0"/>
          <w:color w:val="auto"/>
          <w:sz w:val="24"/>
          <w:szCs w:val="28"/>
        </w:rPr>
        <w:tab/>
        <w:t>19</w:t>
      </w:r>
    </w:p>
    <w:p w14:paraId="2D30E1A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第三章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研究方法與資料</w:t>
      </w:r>
      <w:r>
        <w:rPr>
          <w:rFonts w:ascii="Times New Roman" w:eastAsia="DFKai-SB" w:hAnsi="Times New Roman" w:cs="Times New Roman"/>
          <w:b w:val="0"/>
          <w:color w:val="auto"/>
          <w:sz w:val="24"/>
          <w:szCs w:val="28"/>
        </w:rPr>
        <w:tab/>
        <w:t>20</w:t>
      </w:r>
    </w:p>
    <w:p w14:paraId="474CE2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B8B395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3.2 </w:t>
      </w:r>
      <w:r>
        <w:rPr>
          <w:rFonts w:ascii="Times New Roman" w:eastAsia="DFKai-SB" w:hAnsi="Times New Roman" w:cs="Times New Roman"/>
          <w:b w:val="0"/>
          <w:color w:val="auto"/>
          <w:sz w:val="24"/>
          <w:szCs w:val="28"/>
        </w:rPr>
        <w:t>資料獲取與前處理</w:t>
      </w:r>
      <w:r>
        <w:rPr>
          <w:rFonts w:ascii="Times New Roman" w:eastAsia="DFKai-SB" w:hAnsi="Times New Roman" w:cs="Times New Roman"/>
          <w:b w:val="0"/>
          <w:color w:val="auto"/>
          <w:sz w:val="24"/>
          <w:szCs w:val="28"/>
        </w:rPr>
        <w:tab/>
        <w:t>21</w:t>
      </w:r>
    </w:p>
    <w:p w14:paraId="5723B16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3.3 </w:t>
      </w:r>
      <w:r>
        <w:rPr>
          <w:rFonts w:ascii="Times New Roman" w:eastAsia="DFKai-SB" w:hAnsi="Times New Roman" w:cs="Times New Roman"/>
          <w:b w:val="0"/>
          <w:color w:val="auto"/>
          <w:sz w:val="24"/>
          <w:szCs w:val="28"/>
        </w:rPr>
        <w:t>智慧財產權案件篩選與文本前處理</w:t>
      </w:r>
      <w:r>
        <w:rPr>
          <w:rFonts w:ascii="Times New Roman" w:eastAsia="DFKai-SB" w:hAnsi="Times New Roman" w:cs="Times New Roman"/>
          <w:b w:val="0"/>
          <w:color w:val="auto"/>
          <w:sz w:val="24"/>
          <w:szCs w:val="28"/>
        </w:rPr>
        <w:tab/>
        <w:t>21</w:t>
      </w:r>
    </w:p>
    <w:p w14:paraId="0F5954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 </w:t>
      </w:r>
      <w:r>
        <w:rPr>
          <w:rFonts w:ascii="Times New Roman" w:eastAsia="DFKai-SB" w:hAnsi="Times New Roman" w:cs="Times New Roman"/>
          <w:b w:val="0"/>
          <w:color w:val="auto"/>
          <w:sz w:val="24"/>
          <w:szCs w:val="28"/>
        </w:rPr>
        <w:t>樣本篩選、標籤整理與樣本分布</w:t>
      </w:r>
      <w:r>
        <w:rPr>
          <w:rFonts w:ascii="Times New Roman" w:eastAsia="DFKai-SB" w:hAnsi="Times New Roman" w:cs="Times New Roman"/>
          <w:b w:val="0"/>
          <w:color w:val="auto"/>
          <w:sz w:val="24"/>
          <w:szCs w:val="28"/>
        </w:rPr>
        <w:tab/>
        <w:t>22</w:t>
      </w:r>
    </w:p>
    <w:p w14:paraId="70F925F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3.4.1 </w:t>
      </w:r>
      <w:r>
        <w:rPr>
          <w:rFonts w:ascii="Times New Roman" w:eastAsia="DFKai-SB" w:hAnsi="Times New Roman" w:cs="Times New Roman"/>
          <w:b w:val="0"/>
          <w:color w:val="auto"/>
          <w:sz w:val="24"/>
          <w:szCs w:val="28"/>
        </w:rPr>
        <w:t>案件類型之法律性質</w:t>
      </w:r>
      <w:r>
        <w:rPr>
          <w:rFonts w:ascii="Times New Roman" w:eastAsia="DFKai-SB" w:hAnsi="Times New Roman" w:cs="Times New Roman"/>
          <w:b w:val="0"/>
          <w:color w:val="auto"/>
          <w:sz w:val="24"/>
          <w:szCs w:val="28"/>
        </w:rPr>
        <w:tab/>
        <w:t>22</w:t>
      </w:r>
    </w:p>
    <w:p w14:paraId="2132995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3.4.2 </w:t>
      </w:r>
      <w:r>
        <w:rPr>
          <w:rFonts w:ascii="Times New Roman" w:eastAsia="DFKai-SB" w:hAnsi="Times New Roman" w:cs="Times New Roman"/>
          <w:b w:val="0"/>
          <w:color w:val="auto"/>
          <w:sz w:val="24"/>
          <w:szCs w:val="28"/>
        </w:rPr>
        <w:t>樣本篩選與標籤整理</w:t>
      </w:r>
      <w:r>
        <w:rPr>
          <w:rFonts w:ascii="Times New Roman" w:eastAsia="DFKai-SB" w:hAnsi="Times New Roman" w:cs="Times New Roman"/>
          <w:b w:val="0"/>
          <w:color w:val="auto"/>
          <w:sz w:val="24"/>
          <w:szCs w:val="28"/>
        </w:rPr>
        <w:tab/>
        <w:t>24</w:t>
      </w:r>
    </w:p>
    <w:p w14:paraId="2D31C7B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3.4.3 </w:t>
      </w:r>
      <w:r>
        <w:rPr>
          <w:rFonts w:ascii="Times New Roman" w:eastAsia="DFKai-SB" w:hAnsi="Times New Roman" w:cs="Times New Roman"/>
          <w:b w:val="0"/>
          <w:color w:val="auto"/>
          <w:sz w:val="24"/>
          <w:szCs w:val="28"/>
        </w:rPr>
        <w:t>樣本分布</w:t>
      </w:r>
      <w:r>
        <w:rPr>
          <w:rFonts w:ascii="Times New Roman" w:eastAsia="DFKai-SB" w:hAnsi="Times New Roman" w:cs="Times New Roman"/>
          <w:b w:val="0"/>
          <w:color w:val="auto"/>
          <w:sz w:val="24"/>
          <w:szCs w:val="28"/>
        </w:rPr>
        <w:tab/>
        <w:t>25</w:t>
      </w:r>
    </w:p>
    <w:p w14:paraId="69C7B64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3.4.4 </w:t>
      </w:r>
      <w:r>
        <w:rPr>
          <w:rFonts w:ascii="Times New Roman" w:eastAsia="DFKai-SB" w:hAnsi="Times New Roman" w:cs="Times New Roman"/>
          <w:b w:val="0"/>
          <w:color w:val="auto"/>
          <w:sz w:val="24"/>
          <w:szCs w:val="28"/>
        </w:rPr>
        <w:t>不同案件類型之代表性詞彙分布</w:t>
      </w:r>
      <w:r>
        <w:rPr>
          <w:rFonts w:ascii="Times New Roman" w:eastAsia="DFKai-SB" w:hAnsi="Times New Roman" w:cs="Times New Roman"/>
          <w:b w:val="0"/>
          <w:color w:val="auto"/>
          <w:sz w:val="24"/>
          <w:szCs w:val="28"/>
        </w:rPr>
        <w:tab/>
        <w:t>28</w:t>
      </w:r>
    </w:p>
    <w:p w14:paraId="2DA7E8B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 </w:t>
      </w:r>
      <w:r>
        <w:rPr>
          <w:rFonts w:ascii="Times New Roman" w:eastAsia="DFKai-SB" w:hAnsi="Times New Roman" w:cs="Times New Roman"/>
          <w:b w:val="0"/>
          <w:color w:val="auto"/>
          <w:sz w:val="24"/>
          <w:szCs w:val="28"/>
        </w:rPr>
        <w:t>文字特徵建構</w:t>
      </w:r>
      <w:r>
        <w:rPr>
          <w:rFonts w:ascii="Times New Roman" w:eastAsia="DFKai-SB" w:hAnsi="Times New Roman" w:cs="Times New Roman"/>
          <w:b w:val="0"/>
          <w:color w:val="auto"/>
          <w:sz w:val="24"/>
          <w:szCs w:val="28"/>
        </w:rPr>
        <w:tab/>
        <w:t>29</w:t>
      </w:r>
    </w:p>
    <w:p w14:paraId="1D971C5B"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3.5.1 </w:t>
      </w:r>
      <w:r>
        <w:rPr>
          <w:rFonts w:ascii="Times New Roman" w:eastAsia="DFKai-SB" w:hAnsi="Times New Roman" w:cs="Times New Roman"/>
          <w:b w:val="0"/>
          <w:color w:val="auto"/>
          <w:sz w:val="24"/>
          <w:szCs w:val="28"/>
        </w:rPr>
        <w:t>詞袋模型（</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4927962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3.5.2 </w:t>
      </w:r>
      <w:r>
        <w:rPr>
          <w:rFonts w:ascii="Times New Roman" w:eastAsia="DFKai-SB" w:hAnsi="Times New Roman" w:cs="Times New Roman"/>
          <w:b w:val="0"/>
          <w:color w:val="auto"/>
          <w:sz w:val="24"/>
          <w:szCs w:val="28"/>
        </w:rPr>
        <w:t>詞頻表示（</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0EB8B19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3.5.3 </w:t>
      </w:r>
      <w:r>
        <w:rPr>
          <w:rFonts w:ascii="Times New Roman" w:eastAsia="DFKai-SB" w:hAnsi="Times New Roman" w:cs="Times New Roman"/>
          <w:b w:val="0"/>
          <w:color w:val="auto"/>
          <w:sz w:val="24"/>
          <w:szCs w:val="28"/>
        </w:rPr>
        <w:t>詞頻－逆文件頻率（</w:t>
      </w:r>
      <w:r>
        <w:rPr>
          <w:rFonts w:ascii="Times New Roman" w:eastAsia="DFKai-SB" w:hAnsi="Times New Roman" w:cs="Times New Roman"/>
          <w:b w:val="0"/>
          <w:color w:val="auto"/>
          <w:sz w:val="24"/>
          <w:szCs w:val="28"/>
        </w:rPr>
        <w:t>TF-IDF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30</w:t>
      </w:r>
    </w:p>
    <w:p w14:paraId="5E808EC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3.6 </w:t>
      </w:r>
      <w:r>
        <w:rPr>
          <w:rFonts w:ascii="Times New Roman" w:eastAsia="DFKai-SB" w:hAnsi="Times New Roman" w:cs="Times New Roman"/>
          <w:b w:val="0"/>
          <w:color w:val="auto"/>
          <w:sz w:val="24"/>
          <w:szCs w:val="28"/>
        </w:rPr>
        <w:t>卡方特徵選擇</w:t>
      </w:r>
      <w:r>
        <w:rPr>
          <w:rFonts w:ascii="Times New Roman" w:eastAsia="DFKai-SB" w:hAnsi="Times New Roman" w:cs="Times New Roman"/>
          <w:b w:val="0"/>
          <w:color w:val="auto"/>
          <w:sz w:val="24"/>
          <w:szCs w:val="28"/>
        </w:rPr>
        <w:tab/>
        <w:t>32</w:t>
      </w:r>
    </w:p>
    <w:p w14:paraId="04F2E56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 MNIR </w:t>
      </w:r>
      <w:r>
        <w:rPr>
          <w:rFonts w:ascii="Times New Roman" w:eastAsia="DFKai-SB" w:hAnsi="Times New Roman" w:cs="Times New Roman"/>
          <w:b w:val="0"/>
          <w:color w:val="auto"/>
          <w:sz w:val="24"/>
          <w:szCs w:val="28"/>
        </w:rPr>
        <w:t>監督式特徵轉換</w:t>
      </w:r>
      <w:r>
        <w:rPr>
          <w:rFonts w:ascii="Times New Roman" w:eastAsia="DFKai-SB" w:hAnsi="Times New Roman" w:cs="Times New Roman"/>
          <w:b w:val="0"/>
          <w:color w:val="auto"/>
          <w:sz w:val="24"/>
          <w:szCs w:val="28"/>
        </w:rPr>
        <w:tab/>
        <w:t>33</w:t>
      </w:r>
    </w:p>
    <w:p w14:paraId="75576A3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3.7.1 MNIR </w:t>
      </w:r>
      <w:r>
        <w:rPr>
          <w:rFonts w:ascii="Times New Roman" w:eastAsia="DFKai-SB" w:hAnsi="Times New Roman" w:cs="Times New Roman"/>
          <w:b w:val="0"/>
          <w:color w:val="auto"/>
          <w:sz w:val="24"/>
          <w:szCs w:val="28"/>
        </w:rPr>
        <w:t>之模型設定與</w:t>
      </w:r>
      <w:r>
        <w:rPr>
          <w:rFonts w:ascii="Times New Roman" w:eastAsia="DFKai-SB" w:hAnsi="Times New Roman" w:cs="Times New Roman"/>
          <w:b w:val="0"/>
          <w:color w:val="auto"/>
          <w:sz w:val="24"/>
          <w:szCs w:val="28"/>
        </w:rPr>
        <w:t xml:space="preserve"> inverse regression</w:t>
      </w:r>
      <w:r>
        <w:rPr>
          <w:rFonts w:ascii="Times New Roman" w:eastAsia="DFKai-SB" w:hAnsi="Times New Roman" w:cs="Times New Roman"/>
          <w:b w:val="0"/>
          <w:color w:val="auto"/>
          <w:sz w:val="24"/>
          <w:szCs w:val="28"/>
        </w:rPr>
        <w:tab/>
        <w:t>34</w:t>
      </w:r>
    </w:p>
    <w:p w14:paraId="3592E353"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3.7.2 Gamma-Lasso </w:t>
      </w:r>
      <w:r>
        <w:rPr>
          <w:rFonts w:ascii="Times New Roman" w:eastAsia="DFKai-SB" w:hAnsi="Times New Roman" w:cs="Times New Roman"/>
          <w:b w:val="0"/>
          <w:color w:val="auto"/>
          <w:sz w:val="24"/>
          <w:szCs w:val="28"/>
        </w:rPr>
        <w:t>估計法與正則化</w:t>
      </w:r>
      <w:r>
        <w:rPr>
          <w:rFonts w:ascii="Times New Roman" w:eastAsia="DFKai-SB" w:hAnsi="Times New Roman" w:cs="Times New Roman"/>
          <w:b w:val="0"/>
          <w:color w:val="auto"/>
          <w:sz w:val="24"/>
          <w:szCs w:val="28"/>
        </w:rPr>
        <w:tab/>
        <w:t>35</w:t>
      </w:r>
    </w:p>
    <w:p w14:paraId="5F27C017"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3.7.3 </w:t>
      </w:r>
      <w:r>
        <w:rPr>
          <w:rFonts w:ascii="Times New Roman" w:eastAsia="DFKai-SB" w:hAnsi="Times New Roman" w:cs="Times New Roman"/>
          <w:b w:val="0"/>
          <w:color w:val="auto"/>
          <w:sz w:val="24"/>
          <w:szCs w:val="28"/>
        </w:rPr>
        <w:t>充分縮減分數與降維邏輯</w:t>
      </w:r>
      <w:r>
        <w:rPr>
          <w:rFonts w:ascii="Times New Roman" w:eastAsia="DFKai-SB" w:hAnsi="Times New Roman" w:cs="Times New Roman"/>
          <w:b w:val="0"/>
          <w:color w:val="auto"/>
          <w:sz w:val="24"/>
          <w:szCs w:val="28"/>
        </w:rPr>
        <w:tab/>
        <w:t>36</w:t>
      </w:r>
    </w:p>
    <w:p w14:paraId="1301238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 </w:t>
      </w:r>
      <w:r>
        <w:rPr>
          <w:rFonts w:ascii="Times New Roman" w:eastAsia="DFKai-SB" w:hAnsi="Times New Roman" w:cs="Times New Roman"/>
          <w:b w:val="0"/>
          <w:color w:val="auto"/>
          <w:sz w:val="24"/>
          <w:szCs w:val="28"/>
        </w:rPr>
        <w:t>模型流程設計</w:t>
      </w:r>
      <w:r>
        <w:rPr>
          <w:rFonts w:ascii="Times New Roman" w:eastAsia="DFKai-SB" w:hAnsi="Times New Roman" w:cs="Times New Roman"/>
          <w:b w:val="0"/>
          <w:color w:val="auto"/>
          <w:sz w:val="24"/>
          <w:szCs w:val="28"/>
        </w:rPr>
        <w:tab/>
        <w:t>37</w:t>
      </w:r>
    </w:p>
    <w:p w14:paraId="2DBBA39E"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lastRenderedPageBreak/>
        <w:t xml:space="preserve">3.8.1 SVM </w:t>
      </w:r>
      <w:r>
        <w:rPr>
          <w:rFonts w:ascii="Times New Roman" w:eastAsia="DFKai-SB" w:hAnsi="Times New Roman" w:cs="Times New Roman"/>
          <w:b w:val="0"/>
          <w:color w:val="auto"/>
          <w:sz w:val="24"/>
          <w:szCs w:val="28"/>
        </w:rPr>
        <w:t>分類器設定</w:t>
      </w:r>
      <w:r>
        <w:rPr>
          <w:rFonts w:ascii="Times New Roman" w:eastAsia="DFKai-SB" w:hAnsi="Times New Roman" w:cs="Times New Roman"/>
          <w:b w:val="0"/>
          <w:color w:val="auto"/>
          <w:sz w:val="24"/>
          <w:szCs w:val="28"/>
        </w:rPr>
        <w:tab/>
        <w:t>37</w:t>
      </w:r>
    </w:p>
    <w:p w14:paraId="1280AE2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3.8.2 Chi-square + MNIR + SVM </w:t>
      </w:r>
      <w:r>
        <w:rPr>
          <w:rFonts w:ascii="Times New Roman" w:eastAsia="DFKai-SB" w:hAnsi="Times New Roman" w:cs="Times New Roman"/>
          <w:b w:val="0"/>
          <w:color w:val="auto"/>
          <w:sz w:val="24"/>
          <w:szCs w:val="28"/>
        </w:rPr>
        <w:t>流程</w:t>
      </w:r>
      <w:r>
        <w:rPr>
          <w:rFonts w:ascii="Times New Roman" w:eastAsia="DFKai-SB" w:hAnsi="Times New Roman" w:cs="Times New Roman"/>
          <w:b w:val="0"/>
          <w:color w:val="auto"/>
          <w:sz w:val="24"/>
          <w:szCs w:val="28"/>
        </w:rPr>
        <w:tab/>
        <w:t>39</w:t>
      </w:r>
    </w:p>
    <w:p w14:paraId="6DA4F7A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3.8.3 Chi-square + SVM </w:t>
      </w:r>
      <w:r>
        <w:rPr>
          <w:rFonts w:ascii="Times New Roman" w:eastAsia="DFKai-SB" w:hAnsi="Times New Roman" w:cs="Times New Roman"/>
          <w:b w:val="0"/>
          <w:color w:val="auto"/>
          <w:sz w:val="24"/>
          <w:szCs w:val="28"/>
        </w:rPr>
        <w:t>對照流程</w:t>
      </w:r>
      <w:r>
        <w:rPr>
          <w:rFonts w:ascii="Times New Roman" w:eastAsia="DFKai-SB" w:hAnsi="Times New Roman" w:cs="Times New Roman"/>
          <w:b w:val="0"/>
          <w:color w:val="auto"/>
          <w:sz w:val="24"/>
          <w:szCs w:val="28"/>
        </w:rPr>
        <w:tab/>
        <w:t>40</w:t>
      </w:r>
    </w:p>
    <w:p w14:paraId="6CBD0546"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3.8.4 Majority Class baseline</w:t>
      </w:r>
      <w:r>
        <w:rPr>
          <w:rFonts w:ascii="Times New Roman" w:eastAsia="DFKai-SB" w:hAnsi="Times New Roman" w:cs="Times New Roman"/>
          <w:b w:val="0"/>
          <w:color w:val="auto"/>
          <w:sz w:val="24"/>
          <w:szCs w:val="28"/>
        </w:rPr>
        <w:tab/>
        <w:t>41</w:t>
      </w:r>
    </w:p>
    <w:p w14:paraId="2A803F59"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3.8.5 </w:t>
      </w:r>
      <w:r>
        <w:rPr>
          <w:rFonts w:ascii="Times New Roman" w:eastAsia="DFKai-SB" w:hAnsi="Times New Roman" w:cs="Times New Roman"/>
          <w:b w:val="0"/>
          <w:color w:val="auto"/>
          <w:sz w:val="24"/>
          <w:szCs w:val="28"/>
        </w:rPr>
        <w:t>模型評估方式</w:t>
      </w:r>
      <w:r>
        <w:rPr>
          <w:rFonts w:ascii="Times New Roman" w:eastAsia="DFKai-SB" w:hAnsi="Times New Roman" w:cs="Times New Roman"/>
          <w:b w:val="0"/>
          <w:color w:val="auto"/>
          <w:sz w:val="24"/>
          <w:szCs w:val="28"/>
        </w:rPr>
        <w:tab/>
        <w:t>41</w:t>
      </w:r>
    </w:p>
    <w:p w14:paraId="150B08F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3.8.6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43</w:t>
      </w:r>
    </w:p>
    <w:p w14:paraId="6364623E"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3.9 </w:t>
      </w:r>
      <w:r>
        <w:rPr>
          <w:rFonts w:ascii="Times New Roman" w:eastAsia="DFKai-SB" w:hAnsi="Times New Roman" w:cs="Times New Roman"/>
          <w:b w:val="0"/>
          <w:color w:val="auto"/>
          <w:sz w:val="24"/>
          <w:szCs w:val="28"/>
        </w:rPr>
        <w:t>資料集劃分與參數選擇</w:t>
      </w:r>
      <w:r>
        <w:rPr>
          <w:rFonts w:ascii="Times New Roman" w:eastAsia="DFKai-SB" w:hAnsi="Times New Roman" w:cs="Times New Roman"/>
          <w:b w:val="0"/>
          <w:color w:val="auto"/>
          <w:sz w:val="24"/>
          <w:szCs w:val="28"/>
        </w:rPr>
        <w:tab/>
        <w:t>44</w:t>
      </w:r>
    </w:p>
    <w:p w14:paraId="1D19D54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3.10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46</w:t>
      </w:r>
    </w:p>
    <w:p w14:paraId="03185FE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第四章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研究結果與分析</w:t>
      </w:r>
      <w:r>
        <w:rPr>
          <w:rFonts w:ascii="Times New Roman" w:eastAsia="DFKai-SB" w:hAnsi="Times New Roman" w:cs="Times New Roman"/>
          <w:b w:val="0"/>
          <w:color w:val="auto"/>
          <w:sz w:val="24"/>
          <w:szCs w:val="28"/>
        </w:rPr>
        <w:tab/>
        <w:t>48</w:t>
      </w:r>
    </w:p>
    <w:p w14:paraId="59233F6F"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4.1 </w:t>
      </w:r>
      <w:r>
        <w:rPr>
          <w:rFonts w:ascii="Times New Roman" w:eastAsia="DFKai-SB" w:hAnsi="Times New Roman" w:cs="Times New Roman"/>
          <w:b w:val="0"/>
          <w:color w:val="auto"/>
          <w:sz w:val="24"/>
          <w:szCs w:val="28"/>
        </w:rPr>
        <w:t>實驗設定與評估邏輯</w:t>
      </w:r>
      <w:r>
        <w:rPr>
          <w:rFonts w:ascii="Times New Roman" w:eastAsia="DFKai-SB" w:hAnsi="Times New Roman" w:cs="Times New Roman"/>
          <w:b w:val="0"/>
          <w:color w:val="auto"/>
          <w:sz w:val="24"/>
          <w:szCs w:val="28"/>
        </w:rPr>
        <w:tab/>
        <w:t>48</w:t>
      </w:r>
    </w:p>
    <w:p w14:paraId="3845797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4.2 Chi-square + MNIR + SVM </w:t>
      </w:r>
      <w:r>
        <w:rPr>
          <w:rFonts w:ascii="Times New Roman" w:eastAsia="DFKai-SB" w:hAnsi="Times New Roman" w:cs="Times New Roman"/>
          <w:b w:val="0"/>
          <w:color w:val="auto"/>
          <w:sz w:val="24"/>
          <w:szCs w:val="28"/>
        </w:rPr>
        <w:t>核心流程之模型表現</w:t>
      </w:r>
      <w:r>
        <w:rPr>
          <w:rFonts w:ascii="Times New Roman" w:eastAsia="DFKai-SB" w:hAnsi="Times New Roman" w:cs="Times New Roman"/>
          <w:b w:val="0"/>
          <w:color w:val="auto"/>
          <w:sz w:val="24"/>
          <w:szCs w:val="28"/>
        </w:rPr>
        <w:tab/>
        <w:t>49</w:t>
      </w:r>
    </w:p>
    <w:p w14:paraId="5C51A98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4.3 Chi-square + SVM </w:t>
      </w:r>
      <w:r>
        <w:rPr>
          <w:rFonts w:ascii="Times New Roman" w:eastAsia="DFKai-SB" w:hAnsi="Times New Roman" w:cs="Times New Roman"/>
          <w:b w:val="0"/>
          <w:color w:val="auto"/>
          <w:sz w:val="24"/>
          <w:szCs w:val="28"/>
        </w:rPr>
        <w:t>對照流程之模型表現</w:t>
      </w:r>
      <w:r>
        <w:rPr>
          <w:rFonts w:ascii="Times New Roman" w:eastAsia="DFKai-SB" w:hAnsi="Times New Roman" w:cs="Times New Roman"/>
          <w:b w:val="0"/>
          <w:color w:val="auto"/>
          <w:sz w:val="24"/>
          <w:szCs w:val="28"/>
        </w:rPr>
        <w:tab/>
        <w:t>49</w:t>
      </w:r>
    </w:p>
    <w:p w14:paraId="43E1EEC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4.4 Chi-square + MNIR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之整體流程比較</w:t>
      </w:r>
      <w:r>
        <w:rPr>
          <w:rFonts w:ascii="Times New Roman" w:eastAsia="DFKai-SB" w:hAnsi="Times New Roman" w:cs="Times New Roman"/>
          <w:b w:val="0"/>
          <w:color w:val="auto"/>
          <w:sz w:val="24"/>
          <w:szCs w:val="28"/>
        </w:rPr>
        <w:tab/>
        <w:t>50</w:t>
      </w:r>
    </w:p>
    <w:p w14:paraId="4D91DB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4.5 </w:t>
      </w:r>
      <w:r>
        <w:rPr>
          <w:rFonts w:ascii="Times New Roman" w:eastAsia="DFKai-SB" w:hAnsi="Times New Roman" w:cs="Times New Roman"/>
          <w:b w:val="0"/>
          <w:color w:val="auto"/>
          <w:sz w:val="24"/>
          <w:szCs w:val="28"/>
        </w:rPr>
        <w:t>不同文字特徵表示之影響</w:t>
      </w:r>
      <w:r>
        <w:rPr>
          <w:rFonts w:ascii="Times New Roman" w:eastAsia="DFKai-SB" w:hAnsi="Times New Roman" w:cs="Times New Roman"/>
          <w:b w:val="0"/>
          <w:color w:val="auto"/>
          <w:sz w:val="24"/>
          <w:szCs w:val="28"/>
        </w:rPr>
        <w:tab/>
        <w:t>53</w:t>
      </w:r>
    </w:p>
    <w:p w14:paraId="6F8C5EC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4.6 </w:t>
      </w:r>
      <w:r>
        <w:rPr>
          <w:rFonts w:ascii="Times New Roman" w:eastAsia="DFKai-SB" w:hAnsi="Times New Roman" w:cs="Times New Roman"/>
          <w:b w:val="0"/>
          <w:color w:val="auto"/>
          <w:sz w:val="24"/>
          <w:szCs w:val="28"/>
        </w:rPr>
        <w:t>參數選擇與驗證集表現</w:t>
      </w:r>
      <w:r>
        <w:rPr>
          <w:rFonts w:ascii="Times New Roman" w:eastAsia="DFKai-SB" w:hAnsi="Times New Roman" w:cs="Times New Roman"/>
          <w:b w:val="0"/>
          <w:color w:val="auto"/>
          <w:sz w:val="24"/>
          <w:szCs w:val="28"/>
        </w:rPr>
        <w:tab/>
        <w:t>54</w:t>
      </w:r>
    </w:p>
    <w:p w14:paraId="771BE95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4.7 </w:t>
      </w:r>
      <w:r>
        <w:rPr>
          <w:rFonts w:ascii="Times New Roman" w:eastAsia="DFKai-SB" w:hAnsi="Times New Roman" w:cs="Times New Roman"/>
          <w:b w:val="0"/>
          <w:color w:val="auto"/>
          <w:sz w:val="24"/>
          <w:szCs w:val="28"/>
        </w:rPr>
        <w:t>錯誤分析與少數類別限制</w:t>
      </w:r>
      <w:r>
        <w:rPr>
          <w:rFonts w:ascii="Times New Roman" w:eastAsia="DFKai-SB" w:hAnsi="Times New Roman" w:cs="Times New Roman"/>
          <w:b w:val="0"/>
          <w:color w:val="auto"/>
          <w:sz w:val="24"/>
          <w:szCs w:val="28"/>
        </w:rPr>
        <w:tab/>
        <w:t>56</w:t>
      </w:r>
    </w:p>
    <w:p w14:paraId="04D325D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4.8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58</w:t>
      </w:r>
    </w:p>
    <w:p w14:paraId="335F79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第五章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結論與建議</w:t>
      </w:r>
      <w:r>
        <w:rPr>
          <w:rFonts w:ascii="Times New Roman" w:eastAsia="DFKai-SB" w:hAnsi="Times New Roman" w:cs="Times New Roman"/>
          <w:b w:val="0"/>
          <w:color w:val="auto"/>
          <w:sz w:val="24"/>
          <w:szCs w:val="28"/>
        </w:rPr>
        <w:tab/>
        <w:t>60</w:t>
      </w:r>
    </w:p>
    <w:p w14:paraId="70BF602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5.1 </w:t>
      </w:r>
      <w:r>
        <w:rPr>
          <w:rFonts w:ascii="Times New Roman" w:eastAsia="DFKai-SB" w:hAnsi="Times New Roman" w:cs="Times New Roman"/>
          <w:b w:val="0"/>
          <w:color w:val="auto"/>
          <w:sz w:val="24"/>
          <w:szCs w:val="28"/>
        </w:rPr>
        <w:t>研究結論</w:t>
      </w:r>
      <w:r>
        <w:rPr>
          <w:rFonts w:ascii="Times New Roman" w:eastAsia="DFKai-SB" w:hAnsi="Times New Roman" w:cs="Times New Roman"/>
          <w:b w:val="0"/>
          <w:color w:val="auto"/>
          <w:sz w:val="24"/>
          <w:szCs w:val="28"/>
        </w:rPr>
        <w:tab/>
        <w:t>60</w:t>
      </w:r>
    </w:p>
    <w:p w14:paraId="78D814E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5.2 </w:t>
      </w:r>
      <w:r>
        <w:rPr>
          <w:rFonts w:ascii="Times New Roman" w:eastAsia="DFKai-SB" w:hAnsi="Times New Roman" w:cs="Times New Roman"/>
          <w:b w:val="0"/>
          <w:color w:val="auto"/>
          <w:sz w:val="24"/>
          <w:szCs w:val="28"/>
        </w:rPr>
        <w:t>研究貢獻</w:t>
      </w:r>
      <w:r>
        <w:rPr>
          <w:rFonts w:ascii="Times New Roman" w:eastAsia="DFKai-SB" w:hAnsi="Times New Roman" w:cs="Times New Roman"/>
          <w:b w:val="0"/>
          <w:color w:val="auto"/>
          <w:sz w:val="24"/>
          <w:szCs w:val="28"/>
        </w:rPr>
        <w:tab/>
        <w:t>61</w:t>
      </w:r>
    </w:p>
    <w:p w14:paraId="14A5C07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5.3 </w:t>
      </w:r>
      <w:r>
        <w:rPr>
          <w:rFonts w:ascii="Times New Roman" w:eastAsia="DFKai-SB" w:hAnsi="Times New Roman" w:cs="Times New Roman"/>
          <w:b w:val="0"/>
          <w:color w:val="auto"/>
          <w:sz w:val="24"/>
          <w:szCs w:val="28"/>
        </w:rPr>
        <w:t>研究限制</w:t>
      </w:r>
      <w:r>
        <w:rPr>
          <w:rFonts w:ascii="Times New Roman" w:eastAsia="DFKai-SB" w:hAnsi="Times New Roman" w:cs="Times New Roman"/>
          <w:b w:val="0"/>
          <w:color w:val="auto"/>
          <w:sz w:val="24"/>
          <w:szCs w:val="28"/>
        </w:rPr>
        <w:tab/>
        <w:t>62</w:t>
      </w:r>
    </w:p>
    <w:p w14:paraId="35D4C4F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 </w:t>
      </w:r>
      <w:r>
        <w:rPr>
          <w:rFonts w:ascii="Times New Roman" w:eastAsia="DFKai-SB" w:hAnsi="Times New Roman" w:cs="Times New Roman"/>
          <w:b w:val="0"/>
          <w:color w:val="auto"/>
          <w:sz w:val="24"/>
          <w:szCs w:val="28"/>
        </w:rPr>
        <w:t>研究結果之建議</w:t>
      </w:r>
      <w:r>
        <w:rPr>
          <w:rFonts w:ascii="Times New Roman" w:eastAsia="DFKai-SB" w:hAnsi="Times New Roman" w:cs="Times New Roman"/>
          <w:b w:val="0"/>
          <w:color w:val="auto"/>
          <w:sz w:val="24"/>
          <w:szCs w:val="28"/>
        </w:rPr>
        <w:tab/>
        <w:t>64</w:t>
      </w:r>
    </w:p>
    <w:p w14:paraId="3E95BCC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5.4.1 </w:t>
      </w:r>
      <w:r>
        <w:rPr>
          <w:rFonts w:ascii="Times New Roman" w:eastAsia="DFKai-SB" w:hAnsi="Times New Roman" w:cs="Times New Roman"/>
          <w:b w:val="0"/>
          <w:color w:val="auto"/>
          <w:sz w:val="24"/>
          <w:szCs w:val="28"/>
        </w:rPr>
        <w:t>對模型與特徵表示選擇之建議</w:t>
      </w:r>
      <w:r>
        <w:rPr>
          <w:rFonts w:ascii="Times New Roman" w:eastAsia="DFKai-SB" w:hAnsi="Times New Roman" w:cs="Times New Roman"/>
          <w:b w:val="0"/>
          <w:color w:val="auto"/>
          <w:sz w:val="24"/>
          <w:szCs w:val="28"/>
        </w:rPr>
        <w:tab/>
        <w:t>65</w:t>
      </w:r>
    </w:p>
    <w:p w14:paraId="11781834"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5.4.2 </w:t>
      </w:r>
      <w:r>
        <w:rPr>
          <w:rFonts w:ascii="Times New Roman" w:eastAsia="DFKai-SB" w:hAnsi="Times New Roman" w:cs="Times New Roman"/>
          <w:b w:val="0"/>
          <w:color w:val="auto"/>
          <w:sz w:val="24"/>
          <w:szCs w:val="28"/>
        </w:rPr>
        <w:t>對不同資料情境之模型選擇建議</w:t>
      </w:r>
      <w:r>
        <w:rPr>
          <w:rFonts w:ascii="Times New Roman" w:eastAsia="DFKai-SB" w:hAnsi="Times New Roman" w:cs="Times New Roman"/>
          <w:b w:val="0"/>
          <w:color w:val="auto"/>
          <w:sz w:val="24"/>
          <w:szCs w:val="28"/>
        </w:rPr>
        <w:tab/>
        <w:t>65</w:t>
      </w:r>
    </w:p>
    <w:p w14:paraId="47454AA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5.4.3 </w:t>
      </w:r>
      <w:r>
        <w:rPr>
          <w:rFonts w:ascii="Times New Roman" w:eastAsia="DFKai-SB" w:hAnsi="Times New Roman" w:cs="Times New Roman"/>
          <w:b w:val="0"/>
          <w:color w:val="auto"/>
          <w:sz w:val="24"/>
          <w:szCs w:val="28"/>
        </w:rPr>
        <w:t>對後續研究與實務應用之建議</w:t>
      </w:r>
      <w:r>
        <w:rPr>
          <w:rFonts w:ascii="Times New Roman" w:eastAsia="DFKai-SB" w:hAnsi="Times New Roman" w:cs="Times New Roman"/>
          <w:b w:val="0"/>
          <w:color w:val="auto"/>
          <w:sz w:val="24"/>
          <w:szCs w:val="28"/>
        </w:rPr>
        <w:tab/>
        <w:t>66</w:t>
      </w:r>
    </w:p>
    <w:p w14:paraId="484E82C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5.5 </w:t>
      </w:r>
      <w:r>
        <w:rPr>
          <w:rFonts w:ascii="Times New Roman" w:eastAsia="DFKai-SB" w:hAnsi="Times New Roman" w:cs="Times New Roman"/>
          <w:b w:val="0"/>
          <w:color w:val="auto"/>
          <w:sz w:val="24"/>
          <w:szCs w:val="28"/>
        </w:rPr>
        <w:t>總結</w:t>
      </w:r>
      <w:r>
        <w:rPr>
          <w:rFonts w:ascii="Times New Roman" w:eastAsia="DFKai-SB" w:hAnsi="Times New Roman" w:cs="Times New Roman"/>
          <w:b w:val="0"/>
          <w:color w:val="auto"/>
          <w:sz w:val="24"/>
          <w:szCs w:val="28"/>
        </w:rPr>
        <w:tab/>
        <w:t>67</w:t>
      </w:r>
    </w:p>
    <w:p w14:paraId="06FBBB0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中文文獻</w:t>
      </w:r>
      <w:r>
        <w:rPr>
          <w:rFonts w:ascii="Times New Roman" w:eastAsia="DFKai-SB" w:hAnsi="Times New Roman" w:cs="Times New Roman"/>
          <w:b w:val="0"/>
          <w:color w:val="auto"/>
          <w:sz w:val="24"/>
          <w:szCs w:val="28"/>
        </w:rPr>
        <w:tab/>
        <w:t>71</w:t>
      </w:r>
    </w:p>
    <w:p w14:paraId="2B639415"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英文文獻</w:t>
      </w:r>
      <w:r>
        <w:rPr>
          <w:rFonts w:ascii="Times New Roman" w:eastAsia="DFKai-SB" w:hAnsi="Times New Roman" w:cs="Times New Roman"/>
          <w:b w:val="0"/>
          <w:color w:val="auto"/>
          <w:sz w:val="24"/>
          <w:szCs w:val="28"/>
        </w:rPr>
        <w:tab/>
        <w:t>72</w:t>
      </w:r>
    </w:p>
    <w:p w14:paraId="0243A264"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77B9806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原始資料欄位說明</w:t>
      </w:r>
      <w:r>
        <w:rPr>
          <w:rFonts w:ascii="Times New Roman" w:eastAsia="DFKai-SB" w:hAnsi="Times New Roman" w:cs="Times New Roman"/>
          <w:b w:val="0"/>
          <w:color w:val="auto"/>
          <w:sz w:val="24"/>
          <w:szCs w:val="28"/>
        </w:rPr>
        <w:tab/>
        <w:t>21</w:t>
      </w:r>
    </w:p>
    <w:p w14:paraId="228125A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案件類型之法律性質與例示</w:t>
      </w:r>
      <w:r>
        <w:rPr>
          <w:rFonts w:ascii="Times New Roman" w:eastAsia="DFKai-SB" w:hAnsi="Times New Roman" w:cs="Times New Roman"/>
          <w:b w:val="0"/>
          <w:color w:val="auto"/>
          <w:sz w:val="24"/>
          <w:szCs w:val="28"/>
        </w:rPr>
        <w:tab/>
        <w:t>23</w:t>
      </w:r>
    </w:p>
    <w:p w14:paraId="4F8F384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各案件類型與裁判結果標籤之對應原則</w:t>
      </w:r>
      <w:r>
        <w:rPr>
          <w:rFonts w:ascii="Times New Roman" w:eastAsia="DFKai-SB" w:hAnsi="Times New Roman" w:cs="Times New Roman"/>
          <w:b w:val="0"/>
          <w:color w:val="auto"/>
          <w:sz w:val="24"/>
          <w:szCs w:val="28"/>
        </w:rPr>
        <w:tab/>
        <w:t>24</w:t>
      </w:r>
    </w:p>
    <w:p w14:paraId="446F2B9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案件類型與裁判結果分布</w:t>
      </w:r>
      <w:r>
        <w:rPr>
          <w:rFonts w:ascii="Times New Roman" w:eastAsia="DFKai-SB" w:hAnsi="Times New Roman" w:cs="Times New Roman"/>
          <w:b w:val="0"/>
          <w:color w:val="auto"/>
          <w:sz w:val="24"/>
          <w:szCs w:val="28"/>
        </w:rPr>
        <w:tab/>
        <w:t>25</w:t>
      </w:r>
    </w:p>
    <w:p w14:paraId="77E7852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3-5 </w:t>
      </w:r>
      <w:r>
        <w:rPr>
          <w:rFonts w:ascii="Times New Roman" w:eastAsia="DFKai-SB" w:hAnsi="Times New Roman" w:cs="Times New Roman"/>
          <w:b w:val="0"/>
          <w:color w:val="auto"/>
          <w:sz w:val="24"/>
          <w:szCs w:val="28"/>
        </w:rPr>
        <w:t>年度區間與案件類型分布</w:t>
      </w:r>
      <w:r>
        <w:rPr>
          <w:rFonts w:ascii="Times New Roman" w:eastAsia="DFKai-SB" w:hAnsi="Times New Roman" w:cs="Times New Roman"/>
          <w:b w:val="0"/>
          <w:color w:val="auto"/>
          <w:sz w:val="24"/>
          <w:szCs w:val="28"/>
        </w:rPr>
        <w:tab/>
        <w:t>26</w:t>
      </w:r>
    </w:p>
    <w:p w14:paraId="07ED53A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3-6 </w:t>
      </w:r>
      <w:r>
        <w:rPr>
          <w:rFonts w:ascii="Times New Roman" w:eastAsia="DFKai-SB" w:hAnsi="Times New Roman" w:cs="Times New Roman"/>
          <w:b w:val="0"/>
          <w:color w:val="auto"/>
          <w:sz w:val="24"/>
          <w:szCs w:val="28"/>
        </w:rPr>
        <w:t>年度區間與裁判結果比例</w:t>
      </w:r>
      <w:r>
        <w:rPr>
          <w:rFonts w:ascii="Times New Roman" w:eastAsia="DFKai-SB" w:hAnsi="Times New Roman" w:cs="Times New Roman"/>
          <w:b w:val="0"/>
          <w:color w:val="auto"/>
          <w:sz w:val="24"/>
          <w:szCs w:val="28"/>
        </w:rPr>
        <w:tab/>
        <w:t>27</w:t>
      </w:r>
    </w:p>
    <w:p w14:paraId="36AF50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3-7 TP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FN</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TN </w:t>
      </w:r>
      <w:r>
        <w:rPr>
          <w:rFonts w:ascii="Times New Roman" w:eastAsia="DFKai-SB" w:hAnsi="Times New Roman" w:cs="Times New Roman"/>
          <w:b w:val="0"/>
          <w:color w:val="auto"/>
          <w:sz w:val="24"/>
          <w:szCs w:val="28"/>
        </w:rPr>
        <w:t>判斷示意表</w:t>
      </w:r>
      <w:r>
        <w:rPr>
          <w:rFonts w:ascii="Times New Roman" w:eastAsia="DFKai-SB" w:hAnsi="Times New Roman" w:cs="Times New Roman"/>
          <w:b w:val="0"/>
          <w:color w:val="auto"/>
          <w:sz w:val="24"/>
          <w:szCs w:val="28"/>
        </w:rPr>
        <w:tab/>
        <w:t>42</w:t>
      </w:r>
    </w:p>
    <w:p w14:paraId="7EA9DA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3-8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44</w:t>
      </w:r>
    </w:p>
    <w:p w14:paraId="552479A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 Chi-square </w:t>
      </w:r>
      <w:r>
        <w:rPr>
          <w:rFonts w:ascii="Times New Roman" w:eastAsia="DFKai-SB" w:hAnsi="Times New Roman" w:cs="Times New Roman"/>
          <w:b w:val="0"/>
          <w:color w:val="auto"/>
          <w:sz w:val="24"/>
          <w:szCs w:val="28"/>
        </w:rPr>
        <w:t>特徵選擇與</w:t>
      </w:r>
      <w:r>
        <w:rPr>
          <w:rFonts w:ascii="Times New Roman" w:eastAsia="DFKai-SB" w:hAnsi="Times New Roman" w:cs="Times New Roman"/>
          <w:b w:val="0"/>
          <w:color w:val="auto"/>
          <w:sz w:val="24"/>
          <w:szCs w:val="28"/>
        </w:rPr>
        <w:t xml:space="preserve"> MNIR </w:t>
      </w:r>
      <w:r>
        <w:rPr>
          <w:rFonts w:ascii="Times New Roman" w:eastAsia="DFKai-SB" w:hAnsi="Times New Roman" w:cs="Times New Roman"/>
          <w:b w:val="0"/>
          <w:color w:val="auto"/>
          <w:sz w:val="24"/>
          <w:szCs w:val="28"/>
        </w:rPr>
        <w:t>轉換後之特徵維度</w:t>
      </w:r>
      <w:r>
        <w:rPr>
          <w:rFonts w:ascii="Times New Roman" w:eastAsia="DFKai-SB" w:hAnsi="Times New Roman" w:cs="Times New Roman"/>
          <w:b w:val="0"/>
          <w:color w:val="auto"/>
          <w:sz w:val="24"/>
          <w:szCs w:val="28"/>
        </w:rPr>
        <w:tab/>
        <w:t>49</w:t>
      </w:r>
    </w:p>
    <w:p w14:paraId="735C764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4-2 Chi-square + MNIR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49</w:t>
      </w:r>
    </w:p>
    <w:p w14:paraId="3D33585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50</w:t>
      </w:r>
    </w:p>
    <w:p w14:paraId="75D1D34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4-4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0DA44A4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4-5 Chi-square + SVM </w:t>
      </w:r>
      <w:r>
        <w:rPr>
          <w:rFonts w:ascii="Times New Roman" w:eastAsia="DFKai-SB" w:hAnsi="Times New Roman" w:cs="Times New Roman"/>
          <w:b w:val="0"/>
          <w:color w:val="auto"/>
          <w:sz w:val="24"/>
          <w:szCs w:val="28"/>
        </w:rPr>
        <w:t>下</w:t>
      </w:r>
      <w:r>
        <w:rPr>
          <w:rFonts w:ascii="Times New Roman" w:eastAsia="DFKai-SB" w:hAnsi="Times New Roman" w:cs="Times New Roman"/>
          <w:b w:val="0"/>
          <w:color w:val="auto"/>
          <w:sz w:val="24"/>
          <w:szCs w:val="28"/>
        </w:rPr>
        <w:t xml:space="preserve"> 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TF-IDF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w:t>
      </w:r>
      <w:r>
        <w:rPr>
          <w:rFonts w:ascii="Times New Roman" w:eastAsia="DFKai-SB" w:hAnsi="Times New Roman" w:cs="Times New Roman"/>
          <w:b w:val="0"/>
          <w:color w:val="auto"/>
          <w:sz w:val="24"/>
          <w:szCs w:val="28"/>
        </w:rPr>
        <w:tab/>
        <w:t>53</w:t>
      </w:r>
    </w:p>
    <w:p w14:paraId="72C251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4-6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模型之參數選擇摘要</w:t>
      </w:r>
      <w:r>
        <w:rPr>
          <w:rFonts w:ascii="Times New Roman" w:eastAsia="DFKai-SB" w:hAnsi="Times New Roman" w:cs="Times New Roman"/>
          <w:b w:val="0"/>
          <w:color w:val="auto"/>
          <w:sz w:val="24"/>
          <w:szCs w:val="28"/>
        </w:rPr>
        <w:tab/>
        <w:t>55</w:t>
      </w:r>
    </w:p>
    <w:p w14:paraId="23CAB35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4-7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模型之測試集混淆矩陣</w:t>
      </w:r>
      <w:r>
        <w:rPr>
          <w:rFonts w:ascii="Times New Roman" w:eastAsia="DFKai-SB" w:hAnsi="Times New Roman" w:cs="Times New Roman"/>
          <w:b w:val="0"/>
          <w:color w:val="auto"/>
          <w:sz w:val="24"/>
          <w:szCs w:val="28"/>
        </w:rPr>
        <w:tab/>
        <w:t>56</w:t>
      </w:r>
    </w:p>
    <w:p w14:paraId="324E21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4-8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模型之分類報告</w:t>
      </w:r>
      <w:r>
        <w:rPr>
          <w:rFonts w:ascii="Times New Roman" w:eastAsia="DFKai-SB" w:hAnsi="Times New Roman" w:cs="Times New Roman"/>
          <w:b w:val="0"/>
          <w:color w:val="auto"/>
          <w:sz w:val="24"/>
          <w:szCs w:val="28"/>
        </w:rPr>
        <w:tab/>
        <w:t>56</w:t>
      </w:r>
    </w:p>
    <w:p w14:paraId="7A61C4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4-9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模型之主要錯誤分類型態</w:t>
      </w:r>
      <w:r>
        <w:rPr>
          <w:rFonts w:ascii="Times New Roman" w:eastAsia="DFKai-SB" w:hAnsi="Times New Roman" w:cs="Times New Roman"/>
          <w:b w:val="0"/>
          <w:color w:val="auto"/>
          <w:sz w:val="24"/>
          <w:szCs w:val="28"/>
        </w:rPr>
        <w:tab/>
        <w:t>57</w:t>
      </w:r>
    </w:p>
    <w:p w14:paraId="13B097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4-10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模型之類別</w:t>
      </w:r>
      <w:r>
        <w:rPr>
          <w:rFonts w:ascii="Times New Roman" w:eastAsia="DFKai-SB" w:hAnsi="Times New Roman" w:cs="Times New Roman"/>
          <w:b w:val="0"/>
          <w:color w:val="auto"/>
          <w:sz w:val="24"/>
          <w:szCs w:val="28"/>
        </w:rPr>
        <w:t xml:space="preserve"> F1 </w:t>
      </w: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58</w:t>
      </w:r>
    </w:p>
    <w:p w14:paraId="78BDFFA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5-1 </w:t>
      </w:r>
      <w:r>
        <w:rPr>
          <w:rFonts w:ascii="Times New Roman" w:eastAsia="DFKai-SB" w:hAnsi="Times New Roman" w:cs="Times New Roman"/>
          <w:b w:val="0"/>
          <w:color w:val="auto"/>
          <w:sz w:val="24"/>
          <w:szCs w:val="28"/>
        </w:rPr>
        <w:t>不同案件類型下可優先考慮之文字特徵與模型流程</w:t>
      </w:r>
      <w:r>
        <w:rPr>
          <w:rFonts w:ascii="Times New Roman" w:eastAsia="DFKai-SB" w:hAnsi="Times New Roman" w:cs="Times New Roman"/>
          <w:b w:val="0"/>
          <w:color w:val="auto"/>
          <w:sz w:val="24"/>
          <w:szCs w:val="28"/>
        </w:rPr>
        <w:tab/>
        <w:t>68</w:t>
      </w:r>
    </w:p>
    <w:p w14:paraId="2C067142"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0E33A98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EFC3F0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案件類型與裁判結果分布圖</w:t>
      </w:r>
      <w:r>
        <w:rPr>
          <w:rFonts w:ascii="Times New Roman" w:eastAsia="DFKai-SB" w:hAnsi="Times New Roman" w:cs="Times New Roman"/>
          <w:b w:val="0"/>
          <w:color w:val="auto"/>
          <w:sz w:val="24"/>
          <w:szCs w:val="28"/>
        </w:rPr>
        <w:tab/>
        <w:t>25</w:t>
      </w:r>
    </w:p>
    <w:p w14:paraId="5E0A708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年度區間與案件類型分布圖</w:t>
      </w:r>
      <w:r>
        <w:rPr>
          <w:rFonts w:ascii="Times New Roman" w:eastAsia="DFKai-SB" w:hAnsi="Times New Roman" w:cs="Times New Roman"/>
          <w:b w:val="0"/>
          <w:color w:val="auto"/>
          <w:sz w:val="24"/>
          <w:szCs w:val="28"/>
        </w:rPr>
        <w:tab/>
        <w:t>26</w:t>
      </w:r>
    </w:p>
    <w:p w14:paraId="518B5FB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各案件類型高</w:t>
      </w:r>
      <w:r>
        <w:rPr>
          <w:rFonts w:ascii="Times New Roman" w:eastAsia="DFKai-SB" w:hAnsi="Times New Roman" w:cs="Times New Roman"/>
          <w:b w:val="0"/>
          <w:color w:val="auto"/>
          <w:sz w:val="24"/>
          <w:szCs w:val="28"/>
        </w:rPr>
        <w:t xml:space="preserve"> TF-IDF </w:t>
      </w:r>
      <w:r>
        <w:rPr>
          <w:rFonts w:ascii="Times New Roman" w:eastAsia="DFKai-SB" w:hAnsi="Times New Roman" w:cs="Times New Roman"/>
          <w:b w:val="0"/>
          <w:color w:val="auto"/>
          <w:sz w:val="24"/>
          <w:szCs w:val="28"/>
        </w:rPr>
        <w:t>詞彙分布</w:t>
      </w:r>
      <w:r>
        <w:rPr>
          <w:rFonts w:ascii="Times New Roman" w:eastAsia="DFKai-SB" w:hAnsi="Times New Roman" w:cs="Times New Roman"/>
          <w:b w:val="0"/>
          <w:color w:val="auto"/>
          <w:sz w:val="24"/>
          <w:szCs w:val="28"/>
        </w:rPr>
        <w:tab/>
        <w:t>28</w:t>
      </w:r>
    </w:p>
    <w:p w14:paraId="6AE4525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3-5 SVM </w:t>
      </w:r>
      <w:r>
        <w:rPr>
          <w:rFonts w:ascii="Times New Roman" w:eastAsia="DFKai-SB" w:hAnsi="Times New Roman" w:cs="Times New Roman"/>
          <w:b w:val="0"/>
          <w:color w:val="auto"/>
          <w:sz w:val="24"/>
          <w:szCs w:val="28"/>
        </w:rPr>
        <w:t>三類分類概念示意圖</w:t>
      </w:r>
      <w:r>
        <w:rPr>
          <w:rFonts w:ascii="Times New Roman" w:eastAsia="DFKai-SB" w:hAnsi="Times New Roman" w:cs="Times New Roman"/>
          <w:b w:val="0"/>
          <w:color w:val="auto"/>
          <w:sz w:val="24"/>
          <w:szCs w:val="28"/>
        </w:rPr>
        <w:tab/>
        <w:t>38</w:t>
      </w:r>
    </w:p>
    <w:p w14:paraId="543893E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4-1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198FB2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4-2 </w:t>
      </w:r>
      <w:r>
        <w:rPr>
          <w:rFonts w:ascii="Times New Roman" w:eastAsia="DFKai-SB" w:hAnsi="Times New Roman" w:cs="Times New Roman"/>
          <w:b w:val="0"/>
          <w:color w:val="auto"/>
          <w:sz w:val="24"/>
          <w:szCs w:val="28"/>
        </w:rPr>
        <w:t>不同文字特徵表示之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53</w:t>
      </w:r>
    </w:p>
    <w:p w14:paraId="38BA1CE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K × C </w:t>
      </w:r>
      <w:r>
        <w:rPr>
          <w:rFonts w:ascii="Times New Roman" w:eastAsia="DFKai-SB" w:hAnsi="Times New Roman" w:cs="Times New Roman"/>
          <w:b w:val="0"/>
          <w:color w:val="auto"/>
          <w:sz w:val="24"/>
          <w:szCs w:val="28"/>
        </w:rPr>
        <w:t>驗證集</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熱力圖</w:t>
      </w:r>
      <w:r>
        <w:rPr>
          <w:rFonts w:ascii="Times New Roman" w:eastAsia="DFKai-SB" w:hAnsi="Times New Roman" w:cs="Times New Roman"/>
          <w:b w:val="0"/>
          <w:color w:val="auto"/>
          <w:sz w:val="24"/>
          <w:szCs w:val="28"/>
        </w:rPr>
        <w:tab/>
        <w:t>57</w:t>
      </w:r>
    </w:p>
    <w:p w14:paraId="56F4C86D" w14:textId="77777777"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07B9E20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Bag-of-Words, BoW</w:t>
      </w:r>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w:t>
      </w:r>
      <w:r w:rsidRPr="00706F03">
        <w:rPr>
          <w:rFonts w:cs="Times New Roman"/>
          <w:szCs w:val="28"/>
        </w:rPr>
        <w:lastRenderedPageBreak/>
        <w:t>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1.3 </w:t>
      </w:r>
      <w:r w:rsidR="005946D3" w:rsidRPr="00706F03">
        <w:rPr>
          <w:rFonts w:ascii="Times New Roman" w:eastAsia="DFKai-SB"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r w:rsidR="005946D3" w:rsidRPr="00706F03">
        <w:rPr>
          <w:rFonts w:cs="Times New Roman"/>
        </w:rPr>
        <w:t>BoW</w:t>
      </w:r>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168427D9"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66F95ECF" w14:textId="5919C660"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r w:rsidRPr="00706F03">
        <w:rPr>
          <w:rFonts w:cs="Times New Roman"/>
          <w:szCs w:val="28"/>
        </w:rPr>
        <w:t xml:space="preserve">Ariai </w:t>
      </w:r>
      <w:r w:rsidR="005963C8" w:rsidRPr="00706F03">
        <w:rPr>
          <w:rFonts w:cs="Times New Roman"/>
          <w:szCs w:val="28"/>
        </w:rPr>
        <w:t>et al.</w:t>
      </w:r>
      <w:r w:rsidRPr="00706F03">
        <w:rPr>
          <w:rFonts w:cs="Times New Roman"/>
          <w:szCs w:val="28"/>
        </w:rPr>
        <w:t>, 202</w:t>
      </w:r>
      <w:r w:rsidR="006E6541">
        <w:rPr>
          <w:rFonts w:cs="Times New Roman"/>
          <w:szCs w:val="28"/>
        </w:rPr>
        <w:t>6</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BoW</w:t>
      </w:r>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Heyes and Saberian</w:t>
      </w:r>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al.（2016）</w:t>
      </w:r>
      <w:r w:rsidRPr="00E02ADF">
        <w:rPr>
          <w:rFonts w:cs="Times New Roman" w:hint="eastAsia"/>
          <w:szCs w:val="28"/>
        </w:rPr>
        <w:t/>
      </w:r>
      <w:r w:rsidRPr="00E02ADF">
        <w:rPr>
          <w:rFonts w:cs="Times New Roman" w:hint="eastAsia"/>
          <w:szCs w:val="28"/>
        </w:rPr>
        <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2.3 </w:t>
      </w:r>
      <w:r w:rsidR="00564795" w:rsidRPr="00706F03">
        <w:rPr>
          <w:rFonts w:ascii="Times New Roman" w:eastAsia="DFKai-SB" w:hAnsi="Times New Roman" w:cs="Times New Roman"/>
          <w:color w:val="auto"/>
          <w:szCs w:val="28"/>
        </w:rPr>
        <w:t>法律文本之特徵表示：</w:t>
      </w:r>
      <w:r w:rsidR="00564795" w:rsidRPr="00706F03">
        <w:rPr>
          <w:rFonts w:ascii="Times New Roman" w:eastAsia="DFKai-SB" w:hAnsi="Times New Roman" w:cs="Times New Roman"/>
          <w:color w:val="auto"/>
          <w:szCs w:val="28"/>
        </w:rPr>
        <w:t>BoW</w:t>
      </w:r>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Bag-of-Words, BoW</w:t>
      </w:r>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r w:rsidR="00707432" w:rsidRPr="00707432">
        <w:rPr>
          <w:rFonts w:cs="Times New Roman" w:hint="eastAsia"/>
          <w:szCs w:val="28"/>
        </w:rPr>
        <w:t>Mamakas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BoW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r w:rsidRPr="00706F03">
        <w:rPr>
          <w:rFonts w:cs="Times New Roman"/>
          <w:szCs w:val="28"/>
        </w:rPr>
        <w:t xml:space="preserve">BoW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BoW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Aletras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r w:rsidRPr="00706F03">
        <w:rPr>
          <w:rFonts w:cs="Times New Roman"/>
          <w:szCs w:val="28"/>
        </w:rPr>
        <w:t>Surdeanu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r w:rsidR="0063468A" w:rsidRPr="00706F03">
        <w:rPr>
          <w:rFonts w:cs="Times New Roman" w:hint="eastAsia"/>
          <w:szCs w:val="28"/>
        </w:rPr>
        <w:t>Alghazzawi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BoW</w:t>
      </w:r>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2.6 </w:t>
      </w:r>
      <w:r w:rsidRPr="00706F03">
        <w:rPr>
          <w:rFonts w:ascii="Times New Roman" w:eastAsia="DFKai-SB"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r w:rsidRPr="00706F03">
        <w:rPr>
          <w:rFonts w:cs="Times New Roman"/>
          <w:szCs w:val="28"/>
        </w:rPr>
        <w:t>Aletras et al., 2016; Surdeanu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BoW</w:t>
      </w:r>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r w:rsidR="00484BCF" w:rsidRPr="00484BCF">
        <w:rPr>
          <w:rFonts w:cs="Times New Roman"/>
          <w:szCs w:val="28"/>
        </w:rPr>
        <w:t>BoW</w:t>
      </w:r>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0064CC94"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BoW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3.2 </w:t>
      </w:r>
      <w:r w:rsidRPr="00706F03">
        <w:rPr>
          <w:rFonts w:ascii="Times New Roman" w:eastAsia="DFKai-SB"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Jieba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58E9B94D" w:rsidR="00BF71D8" w:rsidRPr="00706F03" w:rsidRDefault="00E00F7E" w:rsidP="000A05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w:t>
      </w:r>
      <w:r w:rsidR="000A057E" w:rsidRPr="000A057E">
        <w:rPr>
          <w:rFonts w:cs="Times New Roman" w:hint="eastAsia"/>
        </w:rPr>
        <w:t>由於上述裁判結果雖皆被歸入</w:t>
      </w:r>
      <w:r w:rsidR="000A057E" w:rsidRPr="000A057E">
        <w:rPr>
          <w:rFonts w:cs="Times New Roman" w:hint="eastAsia"/>
        </w:rPr>
        <w:t xml:space="preserve"> Mixed </w:t>
      </w:r>
      <w:r w:rsidR="000A057E" w:rsidRPr="000A057E">
        <w:rPr>
          <w:rFonts w:cs="Times New Roman" w:hint="eastAsia"/>
        </w:rPr>
        <w:t>類別，但其法律爭點、裁判結構、請求內容與文本特徵可能存在明顯差異，因此</w:t>
      </w:r>
      <w:r w:rsidR="000A057E" w:rsidRPr="000A057E">
        <w:rPr>
          <w:rFonts w:cs="Times New Roman" w:hint="eastAsia"/>
        </w:rPr>
        <w:t xml:space="preserve"> Mixed </w:t>
      </w:r>
      <w:r w:rsidR="000A057E" w:rsidRPr="000A057E">
        <w:rPr>
          <w:rFonts w:cs="Times New Roman" w:hint="eastAsia"/>
        </w:rPr>
        <w:t>類別具有較高的類別內異質性。當同一類別內包含多種不同法律結果時，模型可能較難學習一致且穩定的文字特徵，亦可能使</w:t>
      </w:r>
      <w:r w:rsidR="000A057E" w:rsidRPr="000A057E">
        <w:rPr>
          <w:rFonts w:cs="Times New Roman" w:hint="eastAsia"/>
        </w:rPr>
        <w:t xml:space="preserve"> Mixed </w:t>
      </w:r>
      <w:r w:rsidR="000A057E" w:rsidRPr="000A057E">
        <w:rPr>
          <w:rFonts w:cs="Times New Roman" w:hint="eastAsia"/>
        </w:rPr>
        <w:t>與</w:t>
      </w:r>
      <w:r w:rsidR="000A057E" w:rsidRPr="000A057E">
        <w:rPr>
          <w:rFonts w:cs="Times New Roman" w:hint="eastAsia"/>
        </w:rPr>
        <w:t xml:space="preserve"> Lose </w:t>
      </w:r>
      <w:r w:rsidR="000A057E" w:rsidRPr="000A057E">
        <w:rPr>
          <w:rFonts w:cs="Times New Roman" w:hint="eastAsia"/>
        </w:rPr>
        <w:t>或</w:t>
      </w:r>
      <w:r w:rsidR="000A057E" w:rsidRPr="000A057E">
        <w:rPr>
          <w:rFonts w:cs="Times New Roman" w:hint="eastAsia"/>
        </w:rPr>
        <w:t xml:space="preserve"> Win </w:t>
      </w:r>
      <w:r w:rsidR="000A057E" w:rsidRPr="000A057E">
        <w:rPr>
          <w:rFonts w:cs="Times New Roman" w:hint="eastAsia"/>
        </w:rPr>
        <w:t>類別之間產生較高的文本重疊，進而增加分類難度並降低模型對</w:t>
      </w:r>
      <w:r w:rsidR="000A057E" w:rsidRPr="000A057E">
        <w:rPr>
          <w:rFonts w:cs="Times New Roman" w:hint="eastAsia"/>
        </w:rPr>
        <w:t xml:space="preserve"> Mixed </w:t>
      </w:r>
      <w:r w:rsidR="000A057E" w:rsidRPr="000A057E">
        <w:rPr>
          <w:rFonts w:cs="Times New Roman" w:hint="eastAsia"/>
        </w:rPr>
        <w:t>類別的辨識效果。其他裁判結果類型，例如</w:t>
      </w:r>
      <w:r w:rsidR="000A057E" w:rsidRPr="000A057E">
        <w:rPr>
          <w:rFonts w:cs="Times New Roman" w:hint="eastAsia"/>
        </w:rPr>
        <w:t xml:space="preserve"> Other</w:t>
      </w:r>
      <w:r w:rsidR="000A057E" w:rsidRPr="000A057E">
        <w:rPr>
          <w:rFonts w:cs="Times New Roman" w:hint="eastAsia"/>
        </w:rPr>
        <w:t>、</w:t>
      </w:r>
      <w:r w:rsidR="000A057E" w:rsidRPr="000A057E">
        <w:rPr>
          <w:rFonts w:cs="Times New Roman" w:hint="eastAsia"/>
        </w:rPr>
        <w:t>Remand</w:t>
      </w:r>
      <w:r w:rsidR="000A057E" w:rsidRPr="000A057E">
        <w:rPr>
          <w:rFonts w:cs="Times New Roman" w:hint="eastAsia"/>
        </w:rPr>
        <w:t>、</w:t>
      </w:r>
      <w:r w:rsidR="000A057E" w:rsidRPr="000A057E">
        <w:rPr>
          <w:rFonts w:cs="Times New Roman" w:hint="eastAsia"/>
        </w:rPr>
        <w:t>Settlement_Partial</w:t>
      </w:r>
      <w:r w:rsidR="000A057E" w:rsidRPr="000A057E">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772FD797">
            <wp:extent cx="4244340" cy="2476500"/>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r w:rsidR="00120A33" w:rsidRPr="00706F03">
        <w:rPr>
          <w:rFonts w:cs="Times New Roman"/>
          <w:b/>
          <w:szCs w:val="28"/>
        </w:rPr>
        <w:t>BoW</w:t>
      </w:r>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BoW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BoW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BoW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BoW </w:t>
      </w:r>
      <w:r w:rsidRPr="00706F03">
        <w:rPr>
          <w:rFonts w:cs="Times New Roman"/>
          <w:szCs w:val="28"/>
        </w:rPr>
        <w:t>的基礎上，進一步將詞彙出現次數轉換為該詞彙在單篇文件中的相對次數。</w:t>
      </w:r>
      <w:r w:rsidR="00456D93" w:rsidRPr="00706F03">
        <w:rPr>
          <w:rFonts w:cs="Times New Roman"/>
          <w:szCs w:val="28"/>
        </w:rPr>
        <w:t xml:space="preserve">BoW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smooth_idf</w:t>
      </w:r>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sublinear_tf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TfidfVectorizer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r w:rsidR="001C5A9C" w:rsidRPr="00706F03">
        <w:rPr>
          <w:rFonts w:cs="Times New Roman"/>
          <w:szCs w:val="28"/>
        </w:rPr>
        <w:t>smooth_idf</w:t>
      </w:r>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r w:rsidR="001C5A9C" w:rsidRPr="00706F03">
        <w:rPr>
          <w:rFonts w:cs="Times New Roman"/>
          <w:szCs w:val="28"/>
        </w:rPr>
        <w:t xml:space="preserve">smooth_idf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BoW</w:t>
      </w:r>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5F9C0AFA"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w:t>
      </w:r>
      <w:r w:rsidR="00020E45">
        <w:rPr>
          <w:rFonts w:cs="Times New Roman"/>
        </w:rPr>
        <w:t>8</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x</w:t>
      </w:r>
      <w:r w:rsidR="00E20216" w:rsidRPr="00706F03">
        <w:rPr>
          <w:rFonts w:ascii="Cambria Math" w:hAnsi="Cambria Math" w:cs="Cambria Math"/>
        </w:rPr>
        <w:t>∣</w:t>
      </w:r>
      <w:r w:rsidR="00E20216" w:rsidRPr="00706F03">
        <w:rPr>
          <w:rFonts w:cs="Times New Roman"/>
        </w:rPr>
        <w:t xml:space="preserve">y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LinearSVC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r w:rsidRPr="00706F03">
        <w:rPr>
          <w:rFonts w:cs="Times New Roman" w:hint="eastAsia"/>
          <w:szCs w:val="28"/>
        </w:rPr>
        <w:t>BoW</w:t>
      </w:r>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r w:rsidRPr="00706F03">
        <w:rPr>
          <w:rFonts w:cs="Times New Roman" w:hint="eastAsia"/>
          <w:szCs w:val="28"/>
        </w:rPr>
        <w:t>LinearSVC</w:t>
      </w:r>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BoW</w:t>
            </w:r>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r w:rsidRPr="0041775A">
        <w:rPr>
          <w:rFonts w:cs="Times New Roman" w:hint="eastAsia"/>
          <w:szCs w:val="28"/>
        </w:rPr>
        <w:t>BoW</w:t>
      </w:r>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058A6100"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TableGrid"/>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BoW</w:t>
            </w:r>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BoW</w:t>
            </w:r>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BoW</w:t>
            </w:r>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w:t>
      </w:r>
      <w:r w:rsidR="00CE420E" w:rsidRPr="00706F03">
        <w:rPr>
          <w:rFonts w:cs="Times New Roman"/>
        </w:rPr>
        <w:lastRenderedPageBreak/>
        <w:t>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BoW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w:t>
      </w:r>
      <w:r w:rsidRPr="00706F03">
        <w:rPr>
          <w:rFonts w:cs="Times New Roman"/>
        </w:rPr>
        <w:lastRenderedPageBreak/>
        <w:t>律文本之分類訊號可能分散於多個高維詞彙特徵的情況下，</w:t>
      </w:r>
      <w:r w:rsidRPr="00706F03">
        <w:rPr>
          <w:rFonts w:cs="Times New Roman"/>
        </w:rPr>
        <w:t xml:space="preserve">SVM </w:t>
      </w:r>
      <w:r w:rsidRPr="00706F03">
        <w:rPr>
          <w:rFonts w:cs="Times New Roman"/>
        </w:rPr>
        <w:t>直接利用高維稀疏特徵建立分類邊界，可能比先經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BoW</w:t>
      </w:r>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BoW</w:t>
            </w:r>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BoW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BoW </w:t>
      </w:r>
      <w:r w:rsidRPr="00706F03">
        <w:t>表現最高，為</w:t>
      </w:r>
      <w:r w:rsidRPr="00706F03">
        <w:t xml:space="preserve"> 0.654</w:t>
      </w:r>
      <w:r w:rsidRPr="00706F03">
        <w:t>。不過，部分資料集中三種文字特徵表示的表現差距有限，因此不宜過度解讀單一特徵表示的優劣。例如，行政案件</w:t>
      </w:r>
      <w:r w:rsidRPr="00706F03">
        <w:lastRenderedPageBreak/>
        <w:t>中</w:t>
      </w:r>
      <w:r w:rsidRPr="00706F03">
        <w:t xml:space="preserve"> BoW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r w:rsidRPr="00706F03">
        <w:t xml:space="preserve">BoW </w:t>
      </w:r>
      <w:r w:rsidRPr="00706F03">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r w:rsidRPr="00706F03">
        <w:t xml:space="preserve">BoW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58AF04E1" w:rsidR="005B7A5E" w:rsidRPr="00706F03" w:rsidRDefault="005B7A5E" w:rsidP="005B7A5E">
      <w:pPr>
        <w:spacing w:line="276" w:lineRule="auto"/>
        <w:ind w:firstLine="480"/>
      </w:pPr>
      <w:r w:rsidRPr="00706F03">
        <w:t>第一，</w:t>
      </w:r>
      <w:r w:rsidRPr="00706F03">
        <w:t xml:space="preserve">BoW </w:t>
      </w:r>
      <w:r w:rsidRPr="00706F03">
        <w:t>保留詞彙出現次數的資訊。若某些案件類型的分類訊號主要來自程序用語、請求類型、案件事實描述或法律爭點詞彙，則</w:t>
      </w:r>
      <w:r w:rsidRPr="00706F03">
        <w:t xml:space="preserve"> BoW </w:t>
      </w:r>
      <w:r w:rsidRPr="00706F03">
        <w:t>可能已足以捕捉重要分類訊號。行政案件與刑事附帶民事案件中</w:t>
      </w:r>
      <w:r w:rsidRPr="00706F03">
        <w:t xml:space="preserve"> BoW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BoW</w:t>
      </w:r>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r w:rsidRPr="00706F03">
        <w:t>BoW</w:t>
      </w:r>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5CF7F6EB">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w:t>
      </w:r>
      <w:r w:rsidRPr="00706F03">
        <w:lastRenderedPageBreak/>
        <w:t>驗證進行確認。</w:t>
      </w:r>
    </w:p>
    <w:p w14:paraId="407F8CB7" w14:textId="7777777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w:t>
      </w:r>
      <w:r w:rsidRPr="007A051D">
        <w:rPr>
          <w:rFonts w:cs="Times New Roman" w:hint="eastAsia"/>
        </w:rPr>
        <w:lastRenderedPageBreak/>
        <w:t>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Heading1"/>
        <w:rPr>
          <w:rFonts w:ascii="Times New Roman" w:eastAsia="DFKai-SB" w:hAnsi="Times New Roman" w:cs="Times New Roman"/>
          <w:color w:val="auto"/>
          <w:sz w:val="22"/>
          <w:szCs w:val="22"/>
        </w:rPr>
      </w:pPr>
      <w:r w:rsidRPr="003E09F7">
        <w:rPr>
          <w:rFonts w:ascii="Times New Roman" w:eastAsia="DFKai-SB" w:hAnsi="Times New Roman" w:cs="Times New Roman"/>
          <w:color w:val="auto"/>
          <w:sz w:val="22"/>
          <w:szCs w:val="22"/>
        </w:rPr>
        <w:t>表</w:t>
      </w:r>
      <w:r w:rsidRPr="003E09F7">
        <w:rPr>
          <w:rFonts w:ascii="Times New Roman" w:eastAsia="DFKai-SB" w:hAnsi="Times New Roman" w:cs="Times New Roman"/>
          <w:color w:val="auto"/>
          <w:sz w:val="22"/>
          <w:szCs w:val="22"/>
        </w:rPr>
        <w:t xml:space="preserve"> 4-9 </w:t>
      </w:r>
      <w:r w:rsidRPr="003E09F7">
        <w:rPr>
          <w:rFonts w:ascii="Times New Roman" w:eastAsia="DFKai-SB" w:hAnsi="Times New Roman" w:cs="Times New Roman"/>
          <w:color w:val="auto"/>
          <w:sz w:val="22"/>
          <w:szCs w:val="22"/>
        </w:rPr>
        <w:t>民事案件最佳</w:t>
      </w:r>
      <w:r w:rsidRPr="003E09F7">
        <w:rPr>
          <w:rFonts w:ascii="Times New Roman" w:eastAsia="DFKai-SB" w:hAnsi="Times New Roman" w:cs="Times New Roman"/>
          <w:color w:val="auto"/>
          <w:sz w:val="22"/>
          <w:szCs w:val="22"/>
        </w:rPr>
        <w:t xml:space="preserve"> Chi-square + SVM </w:t>
      </w:r>
      <w:r w:rsidRPr="003E09F7">
        <w:rPr>
          <w:rFonts w:ascii="Times New Roman" w:eastAsia="DFKai-SB"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w:t>
      </w:r>
      <w:r w:rsidRPr="00706F03">
        <w:rPr>
          <w:rFonts w:cs="Times New Roman"/>
        </w:rPr>
        <w:lastRenderedPageBreak/>
        <w:t>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w:t>
      </w:r>
      <w:r w:rsidRPr="00706F03">
        <w:rPr>
          <w:rFonts w:cs="Times New Roman"/>
        </w:rPr>
        <w:lastRenderedPageBreak/>
        <w:t>判結果。較精確地說，模型在主要類別上具有一定分類能力，但對少數類別仍存在明顯限制。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r w:rsidRPr="00706F03">
        <w:rPr>
          <w:rFonts w:cs="Times New Roman"/>
        </w:rPr>
        <w:t>Aletras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Surdeanu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r w:rsidR="00461938" w:rsidRPr="00706F03">
        <w:rPr>
          <w:rFonts w:cs="Times New Roman"/>
        </w:rPr>
        <w:t>BoW</w:t>
      </w:r>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BoW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w:t>
      </w:r>
      <w:r w:rsidRPr="00706F03">
        <w:rPr>
          <w:rFonts w:cs="Times New Roman"/>
        </w:rPr>
        <w:lastRenderedPageBreak/>
        <w:t>劃分，相關模型表現仍可能受到特定樣本分布影響，因此本研究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579B9BFC"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5.2 </w:t>
      </w:r>
      <w:r w:rsidRPr="00706F03">
        <w:rPr>
          <w:rFonts w:ascii="Times New Roman" w:eastAsia="DFKai-SB"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4433113E" w:rsidR="00053F92" w:rsidRPr="00706F03" w:rsidRDefault="00D32995" w:rsidP="0066788F">
      <w:pPr>
        <w:widowControl/>
        <w:spacing w:line="276" w:lineRule="auto"/>
        <w:rPr>
          <w:rFonts w:cs="Times New Roman"/>
          <w:szCs w:val="28"/>
        </w:rPr>
      </w:pPr>
      <w:r w:rsidRPr="00D32995">
        <w:rPr>
          <w:rFonts w:cs="Times New Roman"/>
          <w:szCs w:val="28"/>
        </w:rPr>
        <w:t>第三，裁判結果標籤可能存在邊界模糊與類別內部異質性。本研究將裁判結果整理為</w:t>
      </w:r>
      <w:r w:rsidRPr="00D32995">
        <w:rPr>
          <w:rFonts w:cs="Times New Roman"/>
          <w:szCs w:val="28"/>
        </w:rPr>
        <w:t>Lose</w:t>
      </w:r>
      <w:r w:rsidRPr="00D32995">
        <w:rPr>
          <w:rFonts w:cs="Times New Roman"/>
          <w:szCs w:val="28"/>
        </w:rPr>
        <w:t>、</w:t>
      </w:r>
      <w:r w:rsidRPr="00D32995">
        <w:rPr>
          <w:rFonts w:cs="Times New Roman"/>
          <w:szCs w:val="28"/>
        </w:rPr>
        <w:t>Mixed</w:t>
      </w:r>
      <w:r w:rsidRPr="00D32995">
        <w:rPr>
          <w:rFonts w:cs="Times New Roman"/>
          <w:szCs w:val="28"/>
        </w:rPr>
        <w:t>與</w:t>
      </w:r>
      <w:r w:rsidRPr="00D32995">
        <w:rPr>
          <w:rFonts w:cs="Times New Roman"/>
          <w:szCs w:val="28"/>
        </w:rPr>
        <w:t>Win</w:t>
      </w:r>
      <w:r w:rsidRPr="00D32995">
        <w:rPr>
          <w:rFonts w:cs="Times New Roman"/>
          <w:szCs w:val="28"/>
        </w:rPr>
        <w:t>三類。然而，</w:t>
      </w:r>
      <w:r w:rsidRPr="00D32995">
        <w:rPr>
          <w:rFonts w:cs="Times New Roman"/>
          <w:szCs w:val="28"/>
        </w:rPr>
        <w:t>Mixed</w:t>
      </w:r>
      <w:r w:rsidRPr="00D32995">
        <w:rPr>
          <w:rFonts w:cs="Times New Roman"/>
          <w:szCs w:val="28"/>
        </w:rPr>
        <w:t>類別代表部分勝訴，其內部可能包含部分請求成立、部分損害賠償金額獲得支持、部分權利範圍獲法院認定，或不同當事人與不同爭點出現不同裁判結果等情形。這些案件雖皆被歸入</w:t>
      </w:r>
      <w:r w:rsidRPr="00D32995">
        <w:rPr>
          <w:rFonts w:cs="Times New Roman"/>
          <w:szCs w:val="28"/>
        </w:rPr>
        <w:t>Mixed</w:t>
      </w:r>
      <w:r w:rsidRPr="00D32995">
        <w:rPr>
          <w:rFonts w:cs="Times New Roman"/>
          <w:szCs w:val="28"/>
        </w:rPr>
        <w:t>，但其法律意義與文本特徵未必一致，因此可能具有較高的類別內異質性。模型對</w:t>
      </w:r>
      <w:r w:rsidRPr="00D32995">
        <w:rPr>
          <w:rFonts w:cs="Times New Roman"/>
          <w:szCs w:val="28"/>
        </w:rPr>
        <w:t>Mixed</w:t>
      </w:r>
      <w:r w:rsidRPr="00D32995">
        <w:rPr>
          <w:rFonts w:cs="Times New Roman"/>
          <w:szCs w:val="28"/>
        </w:rPr>
        <w:t>類別辨識較弱，除了受到樣本數影響外，也可能與此一標籤異質性有關。換言之，三類標籤設計有助於保留部分勝訴案件的法律意義，但仍無法完全呈現智慧財產權判決結果的細緻差異。未來研究可進一步細分不同類型的部分勝訴結果，或採用階層式分類方法，以檢驗降低類別內異質性後，是否能改善模型分類表現。</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w:t>
      </w:r>
      <w:r w:rsidRPr="00706F03">
        <w:rPr>
          <w:rFonts w:cs="Times New Roman"/>
          <w:szCs w:val="28"/>
        </w:rPr>
        <w:lastRenderedPageBreak/>
        <w:t>配置或理由結構。故本研究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r w:rsidRPr="00433214">
        <w:rPr>
          <w:rFonts w:cs="Times New Roman" w:hint="eastAsia"/>
          <w:szCs w:val="28"/>
        </w:rPr>
        <w:t>BoW</w:t>
      </w:r>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r w:rsidRPr="00C10485">
        <w:rPr>
          <w:rFonts w:cs="Times New Roman" w:hint="eastAsia"/>
          <w:szCs w:val="28"/>
        </w:rPr>
        <w:t>BoW</w:t>
      </w:r>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5.4 </w:t>
      </w:r>
      <w:r w:rsidR="00267900" w:rsidRPr="00706F03">
        <w:rPr>
          <w:rFonts w:ascii="Times New Roman" w:eastAsia="DFKai-SB"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w:t>
      </w:r>
      <w:r w:rsidRPr="00706F03">
        <w:rPr>
          <w:rFonts w:cs="Times New Roman"/>
          <w:szCs w:val="28"/>
        </w:rPr>
        <w:lastRenderedPageBreak/>
        <w:t>識能力密切相關。尤其本研究結果顯示，在本研究資料、文本處理方式與超參數設定下，</w:t>
      </w:r>
      <w:r w:rsidRPr="00706F03">
        <w:rPr>
          <w:rFonts w:cs="Times New Roman"/>
          <w:szCs w:val="28"/>
        </w:rPr>
        <w:t xml:space="preserve">Chi-square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BoW</w:t>
      </w:r>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r w:rsidRPr="00706F03">
        <w:rPr>
          <w:rFonts w:cs="Times New Roman"/>
          <w:szCs w:val="28"/>
        </w:rPr>
        <w:t xml:space="preserve">BoW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r w:rsidRPr="00706F03">
        <w:rPr>
          <w:rFonts w:cs="Times New Roman"/>
          <w:szCs w:val="28"/>
        </w:rPr>
        <w:t>BoW</w:t>
      </w:r>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5.5 </w:t>
      </w:r>
      <w:r w:rsidRPr="00706F03">
        <w:rPr>
          <w:rFonts w:ascii="Times New Roman" w:eastAsia="DFKai-SB"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中文文獻</w:t>
      </w:r>
    </w:p>
    <w:p w14:paraId="4737C2B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刑事訴訟須知</w:t>
      </w:r>
      <w:r w:rsidRPr="00706F03">
        <w:rPr>
          <w:rFonts w:cs="Times New Roman"/>
        </w:rPr>
        <w:t>。</w:t>
      </w:r>
      <w:r w:rsidRPr="00706F03">
        <w:rPr>
          <w:rFonts w:cs="Times New Roman"/>
        </w:rPr>
        <w:t>司法院全球資訊網</w:t>
      </w:r>
      <w:r w:rsidRPr="00706F03">
        <w:rPr>
          <w:rFonts w:cs="Times New Roman"/>
        </w:rPr>
        <w:t>。</w:t>
      </w:r>
      <w:hyperlink r:id="rId18" w:history="1">
        <w:r w:rsidRPr="00706F03">
          <w:rPr>
            <w:rStyle w:val="Hyperlink"/>
            <w:rFonts w:cs="Times New Roman"/>
            <w:color w:val="auto"/>
          </w:rPr>
          <w:t>https://www.judicial.gov.tw/tw/cp-165-28-683b6-1.html</w:t>
        </w:r>
      </w:hyperlink>
    </w:p>
    <w:p w14:paraId="6BC6DDC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w:t>
      </w:r>
      <w:r w:rsidRPr="00706F03">
        <w:rPr>
          <w:rFonts w:cs="Times New Roman"/>
          <w:i/>
          <w:iCs/>
        </w:rPr>
        <w:t>民事訴訟須知</w:t>
      </w:r>
      <w:r w:rsidRPr="00706F03">
        <w:rPr>
          <w:rFonts w:cs="Times New Roman"/>
        </w:rPr>
        <w:t>。</w:t>
      </w:r>
      <w:r w:rsidR="003F5CB6" w:rsidRPr="00706F03">
        <w:rPr>
          <w:rFonts w:cs="Times New Roman"/>
        </w:rPr>
        <w:t>司法院全球資訊網</w:t>
      </w:r>
      <w:r w:rsidRPr="00706F03">
        <w:rPr>
          <w:rFonts w:cs="Times New Roman"/>
        </w:rPr>
        <w:t>。</w:t>
      </w:r>
      <w:hyperlink r:id="rId19" w:history="1">
        <w:r w:rsidRPr="00706F03">
          <w:rPr>
            <w:rStyle w:val="Hyperlink"/>
            <w:rFonts w:cs="Times New Roman"/>
            <w:color w:val="auto"/>
          </w:rPr>
          <w:t>https://www.judicial.gov.tw/tw/cp-165-27-430b8-1.html</w:t>
        </w:r>
      </w:hyperlink>
    </w:p>
    <w:p w14:paraId="4136883A" w14:textId="40D037D9"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D32995">
        <w:rPr>
          <w:rFonts w:cs="Times New Roman" w:hint="eastAsia"/>
        </w:rPr>
        <w:t xml:space="preserve"> </w:t>
      </w:r>
      <w:r w:rsidR="00D32995">
        <w:rPr>
          <w:rFonts w:cs="Times New Roman"/>
        </w:rPr>
        <w:t>7</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刑事附帶民事訴訟起訴狀</w:t>
      </w:r>
      <w:r w:rsidRPr="00706F03">
        <w:rPr>
          <w:rFonts w:cs="Times New Roman"/>
        </w:rPr>
        <w:t>。</w:t>
      </w:r>
      <w:r w:rsidRPr="00706F03">
        <w:rPr>
          <w:rFonts w:cs="Times New Roman"/>
        </w:rPr>
        <w:t>司法院全球資訊網</w:t>
      </w:r>
      <w:r w:rsidRPr="00706F03">
        <w:rPr>
          <w:rFonts w:cs="Times New Roman"/>
        </w:rPr>
        <w:t>。</w:t>
      </w:r>
      <w:hyperlink r:id="rId20" w:history="1">
        <w:r w:rsidRPr="00706F03">
          <w:rPr>
            <w:rStyle w:val="Hyperlink"/>
            <w:rFonts w:cs="Times New Roman"/>
            <w:color w:val="auto"/>
          </w:rPr>
          <w:t>https://www.judicial.gov.tw/tw/cp-137</w:t>
        </w:r>
        <w:r w:rsidRPr="00706F03">
          <w:rPr>
            <w:rStyle w:val="Hyperlink"/>
            <w:rFonts w:cs="Times New Roman"/>
            <w:color w:val="auto"/>
          </w:rPr>
          <w:t>0</w:t>
        </w:r>
        <w:r w:rsidRPr="00706F03">
          <w:rPr>
            <w:rStyle w:val="Hyperlink"/>
            <w:rFonts w:cs="Times New Roman"/>
            <w:color w:val="auto"/>
          </w:rPr>
          <w:t>-</w:t>
        </w:r>
        <w:r w:rsidRPr="00706F03">
          <w:rPr>
            <w:rStyle w:val="Hyperlink"/>
            <w:rFonts w:cs="Times New Roman"/>
            <w:color w:val="auto"/>
          </w:rPr>
          <w:t>4</w:t>
        </w:r>
        <w:r w:rsidRPr="00706F03">
          <w:rPr>
            <w:rStyle w:val="Hyperlink"/>
            <w:rFonts w:cs="Times New Roman"/>
            <w:color w:val="auto"/>
          </w:rPr>
          <w:t>310-e5078-1.html</w:t>
        </w:r>
      </w:hyperlink>
    </w:p>
    <w:p w14:paraId="7FC60BFD" w14:textId="55E8FAF3"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00020E45">
        <w:rPr>
          <w:rFonts w:cs="Times New Roman"/>
        </w:rPr>
        <w:t>7</w:t>
      </w:r>
      <w:r w:rsidR="00141ACE" w:rsidRPr="00706F03">
        <w:rPr>
          <w:rFonts w:cs="Times New Roman"/>
        </w:rPr>
        <w:t xml:space="preserve"> </w:t>
      </w:r>
      <w:r w:rsidRPr="00706F03">
        <w:rPr>
          <w:rFonts w:cs="Times New Roman"/>
        </w:rPr>
        <w:t>月</w:t>
      </w:r>
      <w:r w:rsidR="00020E45">
        <w:rPr>
          <w:rFonts w:cs="Times New Roman"/>
        </w:rPr>
        <w:t>9</w:t>
      </w:r>
      <w:r w:rsidR="00141ACE" w:rsidRPr="00706F03">
        <w:rPr>
          <w:rFonts w:cs="Times New Roman"/>
        </w:rPr>
        <w:t xml:space="preserve"> </w:t>
      </w:r>
      <w:r w:rsidRPr="00706F03">
        <w:rPr>
          <w:rFonts w:cs="Times New Roman"/>
        </w:rPr>
        <w:t>日）。</w:t>
      </w:r>
      <w:r w:rsidRPr="00706F03">
        <w:rPr>
          <w:rFonts w:cs="Times New Roman"/>
          <w:i/>
          <w:iCs/>
        </w:rPr>
        <w:t>行政訴訟</w:t>
      </w:r>
      <w:r w:rsidRPr="00706F03">
        <w:rPr>
          <w:rFonts w:cs="Times New Roman"/>
        </w:rPr>
        <w:t>。</w:t>
      </w:r>
      <w:r w:rsidR="003F5CB6" w:rsidRPr="00706F03">
        <w:rPr>
          <w:rFonts w:cs="Times New Roman"/>
        </w:rPr>
        <w:t>司法院全球資訊網</w:t>
      </w:r>
      <w:r w:rsidRPr="00706F03">
        <w:rPr>
          <w:rFonts w:cs="Times New Roman"/>
        </w:rPr>
        <w:t>。</w:t>
      </w:r>
      <w:hyperlink r:id="rId21" w:history="1">
        <w:r w:rsidRPr="00706F03">
          <w:rPr>
            <w:rStyle w:val="Hyperlink"/>
            <w:rFonts w:cs="Times New Roman"/>
            <w:color w:val="auto"/>
          </w:rPr>
          <w:t>https://www.judicial.gov.t</w:t>
        </w:r>
        <w:r w:rsidRPr="00706F03">
          <w:rPr>
            <w:rStyle w:val="Hyperlink"/>
            <w:rFonts w:cs="Times New Roman"/>
            <w:color w:val="auto"/>
          </w:rPr>
          <w:t>w</w:t>
        </w:r>
        <w:r w:rsidRPr="00706F03">
          <w:rPr>
            <w:rStyle w:val="Hyperlink"/>
            <w:rFonts w:cs="Times New Roman"/>
            <w:color w:val="auto"/>
          </w:rPr>
          <w:t>/tw/np-85-1.html</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2" w:history="1">
        <w:r w:rsidR="00461938" w:rsidRPr="00706F03">
          <w:rPr>
            <w:rStyle w:val="Hyperlink"/>
            <w:rFonts w:cs="Times New Roman"/>
            <w:color w:val="auto"/>
          </w:rPr>
          <w:t>https://law.moj.gov.tw/LawClass/LawAll.aspx?pcode=A0010090</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iCs/>
        </w:rPr>
        <w:t>經濟論文</w:t>
      </w:r>
      <w:r w:rsidRPr="00706F03">
        <w:rPr>
          <w:rFonts w:cs="Times New Roman"/>
        </w:rPr>
        <w:t>，</w:t>
      </w:r>
      <w:r w:rsidRPr="00706F03">
        <w:rPr>
          <w:rFonts w:cs="Times New Roman"/>
          <w:i/>
          <w:iCs/>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hyperlink r:id="rId23" w:history="1">
        <w:r w:rsidRPr="00706F03">
          <w:rPr>
            <w:rStyle w:val="Hyperlink"/>
            <w:rFonts w:cs="Times New Roman"/>
            <w:color w:val="auto"/>
          </w:rPr>
          <w:t>https://www.airitilibrary.com/Article/Detail/1018161x-201912-201912300022-201912300022-533-546</w:t>
        </w:r>
      </w:hyperlink>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w:t>
      </w:r>
      <w:r w:rsidRPr="00F47BAC">
        <w:rPr>
          <w:rFonts w:cs="Times New Roman" w:hint="eastAsia"/>
          <w:i/>
          <w:iCs/>
        </w:rPr>
        <w:t>專利師</w:t>
      </w:r>
      <w:r w:rsidRPr="00F47BAC">
        <w:rPr>
          <w:rFonts w:cs="Times New Roman" w:hint="eastAsia"/>
        </w:rPr>
        <w:t>》，</w:t>
      </w:r>
      <w:r w:rsidRPr="00F47BAC">
        <w:rPr>
          <w:rFonts w:cs="Times New Roman" w:hint="eastAsia"/>
          <w:i/>
          <w:iCs/>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hyperlink r:id="rId24" w:history="1">
        <w:r w:rsidRPr="009602E7">
          <w:rPr>
            <w:rStyle w:val="Hyperlink"/>
            <w:rFonts w:cs="Times New Roman" w:hint="eastAsia"/>
          </w:rPr>
          <w:t>https://doi.org/10.3966/221845622017070030001</w:t>
        </w:r>
      </w:hyperlink>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iCs/>
        </w:rPr>
        <w:t>科技法學評論</w:t>
      </w:r>
      <w:r w:rsidRPr="00706F03">
        <w:rPr>
          <w:rFonts w:cs="Times New Roman"/>
        </w:rPr>
        <w:t>，</w:t>
      </w:r>
      <w:r w:rsidRPr="00706F03">
        <w:rPr>
          <w:rFonts w:cs="Times New Roman"/>
          <w:i/>
          <w:iCs/>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hyperlink r:id="rId25" w:history="1">
        <w:r w:rsidR="003F5CB6" w:rsidRPr="00706F03">
          <w:rPr>
            <w:rStyle w:val="Hyperlink"/>
            <w:rFonts w:cs="Times New Roman"/>
            <w:color w:val="auto"/>
          </w:rPr>
          <w:t>https://lawdata.com.tw/tw/doi/?doi=10.3966/181130952013121002001</w:t>
        </w:r>
      </w:hyperlink>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iCs/>
        </w:rPr>
        <w:t>專利師</w:t>
      </w:r>
      <w:r w:rsidRPr="00706F03">
        <w:rPr>
          <w:rFonts w:cs="Times New Roman"/>
        </w:rPr>
        <w:t>，</w:t>
      </w:r>
      <w:r w:rsidRPr="00706F03">
        <w:rPr>
          <w:rFonts w:cs="Times New Roman"/>
          <w:i/>
          <w:iCs/>
        </w:rPr>
        <w:t>47</w:t>
      </w:r>
      <w:r w:rsidR="00B57FD2" w:rsidRPr="00706F03">
        <w:rPr>
          <w:rFonts w:cs="Times New Roman"/>
        </w:rPr>
        <w:t>，</w:t>
      </w:r>
      <w:r w:rsidR="00B57FD2" w:rsidRPr="00706F03">
        <w:rPr>
          <w:rFonts w:cs="Times New Roman"/>
        </w:rPr>
        <w:t>1-11</w:t>
      </w:r>
      <w:r w:rsidRPr="00706F03">
        <w:rPr>
          <w:rFonts w:cs="Times New Roman"/>
        </w:rPr>
        <w:t>。</w:t>
      </w:r>
      <w:hyperlink r:id="rId26" w:history="1">
        <w:r w:rsidR="00B57FD2" w:rsidRPr="00706F03">
          <w:rPr>
            <w:rStyle w:val="Hyperlink"/>
            <w:rFonts w:cs="Times New Roman"/>
            <w:color w:val="auto"/>
          </w:rPr>
          <w:t>https://lawdata.com.tw/tw/doi/?doi=10.3966/221845622021100047001</w:t>
        </w:r>
      </w:hyperlink>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w:t>
      </w:r>
      <w:r w:rsidRPr="00706F03">
        <w:rPr>
          <w:rFonts w:cs="Times New Roman"/>
          <w:i/>
          <w:iCs/>
        </w:rPr>
        <w:t>從數據一探智慧財產法院運作實況：專題三，民事訴訟</w:t>
      </w:r>
      <w:r w:rsidRPr="00706F03">
        <w:rPr>
          <w:rFonts w:cs="Times New Roman"/>
        </w:rPr>
        <w:t>。</w:t>
      </w:r>
      <w:r w:rsidRPr="00706F03">
        <w:rPr>
          <w:rFonts w:cs="Times New Roman"/>
        </w:rPr>
        <w:t>Winkler Partners</w:t>
      </w:r>
      <w:r w:rsidRPr="00706F03">
        <w:rPr>
          <w:rFonts w:cs="Times New Roman"/>
        </w:rPr>
        <w:t>。</w:t>
      </w:r>
      <w:hyperlink r:id="rId27" w:history="1">
        <w:r w:rsidRPr="00706F03">
          <w:rPr>
            <w:rStyle w:val="Hyperlink"/>
            <w:rFonts w:cs="Times New Roman"/>
            <w:color w:val="auto"/>
          </w:rPr>
          <w:t>https://winklerpartners.com/zh/%E5%BE%9E%E6%95%B8%E6%93%9A%E4%B8%80%E6%8E%A2%E6%99%BA%E6%85%A7%E8%B2%A1%E7%94%A2%E6%B3%95%E9%99%A2%E9%81%8B%E4%BD%9C%E5%AF%A6%E6%B3%81-%E5%B0%88%E9%A1%8C%E4%B8%89-%E6%B0%91%E4%BA%8B/</w:t>
        </w:r>
      </w:hyperlink>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t>楊智傑（</w:t>
      </w:r>
      <w:r w:rsidRPr="00706F03">
        <w:rPr>
          <w:rFonts w:cs="Times New Roman"/>
        </w:rPr>
        <w:t>2012</w:t>
      </w:r>
      <w:r w:rsidRPr="00706F03">
        <w:rPr>
          <w:rFonts w:cs="Times New Roman"/>
        </w:rPr>
        <w:t>）。著作權濫用與不當使用之研究。《</w:t>
      </w:r>
      <w:r w:rsidRPr="00706F03">
        <w:rPr>
          <w:rFonts w:cs="Times New Roman"/>
          <w:i/>
          <w:iCs/>
        </w:rPr>
        <w:t>公平交易季刊</w:t>
      </w:r>
      <w:r w:rsidRPr="00706F03">
        <w:rPr>
          <w:rFonts w:cs="Times New Roman"/>
        </w:rPr>
        <w:t>》，</w:t>
      </w:r>
      <w:r w:rsidRPr="00706F03">
        <w:rPr>
          <w:rFonts w:cs="Times New Roman"/>
          <w:i/>
          <w:iCs/>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hyperlink r:id="rId28" w:tgtFrame="_new" w:history="1">
        <w:r w:rsidRPr="00706F03">
          <w:rPr>
            <w:rStyle w:val="Hyperlink"/>
            <w:rFonts w:cs="Times New Roman"/>
            <w:color w:val="auto"/>
          </w:rPr>
          <w:t>https://www.lawbank.com.tw/treatise/pl_article.aspx?AID=P000214582</w:t>
        </w:r>
      </w:hyperlink>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w:t>
      </w:r>
      <w:r w:rsidRPr="00F47BAC">
        <w:rPr>
          <w:rFonts w:cs="Times New Roman" w:hint="eastAsia"/>
          <w:i/>
          <w:iCs/>
        </w:rPr>
        <w:t>著作權數位侵權判決之損害賠償實證研究</w:t>
      </w:r>
      <w:r w:rsidRPr="00F47BAC">
        <w:rPr>
          <w:rFonts w:cs="Times New Roman" w:hint="eastAsia"/>
        </w:rPr>
        <w:t>〉。智慧財產權培訓學院。</w:t>
      </w:r>
      <w:hyperlink r:id="rId29" w:history="1">
        <w:r w:rsidRPr="009602E7">
          <w:rPr>
            <w:rStyle w:val="Hyperlink"/>
            <w:rFonts w:cs="Times New Roman" w:hint="eastAsia"/>
          </w:rPr>
          <w:t>https://www.tipa.org.tw/tc/monthly_detial531.htm</w:t>
        </w:r>
      </w:hyperlink>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w:t>
      </w:r>
      <w:r w:rsidRPr="00F47BAC">
        <w:rPr>
          <w:rFonts w:cs="Times New Roman" w:hint="eastAsia"/>
          <w:i/>
          <w:iCs/>
        </w:rPr>
        <w:t>智慧財產法院成立</w:t>
      </w:r>
      <w:r w:rsidRPr="00F47BAC">
        <w:rPr>
          <w:rFonts w:cs="Times New Roman" w:hint="eastAsia"/>
          <w:i/>
          <w:iCs/>
        </w:rPr>
        <w:t>10</w:t>
      </w:r>
      <w:r w:rsidRPr="00F47BAC">
        <w:rPr>
          <w:rFonts w:cs="Times New Roman" w:hint="eastAsia"/>
          <w:i/>
          <w:iCs/>
        </w:rPr>
        <w:t>年以來受理各類案件審理績效指標及相關訴訟制度之審理實務操作狀況分析</w:t>
      </w:r>
      <w:r w:rsidRPr="00F47BAC">
        <w:rPr>
          <w:rFonts w:cs="Times New Roman" w:hint="eastAsia"/>
        </w:rPr>
        <w:t>〉。智慧財產法院統計室。</w:t>
      </w:r>
      <w:hyperlink r:id="rId30" w:history="1">
        <w:r w:rsidRPr="009602E7">
          <w:rPr>
            <w:rStyle w:val="Hyperlink"/>
            <w:rFonts w:cs="Times New Roman" w:hint="eastAsia"/>
          </w:rPr>
          <w:t>https://ipc.judicial.gov.tw/tw/dl-7697-7b307fa9f3c047a785d875250fc64544.html</w:t>
        </w:r>
      </w:hyperlink>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Aletras, N., Tsarapatsanis, D., Preoţiuc-Pietro, D., &amp; Lampos, V. (2016). Predicting judicial decisions of the European Court of Human Rights: A natural language processing perspective. </w:t>
      </w:r>
      <w:r w:rsidRPr="00706F03">
        <w:rPr>
          <w:rFonts w:cs="Times New Roman"/>
          <w:i/>
          <w:iCs/>
        </w:rPr>
        <w:t>PeerJ Computer Science</w:t>
      </w:r>
      <w:r w:rsidRPr="00706F03">
        <w:rPr>
          <w:rFonts w:cs="Times New Roman"/>
        </w:rPr>
        <w:t xml:space="preserve">, </w:t>
      </w:r>
      <w:r w:rsidRPr="00706F03">
        <w:rPr>
          <w:rFonts w:cs="Times New Roman"/>
          <w:i/>
          <w:iCs/>
        </w:rPr>
        <w:t>2</w:t>
      </w:r>
      <w:r w:rsidRPr="00706F03">
        <w:rPr>
          <w:rFonts w:cs="Times New Roman"/>
        </w:rPr>
        <w:t xml:space="preserve">, Article e93. </w:t>
      </w:r>
      <w:hyperlink r:id="rId31" w:history="1">
        <w:r w:rsidRPr="00706F03">
          <w:rPr>
            <w:rStyle w:val="Hyperlink"/>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Alghazzawi, D., Bamasag, O., Albeshri, A., Sana, I., Ullah, H., &amp; Asghar, M. Z. (2022). Efficient prediction of court judgments using an LSTM+CNN neural network model with an optimal feature set. </w:t>
      </w:r>
      <w:r w:rsidRPr="00706F03">
        <w:rPr>
          <w:rFonts w:cs="Times New Roman"/>
          <w:i/>
          <w:iCs/>
        </w:rPr>
        <w:t>Mathematics</w:t>
      </w:r>
      <w:r w:rsidRPr="00706F03">
        <w:rPr>
          <w:rFonts w:cs="Times New Roman"/>
        </w:rPr>
        <w:t xml:space="preserve">, </w:t>
      </w:r>
      <w:r w:rsidRPr="00706F03">
        <w:rPr>
          <w:rFonts w:cs="Times New Roman"/>
          <w:i/>
          <w:iCs/>
        </w:rPr>
        <w:t>10</w:t>
      </w:r>
      <w:r w:rsidRPr="00706F03">
        <w:rPr>
          <w:rFonts w:cs="Times New Roman"/>
        </w:rPr>
        <w:t xml:space="preserve">(5), Article 683. </w:t>
      </w:r>
      <w:hyperlink r:id="rId32" w:history="1">
        <w:r w:rsidRPr="00706F03">
          <w:rPr>
            <w:rStyle w:val="Hyperlink"/>
            <w:rFonts w:cs="Times New Roman"/>
            <w:color w:val="auto"/>
          </w:rPr>
          <w:t>https://doi.org/10.3390/math10050683</w:t>
        </w:r>
      </w:hyperlink>
    </w:p>
    <w:p w14:paraId="58779590" w14:textId="672AF39B" w:rsidR="003F43CC" w:rsidRPr="00706F03" w:rsidRDefault="006E6541" w:rsidP="003F43CC">
      <w:pPr>
        <w:widowControl/>
        <w:spacing w:line="276" w:lineRule="auto"/>
        <w:ind w:left="720" w:hanging="720"/>
        <w:jc w:val="left"/>
        <w:rPr>
          <w:rFonts w:cs="Times New Roman"/>
        </w:rPr>
      </w:pPr>
      <w:r w:rsidRPr="006E6541">
        <w:rPr>
          <w:rFonts w:cs="Times New Roman"/>
        </w:rPr>
        <w:t xml:space="preserve">Ariai, F., Mackenzie, J., &amp; Demartini, G. (2026). Natural language processing for the legal domain: A survey of tasks, datasets, models, and challenges. </w:t>
      </w:r>
      <w:r w:rsidRPr="006E6541">
        <w:rPr>
          <w:rFonts w:cs="Times New Roman"/>
          <w:i/>
          <w:iCs/>
        </w:rPr>
        <w:t>ACM Computing Surveys</w:t>
      </w:r>
      <w:r w:rsidRPr="006E6541">
        <w:rPr>
          <w:rFonts w:cs="Times New Roman"/>
        </w:rPr>
        <w:t xml:space="preserve">, </w:t>
      </w:r>
      <w:r w:rsidRPr="006E6541">
        <w:rPr>
          <w:rFonts w:cs="Times New Roman"/>
          <w:i/>
          <w:iCs/>
        </w:rPr>
        <w:t>58</w:t>
      </w:r>
      <w:r w:rsidRPr="006E6541">
        <w:rPr>
          <w:rFonts w:cs="Times New Roman"/>
        </w:rPr>
        <w:t>(6), Article 163.</w:t>
      </w:r>
      <w:r w:rsidR="003F43CC" w:rsidRPr="00706F03">
        <w:rPr>
          <w:rFonts w:cs="Times New Roman"/>
        </w:rPr>
        <w:t xml:space="preserve"> </w:t>
      </w:r>
      <w:hyperlink r:id="rId33" w:history="1">
        <w:r w:rsidR="003F43CC" w:rsidRPr="00706F03">
          <w:rPr>
            <w:rStyle w:val="Hyperlink"/>
            <w:rFonts w:cs="Times New Roman"/>
            <w:color w:val="auto"/>
          </w:rPr>
          <w:t>https://doi.org/10.</w:t>
        </w:r>
        <w:r w:rsidR="003F43CC" w:rsidRPr="00706F03">
          <w:rPr>
            <w:rStyle w:val="Hyperlink"/>
            <w:rFonts w:cs="Times New Roman"/>
            <w:color w:val="auto"/>
          </w:rPr>
          <w:t>1</w:t>
        </w:r>
        <w:r w:rsidR="003F43CC" w:rsidRPr="00706F03">
          <w:rPr>
            <w:rStyle w:val="Hyperlink"/>
            <w:rFonts w:cs="Times New Roman"/>
            <w:color w:val="auto"/>
          </w:rPr>
          <w:t>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Androutsopoulos, I., &amp; Aletras, N. (2019). Neural legal judgment prediction in English. In </w:t>
      </w:r>
      <w:r w:rsidRPr="00706F03">
        <w:rPr>
          <w:rFonts w:cs="Times New Roman"/>
          <w:i/>
          <w:iCs/>
        </w:rPr>
        <w:t>Proceedings of the 57th Annual Meeting of the Association for Computational Linguistics</w:t>
      </w:r>
      <w:r w:rsidRPr="00706F03">
        <w:rPr>
          <w:rFonts w:cs="Times New Roman"/>
        </w:rPr>
        <w:t xml:space="preserve"> (pp. 4317–4323). Association for Computational Linguistics. </w:t>
      </w:r>
      <w:hyperlink r:id="rId34" w:history="1">
        <w:r w:rsidRPr="00706F03">
          <w:rPr>
            <w:rStyle w:val="Hyperlink"/>
            <w:rFonts w:cs="Times New Roman"/>
            <w:color w:val="auto"/>
          </w:rPr>
          <w:t>https://aclanthology.org/P19-1424/</w:t>
        </w:r>
      </w:hyperlink>
    </w:p>
    <w:p w14:paraId="7EB18AE1" w14:textId="5FEB5B90" w:rsidR="002A1805" w:rsidRPr="00706F03" w:rsidRDefault="006E6541" w:rsidP="0004071A">
      <w:pPr>
        <w:widowControl/>
        <w:spacing w:line="276" w:lineRule="auto"/>
        <w:ind w:left="720" w:hanging="720"/>
        <w:jc w:val="left"/>
        <w:rPr>
          <w:rFonts w:cs="Times New Roman"/>
        </w:rPr>
      </w:pPr>
      <w:r w:rsidRPr="006E6541">
        <w:rPr>
          <w:rFonts w:cs="Times New Roman"/>
        </w:rPr>
        <w:t xml:space="preserve">Chang, Y.-C., Chen, K.-P., &amp; Lin, C.-C. (2016). </w:t>
      </w:r>
      <w:r w:rsidRPr="006E6541">
        <w:rPr>
          <w:rFonts w:cs="Times New Roman"/>
          <w:i/>
          <w:iCs/>
        </w:rPr>
        <w:t>Anchoring effect in real litigation: An empirical study (University of Chicago Coase-Sandor Institute for Law &amp; Economics Research Paper No. 744)</w:t>
      </w:r>
      <w:r w:rsidRPr="006E6541">
        <w:rPr>
          <w:rFonts w:cs="Times New Roman"/>
        </w:rPr>
        <w:t>. SSRN.</w:t>
      </w:r>
      <w:r w:rsidR="002A1805" w:rsidRPr="00706F03">
        <w:rPr>
          <w:rFonts w:cs="Times New Roman"/>
        </w:rPr>
        <w:t xml:space="preserve"> </w:t>
      </w:r>
      <w:hyperlink r:id="rId35" w:history="1">
        <w:r w:rsidRPr="006E6541">
          <w:rPr>
            <w:rStyle w:val="Hyperlink"/>
          </w:rPr>
          <w:t>https://doi.org/10.2139/ssrn.27</w:t>
        </w:r>
        <w:r w:rsidRPr="006E6541">
          <w:rPr>
            <w:rStyle w:val="Hyperlink"/>
          </w:rPr>
          <w:t>2</w:t>
        </w:r>
        <w:r w:rsidRPr="006E6541">
          <w:rPr>
            <w:rStyle w:val="Hyperlink"/>
          </w:rPr>
          <w:t>6903</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w:t>
      </w:r>
      <w:r w:rsidRPr="00706F03">
        <w:rPr>
          <w:rFonts w:cs="Times New Roman"/>
        </w:rPr>
        <w:t xml:space="preserve">, </w:t>
      </w:r>
      <w:r w:rsidRPr="00706F03">
        <w:rPr>
          <w:rFonts w:cs="Times New Roman"/>
          <w:i/>
          <w:iCs/>
        </w:rPr>
        <w:t>31</w:t>
      </w:r>
      <w:r w:rsidRPr="00706F03">
        <w:rPr>
          <w:rFonts w:cs="Times New Roman"/>
        </w:rPr>
        <w:t xml:space="preserve">(1), 93–126. </w:t>
      </w:r>
      <w:hyperlink r:id="rId36" w:history="1">
        <w:r w:rsidRPr="00706F03">
          <w:rPr>
            <w:rStyle w:val="Hyperlink"/>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37" w:tgtFrame="_new" w:history="1">
        <w:r w:rsidRPr="00706F03">
          <w:rPr>
            <w:rStyle w:val="Hyperlink"/>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iCs/>
        </w:rPr>
        <w:t>American Economic Journal: Applied Economics</w:t>
      </w:r>
      <w:r w:rsidRPr="00706F03">
        <w:rPr>
          <w:rFonts w:cs="Times New Roman"/>
        </w:rPr>
        <w:t xml:space="preserve">, </w:t>
      </w:r>
      <w:r w:rsidRPr="00706F03">
        <w:rPr>
          <w:rFonts w:cs="Times New Roman"/>
          <w:i/>
          <w:iCs/>
        </w:rPr>
        <w:t>10</w:t>
      </w:r>
      <w:r w:rsidRPr="00706F03">
        <w:rPr>
          <w:rFonts w:cs="Times New Roman"/>
        </w:rPr>
        <w:t xml:space="preserve">(3), 171–205. </w:t>
      </w:r>
      <w:hyperlink r:id="rId38" w:history="1">
        <w:r w:rsidRPr="00706F03">
          <w:rPr>
            <w:rStyle w:val="Hyperlink"/>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9" w:history="1">
        <w:r w:rsidRPr="00706F03">
          <w:rPr>
            <w:rStyle w:val="Hyperlink"/>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Heyes, A., &amp; Saberian, S. (2019). Temperature and decisions: Evidence from 207,000 court cases. </w:t>
      </w:r>
      <w:r w:rsidRPr="00706F03">
        <w:rPr>
          <w:rFonts w:cs="Times New Roman"/>
          <w:i/>
          <w:iCs/>
        </w:rPr>
        <w:t>American Economic Journal: Applied Economics</w:t>
      </w:r>
      <w:r w:rsidRPr="00706F03">
        <w:rPr>
          <w:rFonts w:cs="Times New Roman"/>
        </w:rPr>
        <w:t xml:space="preserve">, </w:t>
      </w:r>
      <w:r w:rsidRPr="00706F03">
        <w:rPr>
          <w:rFonts w:cs="Times New Roman"/>
          <w:i/>
          <w:iCs/>
        </w:rPr>
        <w:t>11</w:t>
      </w:r>
      <w:r w:rsidRPr="00706F03">
        <w:rPr>
          <w:rFonts w:cs="Times New Roman"/>
        </w:rPr>
        <w:t xml:space="preserve">(2), 238–265. </w:t>
      </w:r>
      <w:hyperlink r:id="rId40" w:history="1">
        <w:r w:rsidRPr="00706F03">
          <w:rPr>
            <w:rStyle w:val="Hyperlink"/>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w:t>
      </w:r>
      <w:r w:rsidRPr="00706F03">
        <w:rPr>
          <w:rFonts w:cs="Times New Roman"/>
        </w:rPr>
        <w:t xml:space="preserve">, </w:t>
      </w:r>
      <w:r w:rsidRPr="00706F03">
        <w:rPr>
          <w:rFonts w:cs="Times New Roman"/>
          <w:i/>
          <w:iCs/>
        </w:rPr>
        <w:t>11</w:t>
      </w:r>
      <w:r w:rsidRPr="00706F03">
        <w:rPr>
          <w:rFonts w:cs="Times New Roman"/>
        </w:rPr>
        <w:t xml:space="preserve">(21), Article 10361. </w:t>
      </w:r>
      <w:hyperlink r:id="rId41" w:history="1">
        <w:r w:rsidRPr="00706F03">
          <w:rPr>
            <w:rStyle w:val="Hyperlink"/>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Mamakas, D., Tsotsi, P., Androutsopoulos, I., &amp; Chalkidis, I. (2022). Processing long legal documents with pre-trained transformers: Modding LegalBERT and Longformer.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42" w:history="1">
        <w:r w:rsidRPr="00706F03">
          <w:rPr>
            <w:rStyle w:val="Hyperlink"/>
            <w:rFonts w:cs="Times New Roman"/>
            <w:color w:val="auto"/>
          </w:rPr>
          <w:t>https://doi.org/10.18653/v1/2022.nllp-1.11</w:t>
        </w:r>
      </w:hyperlink>
    </w:p>
    <w:p w14:paraId="74F148B2" w14:textId="771E2068" w:rsidR="004C1AE9" w:rsidRPr="00706F03" w:rsidRDefault="00020E45" w:rsidP="0004071A">
      <w:pPr>
        <w:widowControl/>
        <w:spacing w:line="276" w:lineRule="auto"/>
        <w:ind w:left="720" w:hanging="720"/>
        <w:jc w:val="left"/>
        <w:rPr>
          <w:rFonts w:cs="Times New Roman" w:hint="eastAsia"/>
        </w:rPr>
      </w:pPr>
      <w:r w:rsidRPr="00020E45">
        <w:rPr>
          <w:rFonts w:cs="Times New Roman"/>
        </w:rPr>
        <w:t xml:space="preserve">Manning, C. D., Raghavan, P., &amp; Schütze, H. (2008). </w:t>
      </w:r>
      <w:r w:rsidRPr="00020E45">
        <w:rPr>
          <w:rFonts w:cs="Times New Roman"/>
          <w:i/>
          <w:iCs/>
        </w:rPr>
        <w:t>Introduction to information retrieval</w:t>
      </w:r>
      <w:r w:rsidRPr="00020E45">
        <w:rPr>
          <w:rFonts w:cs="Times New Roman"/>
        </w:rPr>
        <w:t xml:space="preserve">. Cambridge University Press. </w:t>
      </w:r>
      <w:hyperlink r:id="rId43" w:history="1">
        <w:r w:rsidRPr="00020E45">
          <w:rPr>
            <w:rStyle w:val="Hyperlink"/>
            <w:rFonts w:cs="Times New Roman"/>
          </w:rPr>
          <w:t>https://doi.org/10</w:t>
        </w:r>
        <w:r w:rsidRPr="00020E45">
          <w:rPr>
            <w:rStyle w:val="Hyperlink"/>
            <w:rFonts w:cs="Times New Roman"/>
          </w:rPr>
          <w:t>.</w:t>
        </w:r>
        <w:r w:rsidRPr="00020E45">
          <w:rPr>
            <w:rStyle w:val="Hyperlink"/>
            <w:rFonts w:cs="Times New Roman"/>
          </w:rPr>
          <w:t>1017/CBO9780511809071</w:t>
        </w:r>
      </w:hyperlink>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r w:rsidRPr="00706F03">
        <w:rPr>
          <w:rFonts w:cs="Times New Roman"/>
          <w:i/>
          <w:iCs/>
        </w:rPr>
        <w:t>sklearn.feature_selection.chi2</w:t>
      </w:r>
      <w:r w:rsidRPr="00706F03">
        <w:rPr>
          <w:rFonts w:cs="Times New Roman"/>
        </w:rPr>
        <w:t xml:space="preserve">. scikit-learn. Retrieved May 10, 2026, from </w:t>
      </w:r>
      <w:hyperlink r:id="rId44" w:history="1">
        <w:r w:rsidRPr="00706F03">
          <w:rPr>
            <w:rStyle w:val="Hyperlink"/>
            <w:rFonts w:cs="Times New Roman"/>
            <w:color w:val="auto"/>
          </w:rPr>
          <w:t>https://scikit-learn.org/stable/modules/generated/sklearn.feature_selection.chi2.html</w:t>
        </w:r>
      </w:hyperlink>
    </w:p>
    <w:p w14:paraId="16BD6D67"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Surdeanu, M., Nallapati, R., Gregory, G., Walker, J., &amp; Manning, C. D. (2011). Risk analysis for intellectual property litigation. In </w:t>
      </w:r>
      <w:r w:rsidRPr="00706F03">
        <w:rPr>
          <w:rFonts w:cs="Times New Roman"/>
          <w:i/>
          <w:iCs/>
        </w:rPr>
        <w:t>Proceedings of the 13th International Conference on Artificial Intelligence and Law</w:t>
      </w:r>
      <w:r w:rsidRPr="00706F03">
        <w:rPr>
          <w:rFonts w:cs="Times New Roman"/>
        </w:rPr>
        <w:t xml:space="preserve"> (pp. 116–120). Association for Computing Machinery. </w:t>
      </w:r>
      <w:hyperlink r:id="rId45" w:history="1">
        <w:r w:rsidRPr="00706F03">
          <w:rPr>
            <w:rStyle w:val="Hyperlink"/>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iCs/>
        </w:rPr>
        <w:t>Journal of the American Statistical Association</w:t>
      </w:r>
      <w:r w:rsidRPr="00706F03">
        <w:rPr>
          <w:rFonts w:cs="Times New Roman"/>
        </w:rPr>
        <w:t xml:space="preserve">, </w:t>
      </w:r>
      <w:r w:rsidRPr="00706F03">
        <w:rPr>
          <w:rFonts w:cs="Times New Roman"/>
          <w:i/>
          <w:iCs/>
        </w:rPr>
        <w:t>108</w:t>
      </w:r>
      <w:r w:rsidRPr="00706F03">
        <w:rPr>
          <w:rFonts w:cs="Times New Roman"/>
        </w:rPr>
        <w:t xml:space="preserve">(503), 755–770. </w:t>
      </w:r>
      <w:hyperlink r:id="rId46" w:history="1">
        <w:r w:rsidRPr="00706F03">
          <w:rPr>
            <w:rStyle w:val="Hyperlink"/>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hint="eastAsia"/>
        </w:rPr>
      </w:pPr>
      <w:r w:rsidRPr="00706F03">
        <w:rPr>
          <w:rFonts w:cs="Times New Roman"/>
        </w:rPr>
        <w:t xml:space="preserve">Tang, Y., &amp; Yang, Y. (2025). FinMTEB: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47" w:history="1">
        <w:r w:rsidRPr="00706F03">
          <w:rPr>
            <w:rStyle w:val="Hyperlink"/>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t>Knowledge-Based Systems</w:t>
      </w:r>
      <w:r w:rsidRPr="00706F03">
        <w:rPr>
          <w:rFonts w:cs="Times New Roman"/>
        </w:rPr>
        <w:t xml:space="preserve">, </w:t>
      </w:r>
      <w:r w:rsidRPr="00706F03">
        <w:rPr>
          <w:rFonts w:cs="Times New Roman"/>
          <w:i/>
          <w:iCs/>
        </w:rPr>
        <w:t>239</w:t>
      </w:r>
      <w:r w:rsidRPr="00706F03">
        <w:rPr>
          <w:rFonts w:cs="Times New Roman"/>
        </w:rPr>
        <w:t>, Article 107960.</w:t>
      </w:r>
      <w:r w:rsidRPr="00706F03">
        <w:rPr>
          <w:rFonts w:cs="Times New Roman"/>
          <w:kern w:val="0"/>
          <w14:ligatures w14:val="none"/>
        </w:rPr>
        <w:t xml:space="preserve"> </w:t>
      </w:r>
      <w:hyperlink r:id="rId48" w:history="1">
        <w:r w:rsidRPr="00706F03">
          <w:rPr>
            <w:rStyle w:val="Hyperlink"/>
            <w:rFonts w:cs="Times New Roman"/>
            <w:color w:val="auto"/>
          </w:rPr>
          <w:t>https://doi.org/10.1016/j.knosys.2021.107960</w:t>
        </w:r>
      </w:hyperlink>
    </w:p>
    <w:sectPr w:rsidR="004C1AE9" w:rsidRPr="00706F03" w:rsidSect="0004071A">
      <w:headerReference w:type="even" r:id="rId49"/>
      <w:headerReference w:type="default" r:id="rId50"/>
      <w:headerReference w:type="first" r:id="rId51"/>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F98795" w14:textId="77777777" w:rsidR="0006786A" w:rsidRDefault="0006786A" w:rsidP="00204DC5">
      <w:pPr>
        <w:spacing w:after="0" w:line="240" w:lineRule="auto"/>
      </w:pPr>
      <w:r>
        <w:separator/>
      </w:r>
    </w:p>
  </w:endnote>
  <w:endnote w:type="continuationSeparator" w:id="0">
    <w:p w14:paraId="6D8EA9B1" w14:textId="77777777" w:rsidR="0006786A" w:rsidRDefault="0006786A"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BiauKaiHK Regular"/>
    <w:panose1 w:val="020B0604020202020204"/>
    <w:charset w:val="88"/>
    <w:family w:val="script"/>
    <w:pitch w:val="fixed"/>
    <w:sig w:usb0="00002A87" w:usb1="080E0000" w:usb2="00000016" w:usb3="00000000" w:csb0="001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BF8246" w14:textId="77777777" w:rsidR="0006786A" w:rsidRDefault="0006786A" w:rsidP="00204DC5">
      <w:pPr>
        <w:spacing w:after="0" w:line="240" w:lineRule="auto"/>
      </w:pPr>
      <w:r>
        <w:separator/>
      </w:r>
    </w:p>
  </w:footnote>
  <w:footnote w:type="continuationSeparator" w:id="0">
    <w:p w14:paraId="2C18948B" w14:textId="77777777" w:rsidR="0006786A" w:rsidRDefault="0006786A"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EF3C1" w14:textId="77777777" w:rsidR="00E53FEC" w:rsidRDefault="0006786A">
    <w:pPr>
      <w:pStyle w:val="Header"/>
    </w:pPr>
    <w:r>
      <w:rPr>
        <w:noProof/>
      </w:rPr>
      <w:pict w14:anchorId="3284B3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268BB2" w14:textId="77777777" w:rsidR="00E53FEC" w:rsidRDefault="0006786A">
    <w:pPr>
      <w:pStyle w:val="Header"/>
    </w:pPr>
    <w:r>
      <w:rPr>
        <w:noProof/>
      </w:rPr>
      <w:pict w14:anchorId="51D77D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E359E" w14:textId="77777777" w:rsidR="00E53FEC" w:rsidRDefault="0006786A">
    <w:pPr>
      <w:pStyle w:val="Header"/>
    </w:pPr>
    <w:r>
      <w:rPr>
        <w:noProof/>
      </w:rPr>
      <w:pict w14:anchorId="2B6BF4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0E45"/>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6786A"/>
    <w:rsid w:val="000732B1"/>
    <w:rsid w:val="00074DC5"/>
    <w:rsid w:val="00077CD3"/>
    <w:rsid w:val="00080025"/>
    <w:rsid w:val="000810FE"/>
    <w:rsid w:val="00084D5A"/>
    <w:rsid w:val="000919E7"/>
    <w:rsid w:val="00092BB4"/>
    <w:rsid w:val="000940ED"/>
    <w:rsid w:val="00095362"/>
    <w:rsid w:val="0009683D"/>
    <w:rsid w:val="00097EED"/>
    <w:rsid w:val="000A057E"/>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AE7"/>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E7A28"/>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4D30"/>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931"/>
    <w:rsid w:val="006E5AFF"/>
    <w:rsid w:val="006E6541"/>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0FB1"/>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05A0"/>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995"/>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4D"/>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 w:type="paragraph" w:customStyle="1" w:styleId="p1">
    <w:name w:val="p1"/>
    <w:basedOn w:val="Normal"/>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8-683b6-1.html" TargetMode="External"/><Relationship Id="rId26" Type="http://schemas.openxmlformats.org/officeDocument/2006/relationships/hyperlink" Target="https://lawdata.com.tw/tw/doi/?doi=10.3966/221845622021100047001" TargetMode="External"/><Relationship Id="rId39" Type="http://schemas.openxmlformats.org/officeDocument/2006/relationships/hyperlink" Target="%20https:/doi.org/10.24963/ijcai.2022/765" TargetMode="External"/><Relationship Id="rId21" Type="http://schemas.openxmlformats.org/officeDocument/2006/relationships/hyperlink" Target="https://www.judicial.gov.tw/tw/np-85-1.html" TargetMode="External"/><Relationship Id="rId34" Type="http://schemas.openxmlformats.org/officeDocument/2006/relationships/hyperlink" Target="https://aclanthology.org/P19-1424/" TargetMode="External"/><Relationship Id="rId42" Type="http://schemas.openxmlformats.org/officeDocument/2006/relationships/hyperlink" Target="https://doi.org/10.18653/v1/2022.nllp-1.11" TargetMode="External"/><Relationship Id="rId47" Type="http://schemas.openxmlformats.org/officeDocument/2006/relationships/hyperlink" Target="https://doi.org/10.18653/v1/2025.emnlp-main.179" TargetMode="External"/><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tipa.org.tw/tc/monthly_detial531.htm" TargetMode="External"/><Relationship Id="rId11" Type="http://schemas.openxmlformats.org/officeDocument/2006/relationships/chart" Target="charts/chart1.xml"/><Relationship Id="rId24" Type="http://schemas.openxmlformats.org/officeDocument/2006/relationships/hyperlink" Target="https://doi.org/10.3966/221845622017070030001" TargetMode="External"/><Relationship Id="rId32" Type="http://schemas.openxmlformats.org/officeDocument/2006/relationships/hyperlink" Target="https://doi.org/10.3390/math10050683" TargetMode="External"/><Relationship Id="rId37" Type="http://schemas.openxmlformats.org/officeDocument/2006/relationships/hyperlink" Target="https://github.com/ckiplab/ckip-transformers" TargetMode="External"/><Relationship Id="rId40" Type="http://schemas.openxmlformats.org/officeDocument/2006/relationships/hyperlink" Target="https://doi.org/10.1257/app.20170223" TargetMode="External"/><Relationship Id="rId45" Type="http://schemas.openxmlformats.org/officeDocument/2006/relationships/hyperlink" Target="https://doi.org/10.1145/2018358.2018375"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7717/peerj-cs.93" TargetMode="External"/><Relationship Id="rId44" Type="http://schemas.openxmlformats.org/officeDocument/2006/relationships/hyperlink" Target="https://scikit-learn.org/stable/modules/generated/sklearn.feature_selection.chi2.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moj.gov.tw/LawClass/LawAll.aspx?pcode=A0010090" TargetMode="External"/><Relationship Id="rId27" Type="http://schemas.openxmlformats.org/officeDocument/2006/relationships/hyperlink" Target="https://winklerpartners.com/zh/%E5%BE%9E%E6%95%B8%E6%93%9A%E4%B8%80%E6%8E%A2%E6%99%BA%E6%85%A7%E8%B2%A1%E7%94%A2%E6%B3%95%E9%99%A2%E9%81%8B%E4%BD%9C%E5%AF%A6%E6%B3%81-%E5%B0%88%E9%A1%8C%E4%B8%89-%E6%B0%91%E4%BA%8B/" TargetMode="External"/><Relationship Id="rId30" Type="http://schemas.openxmlformats.org/officeDocument/2006/relationships/hyperlink" Target="https://ipc.judicial.gov.tw/tw/dl-7697-7b307fa9f3c047a785d875250fc64544.html" TargetMode="External"/><Relationship Id="rId35" Type="http://schemas.openxmlformats.org/officeDocument/2006/relationships/hyperlink" Target="https://doi.org/10.2139/ssrn.2726903" TargetMode="External"/><Relationship Id="rId43" Type="http://schemas.openxmlformats.org/officeDocument/2006/relationships/hyperlink" Target="https://doi.org/10.1017/CBO9780511809071" TargetMode="External"/><Relationship Id="rId48" Type="http://schemas.openxmlformats.org/officeDocument/2006/relationships/hyperlink" Target="https://doi.org/10.1016/j.knosys.2021.107960" TargetMode="External"/><Relationship Id="rId8" Type="http://schemas.openxmlformats.org/officeDocument/2006/relationships/image" Target="media/image1.pn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lawdata.com.tw/tw/doi/?doi=10.3966/181130952013121002001" TargetMode="External"/><Relationship Id="rId33" Type="http://schemas.openxmlformats.org/officeDocument/2006/relationships/hyperlink" Target="https://doi.org/10.1145/3777009" TargetMode="External"/><Relationship Id="rId38" Type="http://schemas.openxmlformats.org/officeDocument/2006/relationships/hyperlink" Target="https://doi.org/10.1257/app.20160390" TargetMode="External"/><Relationship Id="rId46" Type="http://schemas.openxmlformats.org/officeDocument/2006/relationships/hyperlink" Target="https://doi.org/10.1080/01621459.2012.734168" TargetMode="External"/><Relationship Id="rId20" Type="http://schemas.openxmlformats.org/officeDocument/2006/relationships/hyperlink" Target="https://www.judicial.gov.tw/tw/cp-1370-4310-e5078-1.html" TargetMode="External"/><Relationship Id="rId41" Type="http://schemas.openxmlformats.org/officeDocument/2006/relationships/hyperlink" Target="https://doi.org/10.3390/app11211036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airitilibrary.com/Article/Detail/1018161x-201912-201912300022-201912300022-533-546" TargetMode="External"/><Relationship Id="rId28" Type="http://schemas.openxmlformats.org/officeDocument/2006/relationships/hyperlink" Target="https://www.lawbank.com.tw/treatise/pl_article.aspx?AID=P000214582&amp;utm_source=chatgpt.com" TargetMode="External"/><Relationship Id="rId36" Type="http://schemas.openxmlformats.org/officeDocument/2006/relationships/hyperlink" Target="https://doi.org/10.1093/jleo/ewt022" TargetMode="External"/><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72</Pages>
  <Words>11336</Words>
  <Characters>64619</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48</cp:revision>
  <cp:lastPrinted>2026-06-16T12:21:00Z</cp:lastPrinted>
  <dcterms:created xsi:type="dcterms:W3CDTF">2026-07-04T13:22:00Z</dcterms:created>
  <dcterms:modified xsi:type="dcterms:W3CDTF">2026-07-15T10:41:00Z</dcterms:modified>
</cp:coreProperties>
</file>