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A1B15" w14:textId="1EB9FF69" w:rsidR="00523799" w:rsidRDefault="00523799">
      <w:pPr>
        <w:widowControl/>
        <w:rPr>
          <w:rFonts w:ascii="Times New Roman" w:eastAsia="標楷體" w:hAnsi="Times New Roman" w:cs="Times New Roman"/>
          <w:sz w:val="28"/>
          <w:szCs w:val="28"/>
        </w:rPr>
      </w:pPr>
      <w:r>
        <w:rPr>
          <w:rFonts w:ascii="Times New Roman" w:eastAsia="標楷體" w:hAnsi="Times New Roman" w:cs="Times New Roman" w:hint="eastAsia"/>
          <w:sz w:val="28"/>
          <w:szCs w:val="28"/>
        </w:rPr>
        <w:t>文字探勘預測台灣智慧財產權之判決</w:t>
      </w:r>
    </w:p>
    <w:p w14:paraId="34FEB48C" w14:textId="607A3257" w:rsidR="00523799" w:rsidRDefault="00523799">
      <w:pPr>
        <w:widowControl/>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1477D7CF" w14:textId="1EC2DF56" w:rsidR="008613E4" w:rsidRPr="008613E4" w:rsidRDefault="008613E4" w:rsidP="008613E4">
      <w:pPr>
        <w:outlineLvl w:val="0"/>
        <w:rPr>
          <w:rFonts w:ascii="Times New Roman" w:eastAsia="標楷體" w:hAnsi="Times New Roman" w:cs="Times New Roman"/>
          <w:sz w:val="28"/>
          <w:szCs w:val="28"/>
        </w:rPr>
      </w:pPr>
      <w:r w:rsidRPr="008613E4">
        <w:rPr>
          <w:rFonts w:ascii="Times New Roman" w:eastAsia="標楷體" w:hAnsi="Times New Roman" w:cs="Times New Roman"/>
          <w:sz w:val="28"/>
          <w:szCs w:val="28"/>
        </w:rPr>
        <w:lastRenderedPageBreak/>
        <w:t>緒論</w:t>
      </w:r>
    </w:p>
    <w:p w14:paraId="1751C62D" w14:textId="6061946B" w:rsidR="008613E4" w:rsidRPr="008613E4" w:rsidRDefault="008613E4" w:rsidP="008613E4">
      <w:pPr>
        <w:outlineLvl w:val="0"/>
        <w:rPr>
          <w:rFonts w:ascii="Times New Roman" w:eastAsia="標楷體" w:hAnsi="Times New Roman" w:cs="Times New Roman"/>
          <w:sz w:val="28"/>
          <w:szCs w:val="28"/>
        </w:rPr>
      </w:pPr>
      <w:r w:rsidRPr="008613E4">
        <w:rPr>
          <w:rFonts w:ascii="Times New Roman" w:eastAsia="標楷體" w:hAnsi="Times New Roman" w:cs="Times New Roman"/>
          <w:sz w:val="28"/>
          <w:szCs w:val="28"/>
        </w:rPr>
        <w:t>研究背景與動機</w:t>
      </w:r>
    </w:p>
    <w:p w14:paraId="315DC458" w14:textId="77777777" w:rsidR="00CD012C" w:rsidRPr="00CD012C" w:rsidRDefault="00CD012C" w:rsidP="00CD012C">
      <w:pPr>
        <w:widowControl/>
        <w:rPr>
          <w:rFonts w:ascii="Times New Roman" w:eastAsia="標楷體" w:hAnsi="Times New Roman" w:cs="Times New Roman" w:hint="eastAsia"/>
          <w:sz w:val="28"/>
          <w:szCs w:val="28"/>
        </w:rPr>
      </w:pPr>
      <w:r w:rsidRPr="00CD012C">
        <w:rPr>
          <w:rFonts w:ascii="Times New Roman" w:eastAsia="標楷體" w:hAnsi="Times New Roman" w:cs="Times New Roman" w:hint="eastAsia"/>
          <w:sz w:val="28"/>
          <w:szCs w:val="28"/>
        </w:rPr>
        <w:t>近年來，大數據（</w:t>
      </w:r>
      <w:r w:rsidRPr="00CD012C">
        <w:rPr>
          <w:rFonts w:ascii="Times New Roman" w:eastAsia="標楷體" w:hAnsi="Times New Roman" w:cs="Times New Roman" w:hint="eastAsia"/>
          <w:sz w:val="28"/>
          <w:szCs w:val="28"/>
        </w:rPr>
        <w:t>Big Data</w:t>
      </w:r>
      <w:r w:rsidRPr="00CD012C">
        <w:rPr>
          <w:rFonts w:ascii="Times New Roman" w:eastAsia="標楷體" w:hAnsi="Times New Roman" w:cs="Times New Roman" w:hint="eastAsia"/>
          <w:sz w:val="28"/>
          <w:szCs w:val="28"/>
        </w:rPr>
        <w:t>）與人工智慧（</w:t>
      </w:r>
      <w:r w:rsidRPr="00CD012C">
        <w:rPr>
          <w:rFonts w:ascii="Times New Roman" w:eastAsia="標楷體" w:hAnsi="Times New Roman" w:cs="Times New Roman" w:hint="eastAsia"/>
          <w:sz w:val="28"/>
          <w:szCs w:val="28"/>
        </w:rPr>
        <w:t>Artificial Intelligence</w:t>
      </w:r>
      <w:r w:rsidRPr="00CD012C">
        <w:rPr>
          <w:rFonts w:ascii="Times New Roman" w:eastAsia="標楷體" w:hAnsi="Times New Roman" w:cs="Times New Roman" w:hint="eastAsia"/>
          <w:sz w:val="28"/>
          <w:szCs w:val="28"/>
        </w:rPr>
        <w:t>）的浪潮席捲全球，不僅顛覆了傳統產業的運作模式，也為各學術領域帶來了新的研究典範與方法論上的挑戰。在這股趨勢的推動下，法律領域的研究亦迎來了深刻的變革，特別是結合了經濟學與計量分析的「法律經濟學實證研究」，正以前所未有的速度蓬勃發展。</w:t>
      </w:r>
    </w:p>
    <w:p w14:paraId="75422A79" w14:textId="77777777" w:rsidR="00CD012C" w:rsidRPr="00CD012C" w:rsidRDefault="00CD012C" w:rsidP="00CD012C">
      <w:pPr>
        <w:widowControl/>
        <w:rPr>
          <w:rFonts w:ascii="Times New Roman" w:eastAsia="標楷體" w:hAnsi="Times New Roman" w:cs="Times New Roman"/>
          <w:sz w:val="28"/>
          <w:szCs w:val="28"/>
        </w:rPr>
      </w:pPr>
    </w:p>
    <w:p w14:paraId="0664613E" w14:textId="379EE1C9" w:rsidR="00CD012C" w:rsidRPr="00CD012C" w:rsidRDefault="00CD012C" w:rsidP="00CD012C">
      <w:pPr>
        <w:widowControl/>
        <w:rPr>
          <w:rFonts w:ascii="Times New Roman" w:eastAsia="標楷體" w:hAnsi="Times New Roman" w:cs="Times New Roman" w:hint="eastAsia"/>
          <w:sz w:val="28"/>
          <w:szCs w:val="28"/>
        </w:rPr>
      </w:pPr>
      <w:r w:rsidRPr="00CD012C">
        <w:rPr>
          <w:rFonts w:ascii="Times New Roman" w:eastAsia="標楷體" w:hAnsi="Times New Roman" w:cs="Times New Roman" w:hint="eastAsia"/>
          <w:sz w:val="28"/>
          <w:szCs w:val="28"/>
        </w:rPr>
        <w:t>臺灣擁有相當完整且全面的各級法院判決資料，司法院提供了兩大極具價值的公開數據庫：其一為「終結案件資料」，此為已整理好且具備結構的案件摘要資訊；其二則是「裁判書」，此為較無結構的判決全文。此二者兼具結構化與非結構化文本的特性，且均可供研究者免費下載，為實證法律研究提供了豐富的土壤。</w:t>
      </w:r>
    </w:p>
    <w:p w14:paraId="53F32F9C" w14:textId="77777777" w:rsidR="00CD012C" w:rsidRPr="00CD012C" w:rsidRDefault="00CD012C" w:rsidP="00CD012C">
      <w:pPr>
        <w:widowControl/>
        <w:rPr>
          <w:rFonts w:ascii="Times New Roman" w:eastAsia="標楷體" w:hAnsi="Times New Roman" w:cs="Times New Roman"/>
          <w:sz w:val="28"/>
          <w:szCs w:val="28"/>
        </w:rPr>
      </w:pPr>
    </w:p>
    <w:p w14:paraId="33765455" w14:textId="5782F256" w:rsidR="00CD012C" w:rsidRPr="00CD012C" w:rsidRDefault="00CD012C" w:rsidP="00CD012C">
      <w:pPr>
        <w:widowControl/>
        <w:rPr>
          <w:rFonts w:ascii="Times New Roman" w:eastAsia="標楷體" w:hAnsi="Times New Roman" w:cs="Times New Roman" w:hint="eastAsia"/>
          <w:sz w:val="28"/>
          <w:szCs w:val="28"/>
        </w:rPr>
      </w:pPr>
      <w:r w:rsidRPr="00CD012C">
        <w:rPr>
          <w:rFonts w:ascii="Times New Roman" w:eastAsia="標楷體" w:hAnsi="Times New Roman" w:cs="Times New Roman" w:hint="eastAsia"/>
          <w:sz w:val="28"/>
          <w:szCs w:val="28"/>
        </w:rPr>
        <w:t>在數據資源日益普及的背景下，「如何善用裁判大數據」已然成為重要議題。此一挑戰不僅存在於法律學界，在其他高度專業的領域亦有先例可循。例如，在金融領域中，</w:t>
      </w:r>
      <w:r w:rsidR="007C5F68">
        <w:rPr>
          <w:rFonts w:ascii="Times New Roman" w:eastAsia="標楷體" w:hAnsi="Times New Roman" w:cs="Times New Roman" w:hint="eastAsia"/>
          <w:sz w:val="28"/>
          <w:szCs w:val="28"/>
        </w:rPr>
        <w:t>聯邦公開市場委員會</w:t>
      </w:r>
      <w:r w:rsidRPr="00CD012C">
        <w:rPr>
          <w:rFonts w:ascii="Times New Roman" w:eastAsia="標楷體" w:hAnsi="Times New Roman" w:cs="Times New Roman" w:hint="eastAsia"/>
          <w:sz w:val="28"/>
          <w:szCs w:val="28"/>
        </w:rPr>
        <w:t>（</w:t>
      </w:r>
      <w:r w:rsidRPr="00CD012C">
        <w:rPr>
          <w:rFonts w:ascii="Times New Roman" w:eastAsia="標楷體" w:hAnsi="Times New Roman" w:cs="Times New Roman" w:hint="eastAsia"/>
          <w:sz w:val="28"/>
          <w:szCs w:val="28"/>
        </w:rPr>
        <w:t>FOMC</w:t>
      </w:r>
      <w:r w:rsidRPr="00CD012C">
        <w:rPr>
          <w:rFonts w:ascii="Times New Roman" w:eastAsia="標楷體" w:hAnsi="Times New Roman" w:cs="Times New Roman" w:hint="eastAsia"/>
          <w:sz w:val="28"/>
          <w:szCs w:val="28"/>
        </w:rPr>
        <w:t>）發布的政策聲明，其措辭的細微變化對全球市場具有舉足輕重的影響。已有研究成功運用資料科學方法，對這些官方文件進行深入剖析，以提取市場預測的洞見。</w:t>
      </w:r>
    </w:p>
    <w:p w14:paraId="5D8E007E" w14:textId="77777777" w:rsidR="00CD012C" w:rsidRPr="00CD012C" w:rsidRDefault="00CD012C" w:rsidP="00CD012C">
      <w:pPr>
        <w:widowControl/>
        <w:rPr>
          <w:rFonts w:ascii="Times New Roman" w:eastAsia="標楷體" w:hAnsi="Times New Roman" w:cs="Times New Roman"/>
          <w:sz w:val="28"/>
          <w:szCs w:val="28"/>
        </w:rPr>
      </w:pPr>
    </w:p>
    <w:p w14:paraId="2BB5C3C8" w14:textId="77777777" w:rsidR="00CD012C" w:rsidRPr="00CD012C" w:rsidRDefault="00CD012C" w:rsidP="00CD012C">
      <w:pPr>
        <w:widowControl/>
        <w:rPr>
          <w:rFonts w:ascii="Times New Roman" w:eastAsia="標楷體" w:hAnsi="Times New Roman" w:cs="Times New Roman" w:hint="eastAsia"/>
          <w:sz w:val="28"/>
          <w:szCs w:val="28"/>
        </w:rPr>
      </w:pPr>
      <w:r w:rsidRPr="00CD012C">
        <w:rPr>
          <w:rFonts w:ascii="Times New Roman" w:eastAsia="標楷體" w:hAnsi="Times New Roman" w:cs="Times New Roman" w:hint="eastAsia"/>
          <w:sz w:val="28"/>
          <w:szCs w:val="28"/>
        </w:rPr>
        <w:t>此案例啟示我們，系統性地分析法院判決書，對於理解司法趨勢與影響商業活動同樣具有重大價值。法律判決與金融政策聲明具備高度相似的文本特性：首先，兩者均為具備高度影響力的權威性文件，其決策直接牽動經濟與法律後果；其次，其語言精煉</w:t>
      </w:r>
      <w:r w:rsidRPr="00CD012C">
        <w:rPr>
          <w:rFonts w:ascii="Times New Roman" w:eastAsia="標楷體" w:hAnsi="Times New Roman" w:cs="Times New Roman" w:hint="eastAsia"/>
          <w:sz w:val="28"/>
          <w:szCs w:val="28"/>
        </w:rPr>
        <w:lastRenderedPageBreak/>
        <w:t>且充滿「編碼化語意」（</w:t>
      </w:r>
      <w:r w:rsidRPr="00CD012C">
        <w:rPr>
          <w:rFonts w:ascii="Times New Roman" w:eastAsia="標楷體" w:hAnsi="Times New Roman" w:cs="Times New Roman" w:hint="eastAsia"/>
          <w:sz w:val="28"/>
          <w:szCs w:val="28"/>
        </w:rPr>
        <w:t>Coded Language</w:t>
      </w:r>
      <w:r w:rsidRPr="00CD012C">
        <w:rPr>
          <w:rFonts w:ascii="Times New Roman" w:eastAsia="標楷體" w:hAnsi="Times New Roman" w:cs="Times New Roman" w:hint="eastAsia"/>
          <w:sz w:val="28"/>
          <w:szCs w:val="28"/>
        </w:rPr>
        <w:t>），一字之差可能預示著政策轉向或法律見解的變遷；再者，兩者皆提供前瞻性指引，前者為貨幣政策走向，後者則構成未來商業行為與訴訟策略的判例參考；最後，兩者皆為專業人士密切檢視的對象，旨在從中發掘預測未來動向的蛛絲馬跡。</w:t>
      </w:r>
    </w:p>
    <w:p w14:paraId="7724999C" w14:textId="77777777" w:rsidR="00CD012C" w:rsidRPr="00CD012C" w:rsidRDefault="00CD012C" w:rsidP="00CD012C">
      <w:pPr>
        <w:widowControl/>
        <w:rPr>
          <w:rFonts w:ascii="Times New Roman" w:eastAsia="標楷體" w:hAnsi="Times New Roman" w:cs="Times New Roman"/>
          <w:sz w:val="28"/>
          <w:szCs w:val="28"/>
        </w:rPr>
      </w:pPr>
    </w:p>
    <w:p w14:paraId="5225DA3A" w14:textId="77777777" w:rsidR="00CD012C" w:rsidRPr="00CD012C" w:rsidRDefault="00CD012C" w:rsidP="00CD012C">
      <w:pPr>
        <w:widowControl/>
        <w:rPr>
          <w:rFonts w:ascii="Times New Roman" w:eastAsia="標楷體" w:hAnsi="Times New Roman" w:cs="Times New Roman" w:hint="eastAsia"/>
          <w:sz w:val="28"/>
          <w:szCs w:val="28"/>
        </w:rPr>
      </w:pPr>
      <w:r w:rsidRPr="00CD012C">
        <w:rPr>
          <w:rFonts w:ascii="Times New Roman" w:eastAsia="標楷體" w:hAnsi="Times New Roman" w:cs="Times New Roman" w:hint="eastAsia"/>
          <w:sz w:val="28"/>
          <w:szCs w:val="28"/>
        </w:rPr>
        <w:t>儘管臺灣的司法判決資料庫日益豐富，為實證研究提供了前所未有的機遇，但其核心挑戰在於判決文本的「非結構化」特性。這些以自然語言撰寫的法律文件，充滿了專業術語、複雜的論證邏輯與個案事實，使得從中系統性地提取有效資訊並進行量化分析，成為一道亟待跨越的鴻溝。尤其在「智慧財產權」領域，案件往往取決於對法律要件的微細解釋。例如，在行動支付相關的專利侵權訴訟中（如智慧財產法院</w:t>
      </w:r>
      <w:r w:rsidRPr="00CD012C">
        <w:rPr>
          <w:rFonts w:ascii="Times New Roman" w:eastAsia="標楷體" w:hAnsi="Times New Roman" w:cs="Times New Roman" w:hint="eastAsia"/>
          <w:sz w:val="28"/>
          <w:szCs w:val="28"/>
        </w:rPr>
        <w:t xml:space="preserve"> 108 </w:t>
      </w:r>
      <w:r w:rsidRPr="00CD012C">
        <w:rPr>
          <w:rFonts w:ascii="Times New Roman" w:eastAsia="標楷體" w:hAnsi="Times New Roman" w:cs="Times New Roman" w:hint="eastAsia"/>
          <w:sz w:val="28"/>
          <w:szCs w:val="28"/>
        </w:rPr>
        <w:t>年民專訴字第</w:t>
      </w:r>
      <w:r w:rsidRPr="00CD012C">
        <w:rPr>
          <w:rFonts w:ascii="Times New Roman" w:eastAsia="標楷體" w:hAnsi="Times New Roman" w:cs="Times New Roman" w:hint="eastAsia"/>
          <w:sz w:val="28"/>
          <w:szCs w:val="28"/>
        </w:rPr>
        <w:t xml:space="preserve"> 59 </w:t>
      </w:r>
      <w:r w:rsidRPr="00CD012C">
        <w:rPr>
          <w:rFonts w:ascii="Times New Roman" w:eastAsia="標楷體" w:hAnsi="Times New Roman" w:cs="Times New Roman" w:hint="eastAsia"/>
          <w:sz w:val="28"/>
          <w:szCs w:val="28"/>
        </w:rPr>
        <w:t>號民事判決），法院需針對「文義侵害」與「均等論」進行嚴謹辨析。這類案件的關鍵不在於字面吻合，而在於技術特徵的語意關聯性，這正是傳統人工閱卷難以在大規模數據下量化的困難點。</w:t>
      </w:r>
    </w:p>
    <w:p w14:paraId="1131B3EC" w14:textId="77777777" w:rsidR="00CD012C" w:rsidRPr="00CD012C" w:rsidRDefault="00CD012C" w:rsidP="00CD012C">
      <w:pPr>
        <w:widowControl/>
        <w:rPr>
          <w:rFonts w:ascii="Times New Roman" w:eastAsia="標楷體" w:hAnsi="Times New Roman" w:cs="Times New Roman"/>
          <w:sz w:val="28"/>
          <w:szCs w:val="28"/>
        </w:rPr>
      </w:pPr>
    </w:p>
    <w:p w14:paraId="3AD017D6" w14:textId="77777777" w:rsidR="00CD012C" w:rsidRPr="00CD012C" w:rsidRDefault="00CD012C" w:rsidP="00CD012C">
      <w:pPr>
        <w:widowControl/>
        <w:rPr>
          <w:rFonts w:ascii="Times New Roman" w:eastAsia="標楷體" w:hAnsi="Times New Roman" w:cs="Times New Roman" w:hint="eastAsia"/>
          <w:sz w:val="28"/>
          <w:szCs w:val="28"/>
        </w:rPr>
      </w:pPr>
      <w:r w:rsidRPr="00CD012C">
        <w:rPr>
          <w:rFonts w:ascii="Times New Roman" w:eastAsia="標楷體" w:hAnsi="Times New Roman" w:cs="Times New Roman" w:hint="eastAsia"/>
          <w:sz w:val="28"/>
          <w:szCs w:val="28"/>
        </w:rPr>
        <w:t>本研究的核心動機，即是為了解決此一挑戰，並探索在新興技術的輔助下，預測智慧財產權判決結果的可能性。其主要源於以下兩大因素：</w:t>
      </w:r>
    </w:p>
    <w:p w14:paraId="5C2F41EF" w14:textId="77777777" w:rsidR="00CD012C" w:rsidRPr="00CD012C" w:rsidRDefault="00CD012C" w:rsidP="00CD012C">
      <w:pPr>
        <w:widowControl/>
        <w:rPr>
          <w:rFonts w:ascii="Times New Roman" w:eastAsia="標楷體" w:hAnsi="Times New Roman" w:cs="Times New Roman"/>
          <w:sz w:val="28"/>
          <w:szCs w:val="28"/>
        </w:rPr>
      </w:pPr>
    </w:p>
    <w:p w14:paraId="1C015BD2" w14:textId="77777777" w:rsidR="00CD012C" w:rsidRPr="00CD012C" w:rsidRDefault="00CD012C" w:rsidP="00CD012C">
      <w:pPr>
        <w:widowControl/>
        <w:rPr>
          <w:rFonts w:ascii="Times New Roman" w:eastAsia="標楷體" w:hAnsi="Times New Roman" w:cs="Times New Roman" w:hint="eastAsia"/>
          <w:sz w:val="28"/>
          <w:szCs w:val="28"/>
        </w:rPr>
      </w:pPr>
      <w:r w:rsidRPr="00CD012C">
        <w:rPr>
          <w:rFonts w:ascii="Times New Roman" w:eastAsia="標楷體" w:hAnsi="Times New Roman" w:cs="Times New Roman" w:hint="eastAsia"/>
          <w:sz w:val="28"/>
          <w:szCs w:val="28"/>
        </w:rPr>
        <w:t>跨領域方法的成功應用提供啟發：在金融經濟學領域，已有研究成功地將資料科學方法應用於分析複雜的官方文本。例如，針對美國聯準會（</w:t>
      </w:r>
      <w:r w:rsidRPr="00CD012C">
        <w:rPr>
          <w:rFonts w:ascii="Times New Roman" w:eastAsia="標楷體" w:hAnsi="Times New Roman" w:cs="Times New Roman" w:hint="eastAsia"/>
          <w:sz w:val="28"/>
          <w:szCs w:val="28"/>
        </w:rPr>
        <w:t>FOMC</w:t>
      </w:r>
      <w:r w:rsidRPr="00CD012C">
        <w:rPr>
          <w:rFonts w:ascii="Times New Roman" w:eastAsia="標楷體" w:hAnsi="Times New Roman" w:cs="Times New Roman" w:hint="eastAsia"/>
          <w:sz w:val="28"/>
          <w:szCs w:val="28"/>
        </w:rPr>
        <w:t>）政策聲明所進行的研究，便運用了情感分析（</w:t>
      </w:r>
      <w:r w:rsidRPr="00CD012C">
        <w:rPr>
          <w:rFonts w:ascii="Times New Roman" w:eastAsia="標楷體" w:hAnsi="Times New Roman" w:cs="Times New Roman" w:hint="eastAsia"/>
          <w:sz w:val="28"/>
          <w:szCs w:val="28"/>
        </w:rPr>
        <w:t>Sentiment Analysis</w:t>
      </w:r>
      <w:r w:rsidRPr="00CD012C">
        <w:rPr>
          <w:rFonts w:ascii="Times New Roman" w:eastAsia="標楷體" w:hAnsi="Times New Roman" w:cs="Times New Roman" w:hint="eastAsia"/>
          <w:sz w:val="28"/>
          <w:szCs w:val="28"/>
        </w:rPr>
        <w:t>）與文本分類（</w:t>
      </w:r>
      <w:r w:rsidRPr="00CD012C">
        <w:rPr>
          <w:rFonts w:ascii="Times New Roman" w:eastAsia="標楷體" w:hAnsi="Times New Roman" w:cs="Times New Roman" w:hint="eastAsia"/>
          <w:sz w:val="28"/>
          <w:szCs w:val="28"/>
        </w:rPr>
        <w:t>Text Classification</w:t>
      </w:r>
      <w:r w:rsidRPr="00CD012C">
        <w:rPr>
          <w:rFonts w:ascii="Times New Roman" w:eastAsia="標楷體" w:hAnsi="Times New Roman" w:cs="Times New Roman" w:hint="eastAsia"/>
          <w:sz w:val="28"/>
          <w:szCs w:val="28"/>
        </w:rPr>
        <w:t>）等技術，從充滿專業術語的聲明稿中提取市場情緒與政策傾向。此案例充分展示了對於充</w:t>
      </w:r>
      <w:r w:rsidRPr="00CD012C">
        <w:rPr>
          <w:rFonts w:ascii="Times New Roman" w:eastAsia="標楷體" w:hAnsi="Times New Roman" w:cs="Times New Roman" w:hint="eastAsia"/>
          <w:sz w:val="28"/>
          <w:szCs w:val="28"/>
        </w:rPr>
        <w:lastRenderedPageBreak/>
        <w:t>滿專業術語、措辭微妙且具重大現實影響的文件而言，文字探勘是極具潛力的分析工具——而這些挑戰正精準地對應了法律判決書的分析困境。</w:t>
      </w:r>
    </w:p>
    <w:p w14:paraId="7B2C53A3" w14:textId="77777777" w:rsidR="00CD012C" w:rsidRPr="00CD012C" w:rsidRDefault="00CD012C" w:rsidP="00CD012C">
      <w:pPr>
        <w:widowControl/>
        <w:rPr>
          <w:rFonts w:ascii="Times New Roman" w:eastAsia="標楷體" w:hAnsi="Times New Roman" w:cs="Times New Roman"/>
          <w:sz w:val="28"/>
          <w:szCs w:val="28"/>
        </w:rPr>
      </w:pPr>
    </w:p>
    <w:p w14:paraId="6E9197F0" w14:textId="77777777" w:rsidR="00CD012C" w:rsidRPr="00CD012C" w:rsidRDefault="00CD012C" w:rsidP="00CD012C">
      <w:pPr>
        <w:widowControl/>
        <w:rPr>
          <w:rFonts w:ascii="Times New Roman" w:eastAsia="標楷體" w:hAnsi="Times New Roman" w:cs="Times New Roman" w:hint="eastAsia"/>
          <w:sz w:val="28"/>
          <w:szCs w:val="28"/>
        </w:rPr>
      </w:pPr>
      <w:r w:rsidRPr="00CD012C">
        <w:rPr>
          <w:rFonts w:ascii="Times New Roman" w:eastAsia="標楷體" w:hAnsi="Times New Roman" w:cs="Times New Roman" w:hint="eastAsia"/>
          <w:sz w:val="28"/>
          <w:szCs w:val="28"/>
        </w:rPr>
        <w:t>臺灣法律實證研究的現實需求：臺灣的法律經濟學實證研究方興未艾，但多數研究仍需克服判決文本處理的障礙。正如學者所言，「如何善用前述裁判大數據」已成為當前重要議題。學界已開始嘗試應對此挑戰，例如在《侵害商標權損害賠償數額實證研究》中，已有研究者運用</w:t>
      </w:r>
      <w:r w:rsidRPr="00CD012C">
        <w:rPr>
          <w:rFonts w:ascii="Times New Roman" w:eastAsia="標楷體" w:hAnsi="Times New Roman" w:cs="Times New Roman" w:hint="eastAsia"/>
          <w:sz w:val="28"/>
          <w:szCs w:val="28"/>
        </w:rPr>
        <w:t xml:space="preserve"> Python </w:t>
      </w:r>
      <w:r w:rsidRPr="00CD012C">
        <w:rPr>
          <w:rFonts w:ascii="Times New Roman" w:eastAsia="標楷體" w:hAnsi="Times New Roman" w:cs="Times New Roman" w:hint="eastAsia"/>
          <w:sz w:val="28"/>
          <w:szCs w:val="28"/>
        </w:rPr>
        <w:t>程式語言輔助處理大量判決書。此先例不僅證實了學界對臺灣大規模實證法律研究的興趣，更凸顯了欲有效處理數以千計的非結構化判決書，採用計算方法已是不可或缺的手段。</w:t>
      </w:r>
    </w:p>
    <w:p w14:paraId="627EB89D" w14:textId="77777777" w:rsidR="00CD012C" w:rsidRPr="00CD012C" w:rsidRDefault="00CD012C" w:rsidP="00CD012C">
      <w:pPr>
        <w:widowControl/>
        <w:rPr>
          <w:rFonts w:ascii="Times New Roman" w:eastAsia="標楷體" w:hAnsi="Times New Roman" w:cs="Times New Roman"/>
          <w:sz w:val="28"/>
          <w:szCs w:val="28"/>
        </w:rPr>
      </w:pPr>
    </w:p>
    <w:p w14:paraId="1B17D7AF" w14:textId="6A0BB5C7" w:rsidR="008613E4" w:rsidRPr="008613E4" w:rsidRDefault="00CD012C" w:rsidP="000232AA">
      <w:pPr>
        <w:widowControl/>
        <w:rPr>
          <w:rFonts w:ascii="Times New Roman" w:eastAsia="標楷體" w:hAnsi="Times New Roman" w:cs="Times New Roman" w:hint="eastAsia"/>
          <w:sz w:val="28"/>
          <w:szCs w:val="28"/>
        </w:rPr>
      </w:pPr>
      <w:r w:rsidRPr="00CD012C">
        <w:rPr>
          <w:rFonts w:ascii="Times New Roman" w:eastAsia="標楷體" w:hAnsi="Times New Roman" w:cs="Times New Roman" w:hint="eastAsia"/>
          <w:sz w:val="28"/>
          <w:szCs w:val="28"/>
        </w:rPr>
        <w:t>本研究選擇「智慧財產權」作為具體的研究領域，乃是基於其高度的經濟價值與實務意義。智慧財產權訴訟的判決結果，不僅影響個案當事人的權益，其關於侵權與否的認定、損害賠償金額的裁量，更直接衝擊著企業的研發投入、商業策略與市場競爭格局。總結而言，本研究旨在借鑑已在財金等領域驗證成功的文字探勘與機器學習技術，將其應用於臺灣特有的司法大數據之中，期望能為傳統的法律研究開創新的分析視角，並為後續的量化法律研究奠定穩固的方法論基礎。</w:t>
      </w:r>
      <w:r>
        <w:rPr>
          <w:rFonts w:ascii="Times New Roman" w:eastAsia="標楷體" w:hAnsi="Times New Roman" w:cs="Times New Roman"/>
          <w:sz w:val="28"/>
          <w:szCs w:val="28"/>
        </w:rPr>
        <w:br w:type="page"/>
      </w:r>
    </w:p>
    <w:p w14:paraId="639A28B0" w14:textId="0F55A7AE" w:rsidR="008613E4" w:rsidRDefault="008613E4" w:rsidP="008613E4">
      <w:pPr>
        <w:outlineLvl w:val="0"/>
        <w:rPr>
          <w:rFonts w:ascii="Times New Roman" w:eastAsia="標楷體" w:hAnsi="Times New Roman" w:cs="Times New Roman"/>
          <w:sz w:val="28"/>
          <w:szCs w:val="28"/>
        </w:rPr>
      </w:pPr>
      <w:r w:rsidRPr="008613E4">
        <w:rPr>
          <w:rFonts w:ascii="Times New Roman" w:eastAsia="標楷體" w:hAnsi="Times New Roman" w:cs="Times New Roman"/>
          <w:sz w:val="28"/>
          <w:szCs w:val="28"/>
        </w:rPr>
        <w:lastRenderedPageBreak/>
        <w:t>研究目的</w:t>
      </w:r>
    </w:p>
    <w:p w14:paraId="4D79A19E" w14:textId="77777777" w:rsidR="000232AA" w:rsidRPr="000232AA" w:rsidRDefault="000232AA" w:rsidP="000232AA">
      <w:pPr>
        <w:widowControl/>
        <w:rPr>
          <w:rFonts w:ascii="Times New Roman" w:eastAsia="標楷體" w:hAnsi="Times New Roman" w:cs="Times New Roman" w:hint="eastAsia"/>
          <w:sz w:val="28"/>
          <w:szCs w:val="28"/>
        </w:rPr>
      </w:pPr>
      <w:r w:rsidRPr="000232AA">
        <w:rPr>
          <w:rFonts w:ascii="Times New Roman" w:eastAsia="標楷體" w:hAnsi="Times New Roman" w:cs="Times New Roman" w:hint="eastAsia"/>
          <w:sz w:val="28"/>
          <w:szCs w:val="28"/>
        </w:rPr>
        <w:t>基於前述的研究背景與動機，本論文旨在達成以下三項具體的研究目的：</w:t>
      </w:r>
    </w:p>
    <w:p w14:paraId="4E39FB78" w14:textId="77777777" w:rsidR="000232AA" w:rsidRPr="000232AA" w:rsidRDefault="000232AA" w:rsidP="000232AA">
      <w:pPr>
        <w:widowControl/>
        <w:rPr>
          <w:rFonts w:ascii="Times New Roman" w:eastAsia="標楷體" w:hAnsi="Times New Roman" w:cs="Times New Roman" w:hint="eastAsia"/>
          <w:sz w:val="28"/>
          <w:szCs w:val="28"/>
        </w:rPr>
      </w:pPr>
      <w:r w:rsidRPr="000232AA">
        <w:rPr>
          <w:rFonts w:ascii="Times New Roman" w:eastAsia="標楷體" w:hAnsi="Times New Roman" w:cs="Times New Roman" w:hint="eastAsia"/>
          <w:sz w:val="28"/>
          <w:szCs w:val="28"/>
        </w:rPr>
        <w:t>方法論的探索與建立：</w:t>
      </w:r>
      <w:r w:rsidRPr="000232AA">
        <w:rPr>
          <w:rFonts w:ascii="Times New Roman" w:eastAsia="標楷體" w:hAnsi="Times New Roman" w:cs="Times New Roman" w:hint="eastAsia"/>
          <w:sz w:val="28"/>
          <w:szCs w:val="28"/>
        </w:rPr>
        <w:t xml:space="preserve"> </w:t>
      </w:r>
      <w:r w:rsidRPr="000232AA">
        <w:rPr>
          <w:rFonts w:ascii="Times New Roman" w:eastAsia="標楷體" w:hAnsi="Times New Roman" w:cs="Times New Roman" w:hint="eastAsia"/>
          <w:sz w:val="28"/>
          <w:szCs w:val="28"/>
        </w:rPr>
        <w:t>本研究的首要目標在於探索並建立一套適用於分析臺灣智慧財產權判決書的文字探勘與機器學習處理流程。此流程將涵蓋資料擷取、文本預處理、特徵工程至模型訓練等環節，旨在克服非結構化法律文本在量化分析上的主要障礙，為後續研究提供一套可複製、可擴展的分析框架。</w:t>
      </w:r>
    </w:p>
    <w:p w14:paraId="616AD380" w14:textId="77777777" w:rsidR="000232AA" w:rsidRDefault="000232AA" w:rsidP="000232AA">
      <w:pPr>
        <w:widowControl/>
        <w:rPr>
          <w:rFonts w:ascii="Times New Roman" w:eastAsia="標楷體" w:hAnsi="Times New Roman" w:cs="Times New Roman"/>
          <w:sz w:val="28"/>
          <w:szCs w:val="28"/>
        </w:rPr>
      </w:pPr>
      <w:r w:rsidRPr="000232AA">
        <w:rPr>
          <w:rFonts w:ascii="Times New Roman" w:eastAsia="標楷體" w:hAnsi="Times New Roman" w:cs="Times New Roman" w:hint="eastAsia"/>
          <w:sz w:val="28"/>
          <w:szCs w:val="28"/>
        </w:rPr>
        <w:t>預測模型的開發與評估：</w:t>
      </w:r>
      <w:r w:rsidRPr="000232AA">
        <w:rPr>
          <w:rFonts w:ascii="Times New Roman" w:eastAsia="標楷體" w:hAnsi="Times New Roman" w:cs="Times New Roman" w:hint="eastAsia"/>
          <w:sz w:val="28"/>
          <w:szCs w:val="28"/>
        </w:rPr>
        <w:t xml:space="preserve"> </w:t>
      </w:r>
      <w:r w:rsidRPr="000232AA">
        <w:rPr>
          <w:rFonts w:ascii="Times New Roman" w:eastAsia="標楷體" w:hAnsi="Times New Roman" w:cs="Times New Roman" w:hint="eastAsia"/>
          <w:sz w:val="28"/>
          <w:szCs w:val="28"/>
        </w:rPr>
        <w:t>運用監督式機器學習演算法，開發一個能夠根據判決書之內文特徵，預測智慧財產權訴訟侵權成立與否的預測模型。本研究將採用嚴謹的計量方法，對模型的準確性</w:t>
      </w:r>
      <w:r w:rsidRPr="000232AA">
        <w:rPr>
          <w:rFonts w:ascii="Times New Roman" w:eastAsia="標楷體" w:hAnsi="Times New Roman" w:cs="Times New Roman" w:hint="eastAsia"/>
          <w:sz w:val="28"/>
          <w:szCs w:val="28"/>
        </w:rPr>
        <w:t xml:space="preserve"> (accuracy)</w:t>
      </w:r>
      <w:r w:rsidRPr="000232AA">
        <w:rPr>
          <w:rFonts w:ascii="Times New Roman" w:eastAsia="標楷體" w:hAnsi="Times New Roman" w:cs="Times New Roman" w:hint="eastAsia"/>
          <w:sz w:val="28"/>
          <w:szCs w:val="28"/>
        </w:rPr>
        <w:t>、穩健性</w:t>
      </w:r>
      <w:r w:rsidRPr="000232AA">
        <w:rPr>
          <w:rFonts w:ascii="Times New Roman" w:eastAsia="標楷體" w:hAnsi="Times New Roman" w:cs="Times New Roman" w:hint="eastAsia"/>
          <w:sz w:val="28"/>
          <w:szCs w:val="28"/>
        </w:rPr>
        <w:t xml:space="preserve"> (robustness) </w:t>
      </w:r>
      <w:r w:rsidRPr="000232AA">
        <w:rPr>
          <w:rFonts w:ascii="Times New Roman" w:eastAsia="標楷體" w:hAnsi="Times New Roman" w:cs="Times New Roman" w:hint="eastAsia"/>
          <w:sz w:val="28"/>
          <w:szCs w:val="28"/>
        </w:rPr>
        <w:t>與泛化能力</w:t>
      </w:r>
      <w:r w:rsidRPr="000232AA">
        <w:rPr>
          <w:rFonts w:ascii="Times New Roman" w:eastAsia="標楷體" w:hAnsi="Times New Roman" w:cs="Times New Roman" w:hint="eastAsia"/>
          <w:sz w:val="28"/>
          <w:szCs w:val="28"/>
        </w:rPr>
        <w:t xml:space="preserve"> (generalization capability) </w:t>
      </w:r>
      <w:r w:rsidRPr="000232AA">
        <w:rPr>
          <w:rFonts w:ascii="Times New Roman" w:eastAsia="標楷體" w:hAnsi="Times New Roman" w:cs="Times New Roman" w:hint="eastAsia"/>
          <w:sz w:val="28"/>
          <w:szCs w:val="28"/>
        </w:rPr>
        <w:t>進行客觀評估，以驗證此方法的科學有效性。</w:t>
      </w:r>
    </w:p>
    <w:p w14:paraId="124FD2C2" w14:textId="1B7B39F3" w:rsidR="00836709" w:rsidRPr="00836709" w:rsidRDefault="00836709" w:rsidP="000232AA">
      <w:pPr>
        <w:widowControl/>
        <w:rPr>
          <w:rFonts w:ascii="Times New Roman" w:eastAsia="標楷體" w:hAnsi="Times New Roman" w:cs="Times New Roman" w:hint="eastAsia"/>
          <w:sz w:val="28"/>
          <w:szCs w:val="28"/>
        </w:rPr>
      </w:pPr>
      <w:r>
        <w:rPr>
          <w:rFonts w:ascii="Times New Roman" w:eastAsia="標楷體" w:hAnsi="Times New Roman" w:cs="Times New Roman"/>
          <w:sz w:val="28"/>
          <w:szCs w:val="28"/>
        </w:rPr>
        <w:br w:type="page"/>
      </w:r>
    </w:p>
    <w:p w14:paraId="19713B82" w14:textId="47071783" w:rsidR="008613E4" w:rsidRDefault="008613E4" w:rsidP="008613E4">
      <w:pPr>
        <w:outlineLvl w:val="0"/>
        <w:rPr>
          <w:rFonts w:ascii="Times New Roman" w:eastAsia="標楷體" w:hAnsi="Times New Roman" w:cs="Times New Roman"/>
          <w:sz w:val="28"/>
          <w:szCs w:val="28"/>
        </w:rPr>
      </w:pPr>
      <w:r w:rsidRPr="008613E4">
        <w:rPr>
          <w:rFonts w:ascii="Times New Roman" w:eastAsia="標楷體" w:hAnsi="Times New Roman" w:cs="Times New Roman"/>
          <w:sz w:val="28"/>
          <w:szCs w:val="28"/>
        </w:rPr>
        <w:lastRenderedPageBreak/>
        <w:t>研究貢獻</w:t>
      </w:r>
    </w:p>
    <w:p w14:paraId="7E911CF2" w14:textId="77777777" w:rsidR="00812D17" w:rsidRPr="00812D17" w:rsidRDefault="00812D17" w:rsidP="00812D17">
      <w:pPr>
        <w:widowControl/>
        <w:rPr>
          <w:rFonts w:ascii="Times New Roman" w:eastAsia="標楷體" w:hAnsi="Times New Roman" w:cs="Times New Roman"/>
          <w:sz w:val="28"/>
          <w:szCs w:val="28"/>
        </w:rPr>
      </w:pPr>
      <w:r w:rsidRPr="00812D17">
        <w:rPr>
          <w:rFonts w:ascii="Times New Roman" w:eastAsia="標楷體" w:hAnsi="Times New Roman" w:cs="Times New Roman"/>
          <w:sz w:val="28"/>
          <w:szCs w:val="28"/>
        </w:rPr>
        <w:t>本研究結合深度學習語意辨識技術與法律實證分析，針對台灣智慧財產權判決進行系統性建模。其貢獻不僅在於技術工具的導入，更在於對高度專業化司法數據的深度解構，具體價值體現於以下三個維度：</w:t>
      </w:r>
    </w:p>
    <w:p w14:paraId="20106D45" w14:textId="77777777" w:rsidR="00812D17" w:rsidRPr="00812D17" w:rsidRDefault="00812D17" w:rsidP="00812D17">
      <w:pPr>
        <w:widowControl/>
        <w:rPr>
          <w:rFonts w:ascii="Times New Roman" w:eastAsia="標楷體" w:hAnsi="Times New Roman" w:cs="Times New Roman"/>
          <w:b/>
          <w:bCs/>
          <w:sz w:val="28"/>
          <w:szCs w:val="28"/>
        </w:rPr>
      </w:pPr>
      <w:r w:rsidRPr="00812D17">
        <w:rPr>
          <w:rFonts w:ascii="Times New Roman" w:eastAsia="標楷體" w:hAnsi="Times New Roman" w:cs="Times New Roman"/>
          <w:b/>
          <w:bCs/>
          <w:sz w:val="28"/>
          <w:szCs w:val="28"/>
        </w:rPr>
        <w:t>一、</w:t>
      </w:r>
      <w:r w:rsidRPr="00812D17">
        <w:rPr>
          <w:rFonts w:ascii="Times New Roman" w:eastAsia="標楷體" w:hAnsi="Times New Roman" w:cs="Times New Roman"/>
          <w:b/>
          <w:bCs/>
          <w:sz w:val="28"/>
          <w:szCs w:val="28"/>
        </w:rPr>
        <w:t xml:space="preserve"> </w:t>
      </w:r>
      <w:r w:rsidRPr="00812D17">
        <w:rPr>
          <w:rFonts w:ascii="Times New Roman" w:eastAsia="標楷體" w:hAnsi="Times New Roman" w:cs="Times New Roman"/>
          <w:b/>
          <w:bCs/>
          <w:sz w:val="28"/>
          <w:szCs w:val="28"/>
        </w:rPr>
        <w:t>建立專業法律語境下的高精度特徵提取範式</w:t>
      </w:r>
    </w:p>
    <w:p w14:paraId="313CC590" w14:textId="77777777" w:rsidR="00812D17" w:rsidRPr="00812D17" w:rsidRDefault="00812D17" w:rsidP="00812D17">
      <w:pPr>
        <w:widowControl/>
        <w:rPr>
          <w:rFonts w:ascii="Times New Roman" w:eastAsia="標楷體" w:hAnsi="Times New Roman" w:cs="Times New Roman"/>
          <w:sz w:val="28"/>
          <w:szCs w:val="28"/>
        </w:rPr>
      </w:pPr>
      <w:r w:rsidRPr="00812D17">
        <w:rPr>
          <w:rFonts w:ascii="Times New Roman" w:eastAsia="標楷體" w:hAnsi="Times New Roman" w:cs="Times New Roman"/>
          <w:sz w:val="28"/>
          <w:szCs w:val="28"/>
        </w:rPr>
        <w:t>智慧財產權案件之核心挑戰在於其判決文本包含了大量的技術規格與高度抽象的法律要件（如「進步性」之判定或「混淆誤認之虞」之分析）。</w:t>
      </w:r>
    </w:p>
    <w:p w14:paraId="0373E275" w14:textId="77777777" w:rsidR="00812D17" w:rsidRPr="00812D17" w:rsidRDefault="00812D17" w:rsidP="00812D17">
      <w:pPr>
        <w:widowControl/>
        <w:numPr>
          <w:ilvl w:val="0"/>
          <w:numId w:val="6"/>
        </w:numPr>
        <w:rPr>
          <w:rFonts w:ascii="Times New Roman" w:eastAsia="標楷體" w:hAnsi="Times New Roman" w:cs="Times New Roman"/>
          <w:sz w:val="28"/>
          <w:szCs w:val="28"/>
        </w:rPr>
      </w:pPr>
      <w:r w:rsidRPr="00812D17">
        <w:rPr>
          <w:rFonts w:ascii="Times New Roman" w:eastAsia="標楷體" w:hAnsi="Times New Roman" w:cs="Times New Roman"/>
          <w:b/>
          <w:bCs/>
          <w:sz w:val="28"/>
          <w:szCs w:val="28"/>
        </w:rPr>
        <w:t>語意理解之深化</w:t>
      </w:r>
      <w:r w:rsidRPr="00812D17">
        <w:rPr>
          <w:rFonts w:ascii="Times New Roman" w:eastAsia="標楷體" w:hAnsi="Times New Roman" w:cs="Times New Roman"/>
          <w:sz w:val="28"/>
          <w:szCs w:val="28"/>
        </w:rPr>
        <w:t>：本研究成功導入具備上下文關聯理解能力的</w:t>
      </w:r>
      <w:r w:rsidRPr="00812D17">
        <w:rPr>
          <w:rFonts w:ascii="Times New Roman" w:eastAsia="標楷體" w:hAnsi="Times New Roman" w:cs="Times New Roman"/>
          <w:sz w:val="28"/>
          <w:szCs w:val="28"/>
        </w:rPr>
        <w:t xml:space="preserve"> </w:t>
      </w:r>
      <w:r w:rsidRPr="00812D17">
        <w:rPr>
          <w:rFonts w:ascii="Times New Roman" w:eastAsia="標楷體" w:hAnsi="Times New Roman" w:cs="Times New Roman"/>
          <w:b/>
          <w:bCs/>
          <w:sz w:val="28"/>
          <w:szCs w:val="28"/>
        </w:rPr>
        <w:t xml:space="preserve">Transformer </w:t>
      </w:r>
      <w:r w:rsidRPr="00812D17">
        <w:rPr>
          <w:rFonts w:ascii="Times New Roman" w:eastAsia="標楷體" w:hAnsi="Times New Roman" w:cs="Times New Roman"/>
          <w:b/>
          <w:bCs/>
          <w:sz w:val="28"/>
          <w:szCs w:val="28"/>
        </w:rPr>
        <w:t>架構（</w:t>
      </w:r>
      <w:r w:rsidRPr="00812D17">
        <w:rPr>
          <w:rFonts w:ascii="Times New Roman" w:eastAsia="標楷體" w:hAnsi="Times New Roman" w:cs="Times New Roman"/>
          <w:b/>
          <w:bCs/>
          <w:sz w:val="28"/>
          <w:szCs w:val="28"/>
        </w:rPr>
        <w:t>CKIP Transformers</w:t>
      </w:r>
      <w:r w:rsidRPr="00812D17">
        <w:rPr>
          <w:rFonts w:ascii="Times New Roman" w:eastAsia="標楷體" w:hAnsi="Times New Roman" w:cs="Times New Roman"/>
          <w:b/>
          <w:bCs/>
          <w:sz w:val="28"/>
          <w:szCs w:val="28"/>
        </w:rPr>
        <w:t>）</w:t>
      </w:r>
      <w:r w:rsidRPr="00812D17">
        <w:rPr>
          <w:rFonts w:ascii="Times New Roman" w:eastAsia="標楷體" w:hAnsi="Times New Roman" w:cs="Times New Roman"/>
          <w:sz w:val="28"/>
          <w:szCs w:val="28"/>
        </w:rPr>
        <w:t>，取代傳統基於詞頻統計的斷詞方法。本研究證實，透過此類深度語意模型，能更精準地捕捉判決書中隱含的裁量邏輯與專業法律術語，為台灣處理高度專業之法律文書分析建立了標準化的技術流程。</w:t>
      </w:r>
    </w:p>
    <w:p w14:paraId="0FC35E60" w14:textId="77777777" w:rsidR="00812D17" w:rsidRPr="00812D17" w:rsidRDefault="00812D17" w:rsidP="00812D17">
      <w:pPr>
        <w:widowControl/>
        <w:numPr>
          <w:ilvl w:val="0"/>
          <w:numId w:val="6"/>
        </w:numPr>
        <w:rPr>
          <w:rFonts w:ascii="Times New Roman" w:eastAsia="標楷體" w:hAnsi="Times New Roman" w:cs="Times New Roman"/>
          <w:sz w:val="28"/>
          <w:szCs w:val="28"/>
        </w:rPr>
      </w:pPr>
      <w:r w:rsidRPr="00812D17">
        <w:rPr>
          <w:rFonts w:ascii="Times New Roman" w:eastAsia="標楷體" w:hAnsi="Times New Roman" w:cs="Times New Roman"/>
          <w:b/>
          <w:bCs/>
          <w:sz w:val="28"/>
          <w:szCs w:val="28"/>
        </w:rPr>
        <w:t>模型效能的系統性評估</w:t>
      </w:r>
      <w:r w:rsidRPr="00812D17">
        <w:rPr>
          <w:rFonts w:ascii="Times New Roman" w:eastAsia="標楷體" w:hAnsi="Times New Roman" w:cs="Times New Roman"/>
          <w:sz w:val="28"/>
          <w:szCs w:val="28"/>
        </w:rPr>
        <w:t>：本研究透過多種機器學習演算法（如</w:t>
      </w:r>
      <w:r w:rsidRPr="00812D17">
        <w:rPr>
          <w:rFonts w:ascii="Times New Roman" w:eastAsia="標楷體" w:hAnsi="Times New Roman" w:cs="Times New Roman"/>
          <w:sz w:val="28"/>
          <w:szCs w:val="28"/>
        </w:rPr>
        <w:t xml:space="preserve"> SVM</w:t>
      </w:r>
      <w:r w:rsidRPr="00812D17">
        <w:rPr>
          <w:rFonts w:ascii="Times New Roman" w:eastAsia="標楷體" w:hAnsi="Times New Roman" w:cs="Times New Roman"/>
          <w:sz w:val="28"/>
          <w:szCs w:val="28"/>
        </w:rPr>
        <w:t>、</w:t>
      </w:r>
      <w:r w:rsidRPr="00812D17">
        <w:rPr>
          <w:rFonts w:ascii="Times New Roman" w:eastAsia="標楷體" w:hAnsi="Times New Roman" w:cs="Times New Roman"/>
          <w:sz w:val="28"/>
          <w:szCs w:val="28"/>
        </w:rPr>
        <w:t>Random Forest</w:t>
      </w:r>
      <w:r w:rsidRPr="00812D17">
        <w:rPr>
          <w:rFonts w:ascii="Times New Roman" w:eastAsia="標楷體" w:hAnsi="Times New Roman" w:cs="Times New Roman"/>
          <w:sz w:val="28"/>
          <w:szCs w:val="28"/>
        </w:rPr>
        <w:t>、</w:t>
      </w:r>
      <w:r w:rsidRPr="00812D17">
        <w:rPr>
          <w:rFonts w:ascii="Times New Roman" w:eastAsia="標楷體" w:hAnsi="Times New Roman" w:cs="Times New Roman"/>
          <w:sz w:val="28"/>
          <w:szCs w:val="28"/>
        </w:rPr>
        <w:t>ANN</w:t>
      </w:r>
      <w:r w:rsidRPr="00812D17">
        <w:rPr>
          <w:rFonts w:ascii="Times New Roman" w:eastAsia="標楷體" w:hAnsi="Times New Roman" w:cs="Times New Roman"/>
          <w:sz w:val="28"/>
          <w:szCs w:val="28"/>
        </w:rPr>
        <w:t>）的對比實驗，詳細分析了不同模型在處理智財法律特徵時的適應性。此實證結果可為未來法律科技研發者在模型選型與參數調校上，提供具備在地化數據支撐的重要參考。</w:t>
      </w:r>
    </w:p>
    <w:p w14:paraId="5508415F" w14:textId="77777777" w:rsidR="00812D17" w:rsidRPr="00812D17" w:rsidRDefault="00812D17" w:rsidP="00812D17">
      <w:pPr>
        <w:widowControl/>
        <w:rPr>
          <w:rFonts w:ascii="Times New Roman" w:eastAsia="標楷體" w:hAnsi="Times New Roman" w:cs="Times New Roman"/>
          <w:b/>
          <w:bCs/>
          <w:sz w:val="28"/>
          <w:szCs w:val="28"/>
        </w:rPr>
      </w:pPr>
      <w:r w:rsidRPr="00812D17">
        <w:rPr>
          <w:rFonts w:ascii="Times New Roman" w:eastAsia="標楷體" w:hAnsi="Times New Roman" w:cs="Times New Roman"/>
          <w:b/>
          <w:bCs/>
          <w:sz w:val="28"/>
          <w:szCs w:val="28"/>
        </w:rPr>
        <w:t>二、</w:t>
      </w:r>
      <w:r w:rsidRPr="00812D17">
        <w:rPr>
          <w:rFonts w:ascii="Times New Roman" w:eastAsia="標楷體" w:hAnsi="Times New Roman" w:cs="Times New Roman"/>
          <w:b/>
          <w:bCs/>
          <w:sz w:val="28"/>
          <w:szCs w:val="28"/>
        </w:rPr>
        <w:t xml:space="preserve"> </w:t>
      </w:r>
      <w:r w:rsidRPr="00812D17">
        <w:rPr>
          <w:rFonts w:ascii="Times New Roman" w:eastAsia="標楷體" w:hAnsi="Times New Roman" w:cs="Times New Roman"/>
          <w:b/>
          <w:bCs/>
          <w:sz w:val="28"/>
          <w:szCs w:val="28"/>
        </w:rPr>
        <w:t>彌補智財權實證研究之領域空缺與深度拓寬</w:t>
      </w:r>
    </w:p>
    <w:p w14:paraId="38C0B1B4" w14:textId="7D2DF7F9" w:rsidR="00812D17" w:rsidRPr="00812D17" w:rsidRDefault="00812D17" w:rsidP="00812D17">
      <w:pPr>
        <w:widowControl/>
        <w:rPr>
          <w:rFonts w:ascii="Times New Roman" w:eastAsia="標楷體" w:hAnsi="Times New Roman" w:cs="Times New Roman"/>
          <w:sz w:val="28"/>
          <w:szCs w:val="28"/>
        </w:rPr>
      </w:pPr>
      <w:r w:rsidRPr="00812D17">
        <w:rPr>
          <w:rFonts w:ascii="Times New Roman" w:eastAsia="標楷體" w:hAnsi="Times New Roman" w:cs="Times New Roman"/>
          <w:sz w:val="28"/>
          <w:szCs w:val="28"/>
        </w:rPr>
        <w:t>在學術層面上，本研究將自動化預測的視角從民刑事案件，拉至智慧財產權領域，填補了研究斷層。</w:t>
      </w:r>
    </w:p>
    <w:p w14:paraId="536E1836" w14:textId="77777777" w:rsidR="00812D17" w:rsidRPr="00812D17" w:rsidRDefault="00812D17" w:rsidP="00812D17">
      <w:pPr>
        <w:widowControl/>
        <w:numPr>
          <w:ilvl w:val="0"/>
          <w:numId w:val="7"/>
        </w:numPr>
        <w:rPr>
          <w:rFonts w:ascii="Times New Roman" w:eastAsia="標楷體" w:hAnsi="Times New Roman" w:cs="Times New Roman"/>
          <w:sz w:val="28"/>
          <w:szCs w:val="28"/>
        </w:rPr>
      </w:pPr>
      <w:r w:rsidRPr="00812D17">
        <w:rPr>
          <w:rFonts w:ascii="Times New Roman" w:eastAsia="標楷體" w:hAnsi="Times New Roman" w:cs="Times New Roman"/>
          <w:b/>
          <w:bCs/>
          <w:sz w:val="28"/>
          <w:szCs w:val="28"/>
        </w:rPr>
        <w:lastRenderedPageBreak/>
        <w:t>從數值統計進化至文本決策預測</w:t>
      </w:r>
      <w:r w:rsidRPr="00812D17">
        <w:rPr>
          <w:rFonts w:ascii="Times New Roman" w:eastAsia="標楷體" w:hAnsi="Times New Roman" w:cs="Times New Roman"/>
          <w:sz w:val="28"/>
          <w:szCs w:val="28"/>
        </w:rPr>
        <w:t>：過往台灣智財權之實證研究多側重於「損害賠償金額」之數據分佈，較少探討判決全文中語言特徵與勝敗結果間的關聯。本研究將分析維度往前推進至法官的論理脈絡，深化了法律計量學在專業審判領域的應用深度。</w:t>
      </w:r>
    </w:p>
    <w:p w14:paraId="41A3B6F2" w14:textId="77777777" w:rsidR="00812D17" w:rsidRPr="00812D17" w:rsidRDefault="00812D17" w:rsidP="00812D17">
      <w:pPr>
        <w:widowControl/>
        <w:numPr>
          <w:ilvl w:val="0"/>
          <w:numId w:val="7"/>
        </w:numPr>
        <w:rPr>
          <w:rFonts w:ascii="Times New Roman" w:eastAsia="標楷體" w:hAnsi="Times New Roman" w:cs="Times New Roman"/>
          <w:sz w:val="28"/>
          <w:szCs w:val="28"/>
        </w:rPr>
      </w:pPr>
      <w:r w:rsidRPr="00812D17">
        <w:rPr>
          <w:rFonts w:ascii="Times New Roman" w:eastAsia="標楷體" w:hAnsi="Times New Roman" w:cs="Times New Roman"/>
          <w:b/>
          <w:bCs/>
          <w:sz w:val="28"/>
          <w:szCs w:val="28"/>
        </w:rPr>
        <w:t>精緻化判決結果之分類研究</w:t>
      </w:r>
      <w:r w:rsidRPr="00812D17">
        <w:rPr>
          <w:rFonts w:ascii="Times New Roman" w:eastAsia="標楷體" w:hAnsi="Times New Roman" w:cs="Times New Roman"/>
          <w:sz w:val="28"/>
          <w:szCs w:val="28"/>
        </w:rPr>
        <w:t>：本研究不採取傳統二分法（勝</w:t>
      </w:r>
      <w:r w:rsidRPr="00812D17">
        <w:rPr>
          <w:rFonts w:ascii="Times New Roman" w:eastAsia="標楷體" w:hAnsi="Times New Roman" w:cs="Times New Roman"/>
          <w:sz w:val="28"/>
          <w:szCs w:val="28"/>
        </w:rPr>
        <w:t>/</w:t>
      </w:r>
      <w:r w:rsidRPr="00812D17">
        <w:rPr>
          <w:rFonts w:ascii="Times New Roman" w:eastAsia="標楷體" w:hAnsi="Times New Roman" w:cs="Times New Roman"/>
          <w:sz w:val="28"/>
          <w:szCs w:val="28"/>
        </w:rPr>
        <w:t>敗），而是納入「部分勝訴」之分類。儘管此類別在實務上極具爭議且預測難度高，但本研究透過誤差分析（</w:t>
      </w:r>
      <w:r w:rsidRPr="00812D17">
        <w:rPr>
          <w:rFonts w:ascii="Times New Roman" w:eastAsia="標楷體" w:hAnsi="Times New Roman" w:cs="Times New Roman"/>
          <w:sz w:val="28"/>
          <w:szCs w:val="28"/>
        </w:rPr>
        <w:t>Error Analysis</w:t>
      </w:r>
      <w:r w:rsidRPr="00812D17">
        <w:rPr>
          <w:rFonts w:ascii="Times New Roman" w:eastAsia="標楷體" w:hAnsi="Times New Roman" w:cs="Times New Roman"/>
          <w:sz w:val="28"/>
          <w:szCs w:val="28"/>
        </w:rPr>
        <w:t>），揭示了司法裁量中「比例分擔」與「機器學習分類」之間的邊界，為後續研究提供了重要的判準修正方向。</w:t>
      </w:r>
    </w:p>
    <w:p w14:paraId="40AE27E6" w14:textId="77777777" w:rsidR="00812D17" w:rsidRPr="00812D17" w:rsidRDefault="00812D17" w:rsidP="00812D17">
      <w:pPr>
        <w:widowControl/>
        <w:rPr>
          <w:rFonts w:ascii="Times New Roman" w:eastAsia="標楷體" w:hAnsi="Times New Roman" w:cs="Times New Roman"/>
          <w:b/>
          <w:bCs/>
          <w:sz w:val="28"/>
          <w:szCs w:val="28"/>
        </w:rPr>
      </w:pPr>
      <w:r w:rsidRPr="00812D17">
        <w:rPr>
          <w:rFonts w:ascii="Times New Roman" w:eastAsia="標楷體" w:hAnsi="Times New Roman" w:cs="Times New Roman"/>
          <w:b/>
          <w:bCs/>
          <w:sz w:val="28"/>
          <w:szCs w:val="28"/>
        </w:rPr>
        <w:t>三、</w:t>
      </w:r>
      <w:r w:rsidRPr="00812D17">
        <w:rPr>
          <w:rFonts w:ascii="Times New Roman" w:eastAsia="標楷體" w:hAnsi="Times New Roman" w:cs="Times New Roman"/>
          <w:b/>
          <w:bCs/>
          <w:sz w:val="28"/>
          <w:szCs w:val="28"/>
        </w:rPr>
        <w:t xml:space="preserve"> </w:t>
      </w:r>
      <w:r w:rsidRPr="00812D17">
        <w:rPr>
          <w:rFonts w:ascii="Times New Roman" w:eastAsia="標楷體" w:hAnsi="Times New Roman" w:cs="Times New Roman"/>
          <w:b/>
          <w:bCs/>
          <w:sz w:val="28"/>
          <w:szCs w:val="28"/>
        </w:rPr>
        <w:t>賦能法律科技（</w:t>
      </w:r>
      <w:r w:rsidRPr="00812D17">
        <w:rPr>
          <w:rFonts w:ascii="Times New Roman" w:eastAsia="標楷體" w:hAnsi="Times New Roman" w:cs="Times New Roman"/>
          <w:b/>
          <w:bCs/>
          <w:sz w:val="28"/>
          <w:szCs w:val="28"/>
        </w:rPr>
        <w:t>LegalTech</w:t>
      </w:r>
      <w:r w:rsidRPr="00812D17">
        <w:rPr>
          <w:rFonts w:ascii="Times New Roman" w:eastAsia="標楷體" w:hAnsi="Times New Roman" w:cs="Times New Roman"/>
          <w:b/>
          <w:bCs/>
          <w:sz w:val="28"/>
          <w:szCs w:val="28"/>
        </w:rPr>
        <w:t>）與訴訟實務之決策參考</w:t>
      </w:r>
    </w:p>
    <w:p w14:paraId="743D6F0E" w14:textId="77777777" w:rsidR="00812D17" w:rsidRPr="00812D17" w:rsidRDefault="00812D17" w:rsidP="00812D17">
      <w:pPr>
        <w:widowControl/>
        <w:rPr>
          <w:rFonts w:ascii="Times New Roman" w:eastAsia="標楷體" w:hAnsi="Times New Roman" w:cs="Times New Roman"/>
          <w:sz w:val="28"/>
          <w:szCs w:val="28"/>
        </w:rPr>
      </w:pPr>
      <w:r w:rsidRPr="00812D17">
        <w:rPr>
          <w:rFonts w:ascii="Times New Roman" w:eastAsia="標楷體" w:hAnsi="Times New Roman" w:cs="Times New Roman"/>
          <w:sz w:val="28"/>
          <w:szCs w:val="28"/>
        </w:rPr>
        <w:t>本研究之成果具備極高的實務應用價值，能直接轉化為輔助法律決策的量化工具。</w:t>
      </w:r>
    </w:p>
    <w:p w14:paraId="73DA5761" w14:textId="77777777" w:rsidR="00812D17" w:rsidRPr="00812D17" w:rsidRDefault="00812D17" w:rsidP="00812D17">
      <w:pPr>
        <w:widowControl/>
        <w:numPr>
          <w:ilvl w:val="0"/>
          <w:numId w:val="8"/>
        </w:numPr>
        <w:rPr>
          <w:rFonts w:ascii="Times New Roman" w:eastAsia="標楷體" w:hAnsi="Times New Roman" w:cs="Times New Roman"/>
          <w:sz w:val="28"/>
          <w:szCs w:val="28"/>
        </w:rPr>
      </w:pPr>
      <w:r w:rsidRPr="00812D17">
        <w:rPr>
          <w:rFonts w:ascii="Times New Roman" w:eastAsia="標楷體" w:hAnsi="Times New Roman" w:cs="Times New Roman"/>
          <w:b/>
          <w:bCs/>
          <w:sz w:val="28"/>
          <w:szCs w:val="28"/>
        </w:rPr>
        <w:t>訴訟策略之量化風險評估</w:t>
      </w:r>
      <w:r w:rsidRPr="00812D17">
        <w:rPr>
          <w:rFonts w:ascii="Times New Roman" w:eastAsia="標楷體" w:hAnsi="Times New Roman" w:cs="Times New Roman"/>
          <w:sz w:val="28"/>
          <w:szCs w:val="28"/>
        </w:rPr>
        <w:t>：對於企業法務與執業律師而言，本研究模型能作為訴訟前的「風險觀測站」。透過對歷史判決模式的機器學習，協助當事人預判訴訟走向，降低因資訊不對稱導致的法律風險，並協助企業更理性地配置法律資源與制定談判籌碼。</w:t>
      </w:r>
    </w:p>
    <w:p w14:paraId="1A5728A4" w14:textId="77777777" w:rsidR="00812D17" w:rsidRPr="00812D17" w:rsidRDefault="00812D17" w:rsidP="00812D17">
      <w:pPr>
        <w:widowControl/>
        <w:numPr>
          <w:ilvl w:val="0"/>
          <w:numId w:val="8"/>
        </w:numPr>
        <w:rPr>
          <w:rFonts w:ascii="Times New Roman" w:eastAsia="標楷體" w:hAnsi="Times New Roman" w:cs="Times New Roman"/>
          <w:sz w:val="28"/>
          <w:szCs w:val="28"/>
        </w:rPr>
      </w:pPr>
      <w:r w:rsidRPr="00812D17">
        <w:rPr>
          <w:rFonts w:ascii="Times New Roman" w:eastAsia="標楷體" w:hAnsi="Times New Roman" w:cs="Times New Roman"/>
          <w:b/>
          <w:bCs/>
          <w:sz w:val="28"/>
          <w:szCs w:val="28"/>
        </w:rPr>
        <w:t>提升司法預期可能性之實證觀察</w:t>
      </w:r>
      <w:r w:rsidRPr="00812D17">
        <w:rPr>
          <w:rFonts w:ascii="Times New Roman" w:eastAsia="標楷體" w:hAnsi="Times New Roman" w:cs="Times New Roman"/>
          <w:sz w:val="28"/>
          <w:szCs w:val="28"/>
        </w:rPr>
        <w:t>：本研究透過大規模數據回測，展示了機器學習模型捕捉司法趨勢的能力。這不僅有助於法律實務工作者掌握最新的裁量脈絡，亦為未來發展「智慧化裁判輔助系統」提供了紮實的實證基礎，助力台灣司法現代化轉型。</w:t>
      </w:r>
    </w:p>
    <w:p w14:paraId="23D21934" w14:textId="2000A80D" w:rsidR="00CC5EA4" w:rsidRDefault="00CC5EA4">
      <w:pPr>
        <w:widowControl/>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543BC713" w14:textId="77777777" w:rsidR="00CC5EA4" w:rsidRPr="00CC5EA4" w:rsidRDefault="00CC5EA4" w:rsidP="008613E4">
      <w:pPr>
        <w:outlineLvl w:val="0"/>
        <w:rPr>
          <w:rFonts w:ascii="Times New Roman" w:eastAsia="標楷體" w:hAnsi="Times New Roman" w:cs="Times New Roman" w:hint="eastAsia"/>
          <w:sz w:val="28"/>
          <w:szCs w:val="28"/>
        </w:rPr>
      </w:pPr>
    </w:p>
    <w:p w14:paraId="71E60990" w14:textId="5A707DEA" w:rsidR="00CC5EA4" w:rsidRDefault="008613E4" w:rsidP="008613E4">
      <w:pPr>
        <w:outlineLvl w:val="0"/>
        <w:rPr>
          <w:rFonts w:ascii="Times New Roman" w:eastAsia="標楷體" w:hAnsi="Times New Roman" w:cs="Times New Roman"/>
          <w:sz w:val="28"/>
          <w:szCs w:val="28"/>
        </w:rPr>
      </w:pPr>
      <w:r w:rsidRPr="008613E4">
        <w:rPr>
          <w:rFonts w:ascii="Times New Roman" w:eastAsia="標楷體" w:hAnsi="Times New Roman" w:cs="Times New Roman"/>
          <w:sz w:val="28"/>
          <w:szCs w:val="28"/>
        </w:rPr>
        <w:t>文獻回顧</w:t>
      </w:r>
    </w:p>
    <w:p w14:paraId="76F17489" w14:textId="77777777" w:rsidR="00A82637" w:rsidRPr="00A82637" w:rsidRDefault="00A82637" w:rsidP="00A82637">
      <w:pPr>
        <w:outlineLvl w:val="0"/>
        <w:rPr>
          <w:rFonts w:ascii="Times New Roman" w:eastAsia="標楷體" w:hAnsi="Times New Roman" w:cs="Times New Roman" w:hint="eastAsia"/>
          <w:sz w:val="28"/>
          <w:szCs w:val="28"/>
        </w:rPr>
      </w:pPr>
      <w:r w:rsidRPr="00A82637">
        <w:rPr>
          <w:rFonts w:ascii="Times New Roman" w:eastAsia="標楷體" w:hAnsi="Times New Roman" w:cs="Times New Roman" w:hint="eastAsia"/>
          <w:sz w:val="28"/>
          <w:szCs w:val="28"/>
        </w:rPr>
        <w:t xml:space="preserve">2.1 </w:t>
      </w:r>
      <w:r w:rsidRPr="00A82637">
        <w:rPr>
          <w:rFonts w:ascii="Times New Roman" w:eastAsia="標楷體" w:hAnsi="Times New Roman" w:cs="Times New Roman" w:hint="eastAsia"/>
          <w:sz w:val="28"/>
          <w:szCs w:val="28"/>
        </w:rPr>
        <w:t>前言</w:t>
      </w:r>
    </w:p>
    <w:p w14:paraId="28109E7D" w14:textId="77777777" w:rsidR="00A82637" w:rsidRPr="00A82637" w:rsidRDefault="00A82637" w:rsidP="00A82637">
      <w:pPr>
        <w:outlineLvl w:val="0"/>
        <w:rPr>
          <w:rFonts w:ascii="Times New Roman" w:eastAsia="標楷體" w:hAnsi="Times New Roman" w:cs="Times New Roman" w:hint="eastAsia"/>
          <w:sz w:val="28"/>
          <w:szCs w:val="28"/>
        </w:rPr>
      </w:pPr>
      <w:r w:rsidRPr="00A82637">
        <w:rPr>
          <w:rFonts w:ascii="Times New Roman" w:eastAsia="標楷體" w:hAnsi="Times New Roman" w:cs="Times New Roman" w:hint="eastAsia"/>
          <w:sz w:val="28"/>
          <w:szCs w:val="28"/>
        </w:rPr>
        <w:t>隨著大數據與人工智慧時代的來臨，相關技術在法律研究領域的應用日益廣泛，為傳統的法學分析注入了新的實證能量。本章旨在回顧與本研究相關的既有文獻，從三個關鍵領域切入：首先，探討實證法律研究的發展趨勢，說明學術界如何從法釋義學轉向數據驅動的分析；其次，聚焦於自然語言處理（</w:t>
      </w:r>
      <w:r w:rsidRPr="00A82637">
        <w:rPr>
          <w:rFonts w:ascii="Times New Roman" w:eastAsia="標楷體" w:hAnsi="Times New Roman" w:cs="Times New Roman" w:hint="eastAsia"/>
          <w:sz w:val="28"/>
          <w:szCs w:val="28"/>
        </w:rPr>
        <w:t>NLP</w:t>
      </w:r>
      <w:r w:rsidRPr="00A82637">
        <w:rPr>
          <w:rFonts w:ascii="Times New Roman" w:eastAsia="標楷體" w:hAnsi="Times New Roman" w:cs="Times New Roman" w:hint="eastAsia"/>
          <w:sz w:val="28"/>
          <w:szCs w:val="28"/>
        </w:rPr>
        <w:t>）在法律文本上的應用挑戰；最後，回顧文字探勘於司法判決預測的方法論。透過系統性的梳理，本章將從既有文獻中識別出本論文欲填補的研究缺口，為後續的模型建構奠定理論基礎。</w:t>
      </w:r>
    </w:p>
    <w:p w14:paraId="209CD87C" w14:textId="77777777" w:rsidR="00A82637" w:rsidRPr="00A82637" w:rsidRDefault="00A82637" w:rsidP="00A82637">
      <w:pPr>
        <w:outlineLvl w:val="0"/>
        <w:rPr>
          <w:rFonts w:ascii="Times New Roman" w:eastAsia="標楷體" w:hAnsi="Times New Roman" w:cs="Times New Roman"/>
          <w:sz w:val="28"/>
          <w:szCs w:val="28"/>
        </w:rPr>
      </w:pPr>
    </w:p>
    <w:p w14:paraId="3C29D3EE" w14:textId="77777777" w:rsidR="00A82637" w:rsidRPr="00A82637" w:rsidRDefault="00A82637" w:rsidP="00A82637">
      <w:pPr>
        <w:outlineLvl w:val="0"/>
        <w:rPr>
          <w:rFonts w:ascii="Times New Roman" w:eastAsia="標楷體" w:hAnsi="Times New Roman" w:cs="Times New Roman" w:hint="eastAsia"/>
          <w:sz w:val="28"/>
          <w:szCs w:val="28"/>
        </w:rPr>
      </w:pPr>
      <w:r w:rsidRPr="00A82637">
        <w:rPr>
          <w:rFonts w:ascii="Times New Roman" w:eastAsia="標楷體" w:hAnsi="Times New Roman" w:cs="Times New Roman" w:hint="eastAsia"/>
          <w:sz w:val="28"/>
          <w:szCs w:val="28"/>
        </w:rPr>
        <w:t xml:space="preserve">2.2 </w:t>
      </w:r>
      <w:r w:rsidRPr="00A82637">
        <w:rPr>
          <w:rFonts w:ascii="Times New Roman" w:eastAsia="標楷體" w:hAnsi="Times New Roman" w:cs="Times New Roman" w:hint="eastAsia"/>
          <w:sz w:val="28"/>
          <w:szCs w:val="28"/>
        </w:rPr>
        <w:t>實證法律研究的發展</w:t>
      </w:r>
    </w:p>
    <w:p w14:paraId="2BB424DC" w14:textId="77777777" w:rsidR="00A82637" w:rsidRPr="00A82637" w:rsidRDefault="00A82637" w:rsidP="00A82637">
      <w:pPr>
        <w:outlineLvl w:val="0"/>
        <w:rPr>
          <w:rFonts w:ascii="Times New Roman" w:eastAsia="標楷體" w:hAnsi="Times New Roman" w:cs="Times New Roman" w:hint="eastAsia"/>
          <w:sz w:val="28"/>
          <w:szCs w:val="28"/>
        </w:rPr>
      </w:pPr>
      <w:r w:rsidRPr="00A82637">
        <w:rPr>
          <w:rFonts w:ascii="Times New Roman" w:eastAsia="標楷體" w:hAnsi="Times New Roman" w:cs="Times New Roman" w:hint="eastAsia"/>
          <w:sz w:val="28"/>
          <w:szCs w:val="28"/>
        </w:rPr>
        <w:t>實證方法在法律研究中的重要性日益凸顯，學術典範已從傳統側重法條釋義，逐步擴展至以數據為基礎的規律歸納。在國際學界，運用行為經濟學量化司法行為已成趨勢，例如</w:t>
      </w:r>
      <w:r w:rsidRPr="00A82637">
        <w:rPr>
          <w:rFonts w:ascii="Times New Roman" w:eastAsia="標楷體" w:hAnsi="Times New Roman" w:cs="Times New Roman" w:hint="eastAsia"/>
          <w:sz w:val="28"/>
          <w:szCs w:val="28"/>
        </w:rPr>
        <w:t xml:space="preserve"> Eren and Mocan (2018) </w:t>
      </w:r>
      <w:r w:rsidRPr="00A82637">
        <w:rPr>
          <w:rFonts w:ascii="Times New Roman" w:eastAsia="標楷體" w:hAnsi="Times New Roman" w:cs="Times New Roman" w:hint="eastAsia"/>
          <w:sz w:val="28"/>
          <w:szCs w:val="28"/>
        </w:rPr>
        <w:t>與</w:t>
      </w:r>
      <w:r w:rsidRPr="00A82637">
        <w:rPr>
          <w:rFonts w:ascii="Times New Roman" w:eastAsia="標楷體" w:hAnsi="Times New Roman" w:cs="Times New Roman" w:hint="eastAsia"/>
          <w:sz w:val="28"/>
          <w:szCs w:val="28"/>
        </w:rPr>
        <w:t xml:space="preserve"> Heyes and </w:t>
      </w:r>
      <w:proofErr w:type="spellStart"/>
      <w:r w:rsidRPr="00A82637">
        <w:rPr>
          <w:rFonts w:ascii="Times New Roman" w:eastAsia="標楷體" w:hAnsi="Times New Roman" w:cs="Times New Roman" w:hint="eastAsia"/>
          <w:sz w:val="28"/>
          <w:szCs w:val="28"/>
        </w:rPr>
        <w:t>Saberian</w:t>
      </w:r>
      <w:proofErr w:type="spellEnd"/>
      <w:r w:rsidRPr="00A82637">
        <w:rPr>
          <w:rFonts w:ascii="Times New Roman" w:eastAsia="標楷體" w:hAnsi="Times New Roman" w:cs="Times New Roman" w:hint="eastAsia"/>
          <w:sz w:val="28"/>
          <w:szCs w:val="28"/>
        </w:rPr>
        <w:t xml:space="preserve"> (2019) </w:t>
      </w:r>
      <w:r w:rsidRPr="00A82637">
        <w:rPr>
          <w:rFonts w:ascii="Times New Roman" w:eastAsia="標楷體" w:hAnsi="Times New Roman" w:cs="Times New Roman" w:hint="eastAsia"/>
          <w:sz w:val="28"/>
          <w:szCs w:val="28"/>
        </w:rPr>
        <w:t>分別證實了體育賽事結果與環境溫度等非法律因素（</w:t>
      </w:r>
      <w:r w:rsidRPr="00A82637">
        <w:rPr>
          <w:rFonts w:ascii="Times New Roman" w:eastAsia="標楷體" w:hAnsi="Times New Roman" w:cs="Times New Roman" w:hint="eastAsia"/>
          <w:sz w:val="28"/>
          <w:szCs w:val="28"/>
        </w:rPr>
        <w:t>Extra-legal factors</w:t>
      </w:r>
      <w:r w:rsidRPr="00A82637">
        <w:rPr>
          <w:rFonts w:ascii="Times New Roman" w:eastAsia="標楷體" w:hAnsi="Times New Roman" w:cs="Times New Roman" w:hint="eastAsia"/>
          <w:sz w:val="28"/>
          <w:szCs w:val="28"/>
        </w:rPr>
        <w:t>）對法官量刑的系統性影響。</w:t>
      </w:r>
    </w:p>
    <w:p w14:paraId="38F6C5C4" w14:textId="77777777" w:rsidR="00A82637" w:rsidRPr="00A82637" w:rsidRDefault="00A82637" w:rsidP="00A82637">
      <w:pPr>
        <w:outlineLvl w:val="0"/>
        <w:rPr>
          <w:rFonts w:ascii="Times New Roman" w:eastAsia="標楷體" w:hAnsi="Times New Roman" w:cs="Times New Roman"/>
          <w:sz w:val="28"/>
          <w:szCs w:val="28"/>
        </w:rPr>
      </w:pPr>
    </w:p>
    <w:p w14:paraId="6E0DD2BB" w14:textId="77777777" w:rsidR="00A82637" w:rsidRPr="00A82637" w:rsidRDefault="00A82637" w:rsidP="00A82637">
      <w:pPr>
        <w:outlineLvl w:val="0"/>
        <w:rPr>
          <w:rFonts w:ascii="Times New Roman" w:eastAsia="標楷體" w:hAnsi="Times New Roman" w:cs="Times New Roman" w:hint="eastAsia"/>
          <w:sz w:val="28"/>
          <w:szCs w:val="28"/>
        </w:rPr>
      </w:pPr>
      <w:r w:rsidRPr="00A82637">
        <w:rPr>
          <w:rFonts w:ascii="Times New Roman" w:eastAsia="標楷體" w:hAnsi="Times New Roman" w:cs="Times New Roman" w:hint="eastAsia"/>
          <w:sz w:val="28"/>
          <w:szCs w:val="28"/>
        </w:rPr>
        <w:t>在台灣，實證法律研究同樣蓬勃發展。</w:t>
      </w:r>
      <w:r w:rsidRPr="00A82637">
        <w:rPr>
          <w:rFonts w:ascii="Times New Roman" w:eastAsia="標楷體" w:hAnsi="Times New Roman" w:cs="Times New Roman" w:hint="eastAsia"/>
          <w:sz w:val="28"/>
          <w:szCs w:val="28"/>
        </w:rPr>
        <w:t xml:space="preserve">Chen et al. (2015) </w:t>
      </w:r>
      <w:r w:rsidRPr="00A82637">
        <w:rPr>
          <w:rFonts w:ascii="Times New Roman" w:eastAsia="標楷體" w:hAnsi="Times New Roman" w:cs="Times New Roman" w:hint="eastAsia"/>
          <w:sz w:val="28"/>
          <w:szCs w:val="28"/>
        </w:rPr>
        <w:t>透過分析最高法院民事案件，探討「訴訟資源」對結果的關聯；</w:t>
      </w:r>
      <w:r w:rsidRPr="00A82637">
        <w:rPr>
          <w:rFonts w:ascii="Times New Roman" w:eastAsia="標楷體" w:hAnsi="Times New Roman" w:cs="Times New Roman" w:hint="eastAsia"/>
          <w:sz w:val="28"/>
          <w:szCs w:val="28"/>
        </w:rPr>
        <w:t xml:space="preserve">Chang et al. (2018) </w:t>
      </w:r>
      <w:r w:rsidRPr="00A82637">
        <w:rPr>
          <w:rFonts w:ascii="Times New Roman" w:eastAsia="標楷體" w:hAnsi="Times New Roman" w:cs="Times New Roman" w:hint="eastAsia"/>
          <w:sz w:val="28"/>
          <w:szCs w:val="28"/>
        </w:rPr>
        <w:t>則證實了台灣法官在裁定賠償金時存在「定錨效應」。這些研究證明了台灣司法資料庫具備極高的研究價值，也為本研究從文本中提取預測特徵提供了法理上的支持。</w:t>
      </w:r>
    </w:p>
    <w:p w14:paraId="235A4AAB" w14:textId="77777777" w:rsidR="00A82637" w:rsidRPr="00A82637" w:rsidRDefault="00A82637" w:rsidP="00A82637">
      <w:pPr>
        <w:outlineLvl w:val="0"/>
        <w:rPr>
          <w:rFonts w:ascii="Times New Roman" w:eastAsia="標楷體" w:hAnsi="Times New Roman" w:cs="Times New Roman"/>
          <w:sz w:val="28"/>
          <w:szCs w:val="28"/>
        </w:rPr>
      </w:pPr>
    </w:p>
    <w:p w14:paraId="59EF49FA" w14:textId="77777777" w:rsidR="00A82637" w:rsidRPr="00A82637" w:rsidRDefault="00A82637" w:rsidP="00A82637">
      <w:pPr>
        <w:outlineLvl w:val="0"/>
        <w:rPr>
          <w:rFonts w:ascii="Times New Roman" w:eastAsia="標楷體" w:hAnsi="Times New Roman" w:cs="Times New Roman" w:hint="eastAsia"/>
          <w:sz w:val="28"/>
          <w:szCs w:val="28"/>
        </w:rPr>
      </w:pPr>
      <w:r w:rsidRPr="00A82637">
        <w:rPr>
          <w:rFonts w:ascii="Times New Roman" w:eastAsia="標楷體" w:hAnsi="Times New Roman" w:cs="Times New Roman" w:hint="eastAsia"/>
          <w:sz w:val="28"/>
          <w:szCs w:val="28"/>
        </w:rPr>
        <w:lastRenderedPageBreak/>
        <w:t xml:space="preserve">2.3 </w:t>
      </w:r>
      <w:r w:rsidRPr="00A82637">
        <w:rPr>
          <w:rFonts w:ascii="Times New Roman" w:eastAsia="標楷體" w:hAnsi="Times New Roman" w:cs="Times New Roman" w:hint="eastAsia"/>
          <w:sz w:val="28"/>
          <w:szCs w:val="28"/>
        </w:rPr>
        <w:t>司法判決文本處理之挑戰與技術</w:t>
      </w:r>
    </w:p>
    <w:p w14:paraId="4BF5DD14" w14:textId="77777777" w:rsidR="00A82637" w:rsidRPr="00A82637" w:rsidRDefault="00A82637" w:rsidP="00A82637">
      <w:pPr>
        <w:outlineLvl w:val="0"/>
        <w:rPr>
          <w:rFonts w:ascii="Times New Roman" w:eastAsia="標楷體" w:hAnsi="Times New Roman" w:cs="Times New Roman" w:hint="eastAsia"/>
          <w:sz w:val="28"/>
          <w:szCs w:val="28"/>
        </w:rPr>
      </w:pPr>
      <w:r w:rsidRPr="00A82637">
        <w:rPr>
          <w:rFonts w:ascii="Times New Roman" w:eastAsia="標楷體" w:hAnsi="Times New Roman" w:cs="Times New Roman" w:hint="eastAsia"/>
          <w:sz w:val="28"/>
          <w:szCs w:val="28"/>
        </w:rPr>
        <w:t>台灣司法院提供的「裁判書」全文雖具詳盡論理，但其非結構化特性與專業用語為文字探勘帶來了顯著挑戰。根據</w:t>
      </w:r>
      <w:r w:rsidRPr="00A82637">
        <w:rPr>
          <w:rFonts w:ascii="Times New Roman" w:eastAsia="標楷體" w:hAnsi="Times New Roman" w:cs="Times New Roman" w:hint="eastAsia"/>
          <w:sz w:val="28"/>
          <w:szCs w:val="28"/>
        </w:rPr>
        <w:t xml:space="preserve"> Chang-Ching Lin (2019) </w:t>
      </w:r>
      <w:r w:rsidRPr="00A82637">
        <w:rPr>
          <w:rFonts w:ascii="Times New Roman" w:eastAsia="標楷體" w:hAnsi="Times New Roman" w:cs="Times New Roman" w:hint="eastAsia"/>
          <w:sz w:val="28"/>
          <w:szCs w:val="28"/>
        </w:rPr>
        <w:t>的整理，法律文本中如「難謂」、「尚難謂」等語氣詞彙，其精確意涵高度依賴上下文。</w:t>
      </w:r>
    </w:p>
    <w:p w14:paraId="322F1944" w14:textId="77777777" w:rsidR="00A82637" w:rsidRPr="00A82637" w:rsidRDefault="00A82637" w:rsidP="00A82637">
      <w:pPr>
        <w:outlineLvl w:val="0"/>
        <w:rPr>
          <w:rFonts w:ascii="Times New Roman" w:eastAsia="標楷體" w:hAnsi="Times New Roman" w:cs="Times New Roman"/>
          <w:sz w:val="28"/>
          <w:szCs w:val="28"/>
        </w:rPr>
      </w:pPr>
    </w:p>
    <w:p w14:paraId="53E906BD" w14:textId="77777777" w:rsidR="00A82637" w:rsidRPr="00A82637" w:rsidRDefault="00A82637" w:rsidP="00A82637">
      <w:pPr>
        <w:outlineLvl w:val="0"/>
        <w:rPr>
          <w:rFonts w:ascii="Times New Roman" w:eastAsia="標楷體" w:hAnsi="Times New Roman" w:cs="Times New Roman" w:hint="eastAsia"/>
          <w:sz w:val="28"/>
          <w:szCs w:val="28"/>
        </w:rPr>
      </w:pPr>
      <w:r w:rsidRPr="00A82637">
        <w:rPr>
          <w:rFonts w:ascii="Times New Roman" w:eastAsia="標楷體" w:hAnsi="Times New Roman" w:cs="Times New Roman" w:hint="eastAsia"/>
          <w:sz w:val="28"/>
          <w:szCs w:val="28"/>
        </w:rPr>
        <w:t>為克服此困境，本研究認為必須超越傳統的統計斷詞，轉向更深層的語意理解技術。相較於過往實證研究（如</w:t>
      </w:r>
      <w:r w:rsidRPr="00A82637">
        <w:rPr>
          <w:rFonts w:ascii="Times New Roman" w:eastAsia="標楷體" w:hAnsi="Times New Roman" w:cs="Times New Roman" w:hint="eastAsia"/>
          <w:sz w:val="28"/>
          <w:szCs w:val="28"/>
        </w:rPr>
        <w:t xml:space="preserve"> Chang, C.-C., 2019</w:t>
      </w:r>
      <w:r w:rsidRPr="00A82637">
        <w:rPr>
          <w:rFonts w:ascii="Times New Roman" w:eastAsia="標楷體" w:hAnsi="Times New Roman" w:cs="Times New Roman" w:hint="eastAsia"/>
          <w:sz w:val="28"/>
          <w:szCs w:val="28"/>
        </w:rPr>
        <w:t>）多採用</w:t>
      </w:r>
      <w:r w:rsidRPr="00A82637">
        <w:rPr>
          <w:rFonts w:ascii="Times New Roman" w:eastAsia="標楷體" w:hAnsi="Times New Roman" w:cs="Times New Roman" w:hint="eastAsia"/>
          <w:sz w:val="28"/>
          <w:szCs w:val="28"/>
        </w:rPr>
        <w:t xml:space="preserve"> Python </w:t>
      </w:r>
      <w:r w:rsidRPr="00A82637">
        <w:rPr>
          <w:rFonts w:ascii="Times New Roman" w:eastAsia="標楷體" w:hAnsi="Times New Roman" w:cs="Times New Roman" w:hint="eastAsia"/>
          <w:sz w:val="28"/>
          <w:szCs w:val="28"/>
        </w:rPr>
        <w:t>輔助處理數據，本研究進一步導入中研院開發之</w:t>
      </w:r>
      <w:r w:rsidRPr="00A82637">
        <w:rPr>
          <w:rFonts w:ascii="Times New Roman" w:eastAsia="標楷體" w:hAnsi="Times New Roman" w:cs="Times New Roman" w:hint="eastAsia"/>
          <w:sz w:val="28"/>
          <w:szCs w:val="28"/>
        </w:rPr>
        <w:t xml:space="preserve"> CKIP Transformers </w:t>
      </w:r>
      <w:r w:rsidRPr="00A82637">
        <w:rPr>
          <w:rFonts w:ascii="Times New Roman" w:eastAsia="標楷體" w:hAnsi="Times New Roman" w:cs="Times New Roman" w:hint="eastAsia"/>
          <w:sz w:val="28"/>
          <w:szCs w:val="28"/>
        </w:rPr>
        <w:t>斷詞架構。該架構基於</w:t>
      </w:r>
      <w:r w:rsidRPr="00A82637">
        <w:rPr>
          <w:rFonts w:ascii="Times New Roman" w:eastAsia="標楷體" w:hAnsi="Times New Roman" w:cs="Times New Roman" w:hint="eastAsia"/>
          <w:sz w:val="28"/>
          <w:szCs w:val="28"/>
        </w:rPr>
        <w:t xml:space="preserve"> Transformer </w:t>
      </w:r>
      <w:r w:rsidRPr="00A82637">
        <w:rPr>
          <w:rFonts w:ascii="Times New Roman" w:eastAsia="標楷體" w:hAnsi="Times New Roman" w:cs="Times New Roman" w:hint="eastAsia"/>
          <w:sz w:val="28"/>
          <w:szCs w:val="28"/>
        </w:rPr>
        <w:t>之深度學習原理，能更精準地辨識繁體中文法律術語並捕捉長程語意依賴，這對於解構如智財案件中「侵權判定」等複雜邏輯至關重要。</w:t>
      </w:r>
    </w:p>
    <w:p w14:paraId="2DB473FA" w14:textId="77777777" w:rsidR="00A82637" w:rsidRPr="00A82637" w:rsidRDefault="00A82637" w:rsidP="00A82637">
      <w:pPr>
        <w:outlineLvl w:val="0"/>
        <w:rPr>
          <w:rFonts w:ascii="Times New Roman" w:eastAsia="標楷體" w:hAnsi="Times New Roman" w:cs="Times New Roman"/>
          <w:sz w:val="28"/>
          <w:szCs w:val="28"/>
        </w:rPr>
      </w:pPr>
    </w:p>
    <w:p w14:paraId="7ED20633" w14:textId="77777777" w:rsidR="00A82637" w:rsidRPr="00A82637" w:rsidRDefault="00A82637" w:rsidP="00A82637">
      <w:pPr>
        <w:outlineLvl w:val="0"/>
        <w:rPr>
          <w:rFonts w:ascii="Times New Roman" w:eastAsia="標楷體" w:hAnsi="Times New Roman" w:cs="Times New Roman" w:hint="eastAsia"/>
          <w:sz w:val="28"/>
          <w:szCs w:val="28"/>
        </w:rPr>
      </w:pPr>
      <w:r w:rsidRPr="00A82637">
        <w:rPr>
          <w:rFonts w:ascii="Times New Roman" w:eastAsia="標楷體" w:hAnsi="Times New Roman" w:cs="Times New Roman" w:hint="eastAsia"/>
          <w:sz w:val="28"/>
          <w:szCs w:val="28"/>
        </w:rPr>
        <w:t xml:space="preserve">2.4 </w:t>
      </w:r>
      <w:r w:rsidRPr="00A82637">
        <w:rPr>
          <w:rFonts w:ascii="Times New Roman" w:eastAsia="標楷體" w:hAnsi="Times New Roman" w:cs="Times New Roman" w:hint="eastAsia"/>
          <w:sz w:val="28"/>
          <w:szCs w:val="28"/>
        </w:rPr>
        <w:t>以文本為基礎的預測方法論</w:t>
      </w:r>
    </w:p>
    <w:p w14:paraId="5A44BE33" w14:textId="77777777" w:rsidR="00A82637" w:rsidRPr="00A82637" w:rsidRDefault="00A82637" w:rsidP="00A82637">
      <w:pPr>
        <w:outlineLvl w:val="0"/>
        <w:rPr>
          <w:rFonts w:ascii="Times New Roman" w:eastAsia="標楷體" w:hAnsi="Times New Roman" w:cs="Times New Roman" w:hint="eastAsia"/>
          <w:sz w:val="28"/>
          <w:szCs w:val="28"/>
        </w:rPr>
      </w:pPr>
      <w:r w:rsidRPr="00A82637">
        <w:rPr>
          <w:rFonts w:ascii="Times New Roman" w:eastAsia="標楷體" w:hAnsi="Times New Roman" w:cs="Times New Roman" w:hint="eastAsia"/>
          <w:sz w:val="28"/>
          <w:szCs w:val="28"/>
        </w:rPr>
        <w:t>在建構預測模型時，本研究借鑑了金融領域處理官方文件（如</w:t>
      </w:r>
      <w:r w:rsidRPr="00A82637">
        <w:rPr>
          <w:rFonts w:ascii="Times New Roman" w:eastAsia="標楷體" w:hAnsi="Times New Roman" w:cs="Times New Roman" w:hint="eastAsia"/>
          <w:sz w:val="28"/>
          <w:szCs w:val="28"/>
        </w:rPr>
        <w:t xml:space="preserve"> FOMC </w:t>
      </w:r>
      <w:r w:rsidRPr="00A82637">
        <w:rPr>
          <w:rFonts w:ascii="Times New Roman" w:eastAsia="標楷體" w:hAnsi="Times New Roman" w:cs="Times New Roman" w:hint="eastAsia"/>
          <w:sz w:val="28"/>
          <w:szCs w:val="28"/>
        </w:rPr>
        <w:t>政策聲明）的成功範式：</w:t>
      </w:r>
    </w:p>
    <w:p w14:paraId="1A41851E" w14:textId="77777777" w:rsidR="00A82637" w:rsidRPr="00A82637" w:rsidRDefault="00A82637" w:rsidP="00A82637">
      <w:pPr>
        <w:outlineLvl w:val="0"/>
        <w:rPr>
          <w:rFonts w:ascii="Times New Roman" w:eastAsia="標楷體" w:hAnsi="Times New Roman" w:cs="Times New Roman"/>
          <w:sz w:val="28"/>
          <w:szCs w:val="28"/>
        </w:rPr>
      </w:pPr>
    </w:p>
    <w:p w14:paraId="5E9C9A87" w14:textId="77777777" w:rsidR="00A82637" w:rsidRPr="00A82637" w:rsidRDefault="00A82637" w:rsidP="00A82637">
      <w:pPr>
        <w:outlineLvl w:val="0"/>
        <w:rPr>
          <w:rFonts w:ascii="Times New Roman" w:eastAsia="標楷體" w:hAnsi="Times New Roman" w:cs="Times New Roman" w:hint="eastAsia"/>
          <w:sz w:val="28"/>
          <w:szCs w:val="28"/>
        </w:rPr>
      </w:pPr>
      <w:r w:rsidRPr="00A82637">
        <w:rPr>
          <w:rFonts w:ascii="Times New Roman" w:eastAsia="標楷體" w:hAnsi="Times New Roman" w:cs="Times New Roman" w:hint="eastAsia"/>
          <w:sz w:val="28"/>
          <w:szCs w:val="28"/>
        </w:rPr>
        <w:t>情緒分析與量化：透過將質化文本量化為情緒分數或論證極性，使司法語言得以進入數學模型運算。</w:t>
      </w:r>
    </w:p>
    <w:p w14:paraId="38E10396" w14:textId="77777777" w:rsidR="00A82637" w:rsidRPr="00A82637" w:rsidRDefault="00A82637" w:rsidP="00A82637">
      <w:pPr>
        <w:outlineLvl w:val="0"/>
        <w:rPr>
          <w:rFonts w:ascii="Times New Roman" w:eastAsia="標楷體" w:hAnsi="Times New Roman" w:cs="Times New Roman"/>
          <w:sz w:val="28"/>
          <w:szCs w:val="28"/>
        </w:rPr>
      </w:pPr>
    </w:p>
    <w:p w14:paraId="2B536377" w14:textId="77777777" w:rsidR="00A82637" w:rsidRPr="00A82637" w:rsidRDefault="00A82637" w:rsidP="00A82637">
      <w:pPr>
        <w:outlineLvl w:val="0"/>
        <w:rPr>
          <w:rFonts w:ascii="Times New Roman" w:eastAsia="標楷體" w:hAnsi="Times New Roman" w:cs="Times New Roman" w:hint="eastAsia"/>
          <w:sz w:val="28"/>
          <w:szCs w:val="28"/>
        </w:rPr>
      </w:pPr>
      <w:r w:rsidRPr="00A82637">
        <w:rPr>
          <w:rFonts w:ascii="Times New Roman" w:eastAsia="標楷體" w:hAnsi="Times New Roman" w:cs="Times New Roman" w:hint="eastAsia"/>
          <w:sz w:val="28"/>
          <w:szCs w:val="28"/>
        </w:rPr>
        <w:t>多類別分類任務：不同於過往研究多側重二元分類（侵權成立與否），本研究將案件結果細分為「勝訴」、「敗訴」及「部分勝訴</w:t>
      </w:r>
      <w:r w:rsidRPr="00A82637">
        <w:rPr>
          <w:rFonts w:ascii="Times New Roman" w:eastAsia="標楷體" w:hAnsi="Times New Roman" w:cs="Times New Roman" w:hint="eastAsia"/>
          <w:sz w:val="28"/>
          <w:szCs w:val="28"/>
        </w:rPr>
        <w:t>/</w:t>
      </w:r>
      <w:r w:rsidRPr="00A82637">
        <w:rPr>
          <w:rFonts w:ascii="Times New Roman" w:eastAsia="標楷體" w:hAnsi="Times New Roman" w:cs="Times New Roman" w:hint="eastAsia"/>
          <w:sz w:val="28"/>
          <w:szCs w:val="28"/>
        </w:rPr>
        <w:t>敗訴」。此分類方式更能精準反映智財實務中，法官在侵權認定與損害賠償間的權衡。</w:t>
      </w:r>
    </w:p>
    <w:p w14:paraId="391B9B21" w14:textId="77777777" w:rsidR="00A82637" w:rsidRPr="00A82637" w:rsidRDefault="00A82637" w:rsidP="00A82637">
      <w:pPr>
        <w:outlineLvl w:val="0"/>
        <w:rPr>
          <w:rFonts w:ascii="Times New Roman" w:eastAsia="標楷體" w:hAnsi="Times New Roman" w:cs="Times New Roman"/>
          <w:sz w:val="28"/>
          <w:szCs w:val="28"/>
        </w:rPr>
      </w:pPr>
    </w:p>
    <w:p w14:paraId="731B2517" w14:textId="77777777" w:rsidR="00A82637" w:rsidRPr="00A82637" w:rsidRDefault="00A82637" w:rsidP="00A82637">
      <w:pPr>
        <w:outlineLvl w:val="0"/>
        <w:rPr>
          <w:rFonts w:ascii="Times New Roman" w:eastAsia="標楷體" w:hAnsi="Times New Roman" w:cs="Times New Roman" w:hint="eastAsia"/>
          <w:sz w:val="28"/>
          <w:szCs w:val="28"/>
        </w:rPr>
      </w:pPr>
      <w:r w:rsidRPr="00A82637">
        <w:rPr>
          <w:rFonts w:ascii="Times New Roman" w:eastAsia="標楷體" w:hAnsi="Times New Roman" w:cs="Times New Roman" w:hint="eastAsia"/>
          <w:sz w:val="28"/>
          <w:szCs w:val="28"/>
        </w:rPr>
        <w:t>演算法之演進：文獻顯示，從傳統的支持向量機（</w:t>
      </w:r>
      <w:r w:rsidRPr="00A82637">
        <w:rPr>
          <w:rFonts w:ascii="Times New Roman" w:eastAsia="標楷體" w:hAnsi="Times New Roman" w:cs="Times New Roman" w:hint="eastAsia"/>
          <w:sz w:val="28"/>
          <w:szCs w:val="28"/>
        </w:rPr>
        <w:t>SVM</w:t>
      </w:r>
      <w:r w:rsidRPr="00A82637">
        <w:rPr>
          <w:rFonts w:ascii="Times New Roman" w:eastAsia="標楷體" w:hAnsi="Times New Roman" w:cs="Times New Roman" w:hint="eastAsia"/>
          <w:sz w:val="28"/>
          <w:szCs w:val="28"/>
        </w:rPr>
        <w:t>）、單純貝氏（</w:t>
      </w:r>
      <w:r w:rsidRPr="00A82637">
        <w:rPr>
          <w:rFonts w:ascii="Times New Roman" w:eastAsia="標楷體" w:hAnsi="Times New Roman" w:cs="Times New Roman" w:hint="eastAsia"/>
          <w:sz w:val="28"/>
          <w:szCs w:val="28"/>
        </w:rPr>
        <w:t>Naive Bayes</w:t>
      </w:r>
      <w:r w:rsidRPr="00A82637">
        <w:rPr>
          <w:rFonts w:ascii="Times New Roman" w:eastAsia="標楷體" w:hAnsi="Times New Roman" w:cs="Times New Roman" w:hint="eastAsia"/>
          <w:sz w:val="28"/>
          <w:szCs w:val="28"/>
        </w:rPr>
        <w:t>）到現代的神經網路（</w:t>
      </w:r>
      <w:r w:rsidRPr="00A82637">
        <w:rPr>
          <w:rFonts w:ascii="Times New Roman" w:eastAsia="標楷體" w:hAnsi="Times New Roman" w:cs="Times New Roman" w:hint="eastAsia"/>
          <w:sz w:val="28"/>
          <w:szCs w:val="28"/>
        </w:rPr>
        <w:t>Neural Networks</w:t>
      </w:r>
      <w:r w:rsidRPr="00A82637">
        <w:rPr>
          <w:rFonts w:ascii="Times New Roman" w:eastAsia="標楷體" w:hAnsi="Times New Roman" w:cs="Times New Roman" w:hint="eastAsia"/>
          <w:sz w:val="28"/>
          <w:szCs w:val="28"/>
        </w:rPr>
        <w:t>）與整合學習（</w:t>
      </w:r>
      <w:proofErr w:type="spellStart"/>
      <w:r w:rsidRPr="00A82637">
        <w:rPr>
          <w:rFonts w:ascii="Times New Roman" w:eastAsia="標楷體" w:hAnsi="Times New Roman" w:cs="Times New Roman" w:hint="eastAsia"/>
          <w:sz w:val="28"/>
          <w:szCs w:val="28"/>
        </w:rPr>
        <w:t>XGBoost</w:t>
      </w:r>
      <w:proofErr w:type="spellEnd"/>
      <w:r w:rsidRPr="00A82637">
        <w:rPr>
          <w:rFonts w:ascii="Times New Roman" w:eastAsia="標楷體" w:hAnsi="Times New Roman" w:cs="Times New Roman" w:hint="eastAsia"/>
          <w:sz w:val="28"/>
          <w:szCs w:val="28"/>
        </w:rPr>
        <w:t>, Random Forest</w:t>
      </w:r>
      <w:r w:rsidRPr="00A82637">
        <w:rPr>
          <w:rFonts w:ascii="Times New Roman" w:eastAsia="標楷體" w:hAnsi="Times New Roman" w:cs="Times New Roman" w:hint="eastAsia"/>
          <w:sz w:val="28"/>
          <w:szCs w:val="28"/>
        </w:rPr>
        <w:t>），模型對非線性特徵的捕捉能力不斷提升。本研究將系統性對比上述模型，並透過</w:t>
      </w:r>
      <w:r w:rsidRPr="00A82637">
        <w:rPr>
          <w:rFonts w:ascii="Times New Roman" w:eastAsia="標楷體" w:hAnsi="Times New Roman" w:cs="Times New Roman" w:hint="eastAsia"/>
          <w:sz w:val="28"/>
          <w:szCs w:val="28"/>
        </w:rPr>
        <w:t xml:space="preserve"> 80:10:10 </w:t>
      </w:r>
      <w:r w:rsidRPr="00A82637">
        <w:rPr>
          <w:rFonts w:ascii="Times New Roman" w:eastAsia="標楷體" w:hAnsi="Times New Roman" w:cs="Times New Roman" w:hint="eastAsia"/>
          <w:sz w:val="28"/>
          <w:szCs w:val="28"/>
        </w:rPr>
        <w:t>的訓練、驗證與測試集劃分，確保預測效能的客觀性與穩健性。</w:t>
      </w:r>
    </w:p>
    <w:p w14:paraId="736AD6F8" w14:textId="77777777" w:rsidR="00A82637" w:rsidRPr="00A82637" w:rsidRDefault="00A82637" w:rsidP="00A82637">
      <w:pPr>
        <w:outlineLvl w:val="0"/>
        <w:rPr>
          <w:rFonts w:ascii="Times New Roman" w:eastAsia="標楷體" w:hAnsi="Times New Roman" w:cs="Times New Roman"/>
          <w:sz w:val="28"/>
          <w:szCs w:val="28"/>
        </w:rPr>
      </w:pPr>
    </w:p>
    <w:p w14:paraId="64C5CC6C" w14:textId="77777777" w:rsidR="00A82637" w:rsidRPr="00A82637" w:rsidRDefault="00A82637" w:rsidP="00A82637">
      <w:pPr>
        <w:outlineLvl w:val="0"/>
        <w:rPr>
          <w:rFonts w:ascii="Times New Roman" w:eastAsia="標楷體" w:hAnsi="Times New Roman" w:cs="Times New Roman" w:hint="eastAsia"/>
          <w:sz w:val="28"/>
          <w:szCs w:val="28"/>
        </w:rPr>
      </w:pPr>
      <w:r w:rsidRPr="00A82637">
        <w:rPr>
          <w:rFonts w:ascii="Times New Roman" w:eastAsia="標楷體" w:hAnsi="Times New Roman" w:cs="Times New Roman" w:hint="eastAsia"/>
          <w:sz w:val="28"/>
          <w:szCs w:val="28"/>
        </w:rPr>
        <w:t xml:space="preserve">2.5 </w:t>
      </w:r>
      <w:r w:rsidRPr="00A82637">
        <w:rPr>
          <w:rFonts w:ascii="Times New Roman" w:eastAsia="標楷體" w:hAnsi="Times New Roman" w:cs="Times New Roman" w:hint="eastAsia"/>
          <w:sz w:val="28"/>
          <w:szCs w:val="28"/>
        </w:rPr>
        <w:t>總結與研究缺口</w:t>
      </w:r>
    </w:p>
    <w:p w14:paraId="020BA652" w14:textId="0D07A2E3" w:rsidR="000232AA" w:rsidRPr="000232AA" w:rsidRDefault="00A96572" w:rsidP="000E77F6">
      <w:pPr>
        <w:outlineLvl w:val="0"/>
        <w:rPr>
          <w:rFonts w:ascii="Times New Roman" w:eastAsia="標楷體" w:hAnsi="Times New Roman" w:cs="Times New Roman" w:hint="eastAsia"/>
          <w:sz w:val="28"/>
          <w:szCs w:val="28"/>
        </w:rPr>
      </w:pPr>
      <w:r w:rsidRPr="00A96572">
        <w:rPr>
          <w:rFonts w:ascii="Times New Roman" w:eastAsia="標楷體" w:hAnsi="Times New Roman" w:cs="Times New Roman"/>
          <w:sz w:val="28"/>
          <w:szCs w:val="28"/>
        </w:rPr>
        <w:t>綜合上述文獻梳理，本研究識別出台灣目前在法律實證與文字探勘應用中仍存在顯著之領域缺口。儘管機器學習已廣泛應用於刑事量刑、親權判定或醫療糾紛等文本邏輯較為直觀之領域，然針對高度專業且技術門檻極高之智慧財產權（</w:t>
      </w:r>
      <w:r w:rsidRPr="00A96572">
        <w:rPr>
          <w:rFonts w:ascii="Times New Roman" w:eastAsia="標楷體" w:hAnsi="Times New Roman" w:cs="Times New Roman"/>
          <w:sz w:val="28"/>
          <w:szCs w:val="28"/>
        </w:rPr>
        <w:t>IP</w:t>
      </w:r>
      <w:r w:rsidRPr="00A96572">
        <w:rPr>
          <w:rFonts w:ascii="Times New Roman" w:eastAsia="標楷體" w:hAnsi="Times New Roman" w:cs="Times New Roman"/>
          <w:sz w:val="28"/>
          <w:szCs w:val="28"/>
        </w:rPr>
        <w:t>）案件，現有之文本預測研究比例仍顯匱乏。由於智財判決書具備極長文本與編碼化語意（</w:t>
      </w:r>
      <w:r w:rsidRPr="00A96572">
        <w:rPr>
          <w:rFonts w:ascii="Times New Roman" w:eastAsia="標楷體" w:hAnsi="Times New Roman" w:cs="Times New Roman"/>
          <w:sz w:val="28"/>
          <w:szCs w:val="28"/>
        </w:rPr>
        <w:t>Coded Language</w:t>
      </w:r>
      <w:r w:rsidRPr="00A96572">
        <w:rPr>
          <w:rFonts w:ascii="Times New Roman" w:eastAsia="標楷體" w:hAnsi="Times New Roman" w:cs="Times New Roman"/>
          <w:sz w:val="28"/>
          <w:szCs w:val="28"/>
        </w:rPr>
        <w:t>）之特性，傳統基於詞頻統計之斷詞工具（如</w:t>
      </w:r>
      <w:r w:rsidRPr="00A96572">
        <w:rPr>
          <w:rFonts w:ascii="Times New Roman" w:eastAsia="標楷體" w:hAnsi="Times New Roman" w:cs="Times New Roman"/>
          <w:sz w:val="28"/>
          <w:szCs w:val="28"/>
        </w:rPr>
        <w:t xml:space="preserve"> </w:t>
      </w:r>
      <w:proofErr w:type="spellStart"/>
      <w:r w:rsidRPr="00A96572">
        <w:rPr>
          <w:rFonts w:ascii="Times New Roman" w:eastAsia="標楷體" w:hAnsi="Times New Roman" w:cs="Times New Roman"/>
          <w:sz w:val="28"/>
          <w:szCs w:val="28"/>
        </w:rPr>
        <w:t>Jieba</w:t>
      </w:r>
      <w:proofErr w:type="spellEnd"/>
      <w:r w:rsidRPr="00A96572">
        <w:rPr>
          <w:rFonts w:ascii="Times New Roman" w:eastAsia="標楷體" w:hAnsi="Times New Roman" w:cs="Times New Roman"/>
          <w:sz w:val="28"/>
          <w:szCs w:val="28"/>
        </w:rPr>
        <w:t>）難以精準捕捉如「專利進步性」或「侵權均等論」等深度語意特徵。此外，既有研究多聚焦於賠償金額之數值分析或勝敗二元分類，鮮少針對法律實務中常見且最具爭議之「部分勝訴」類別進行系統性建模。因此，本研究導入</w:t>
      </w:r>
      <w:r w:rsidRPr="00A96572">
        <w:rPr>
          <w:rFonts w:ascii="Times New Roman" w:eastAsia="標楷體" w:hAnsi="Times New Roman" w:cs="Times New Roman"/>
          <w:sz w:val="28"/>
          <w:szCs w:val="28"/>
        </w:rPr>
        <w:t xml:space="preserve"> CKIP Transformers </w:t>
      </w:r>
      <w:r w:rsidRPr="00A96572">
        <w:rPr>
          <w:rFonts w:ascii="Times New Roman" w:eastAsia="標楷體" w:hAnsi="Times New Roman" w:cs="Times New Roman"/>
          <w:sz w:val="28"/>
          <w:szCs w:val="28"/>
        </w:rPr>
        <w:t>深度學習架構，試圖在智財權此一專業領域中，填補從非結構化長文本到多類別（勝、敗、部分勝訴）判決結果預測之間的研究斷層。</w:t>
      </w:r>
    </w:p>
    <w:p w14:paraId="289B59D8" w14:textId="77777777" w:rsidR="00CC5EA4" w:rsidRDefault="00CC5EA4">
      <w:pPr>
        <w:widowControl/>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02AA4D9F" w14:textId="77777777" w:rsidR="008613E4" w:rsidRPr="008613E4" w:rsidRDefault="008613E4" w:rsidP="008613E4">
      <w:pPr>
        <w:outlineLvl w:val="0"/>
        <w:rPr>
          <w:rFonts w:ascii="Times New Roman" w:eastAsia="標楷體" w:hAnsi="Times New Roman" w:cs="Times New Roman"/>
          <w:sz w:val="28"/>
          <w:szCs w:val="28"/>
        </w:rPr>
      </w:pPr>
    </w:p>
    <w:p w14:paraId="42330752" w14:textId="3FCDC03D" w:rsidR="008613E4" w:rsidRDefault="008613E4" w:rsidP="008613E4">
      <w:pPr>
        <w:outlineLvl w:val="0"/>
        <w:rPr>
          <w:rFonts w:ascii="Times New Roman" w:eastAsia="標楷體" w:hAnsi="Times New Roman" w:cs="Times New Roman"/>
          <w:sz w:val="28"/>
          <w:szCs w:val="28"/>
        </w:rPr>
      </w:pPr>
      <w:r w:rsidRPr="008613E4">
        <w:rPr>
          <w:rFonts w:ascii="Times New Roman" w:eastAsia="標楷體" w:hAnsi="Times New Roman" w:cs="Times New Roman"/>
          <w:sz w:val="28"/>
          <w:szCs w:val="28"/>
        </w:rPr>
        <w:t>研究方法</w:t>
      </w:r>
    </w:p>
    <w:p w14:paraId="2E0FDDCA" w14:textId="5872BCF6" w:rsidR="000E77F6" w:rsidRDefault="000E77F6" w:rsidP="008613E4">
      <w:pPr>
        <w:outlineLvl w:val="0"/>
        <w:rPr>
          <w:rFonts w:ascii="Times New Roman" w:eastAsia="標楷體" w:hAnsi="Times New Roman" w:cs="Times New Roman"/>
          <w:sz w:val="28"/>
          <w:szCs w:val="28"/>
        </w:rPr>
      </w:pPr>
      <w:r w:rsidRPr="000E77F6">
        <w:rPr>
          <w:rFonts w:ascii="Times New Roman" w:eastAsia="標楷體" w:hAnsi="Times New Roman" w:cs="Times New Roman"/>
          <w:sz w:val="28"/>
          <w:szCs w:val="28"/>
        </w:rPr>
        <w:t>本研究旨在運用文字探勘（</w:t>
      </w:r>
      <w:r w:rsidRPr="000E77F6">
        <w:rPr>
          <w:rFonts w:ascii="Times New Roman" w:eastAsia="標楷體" w:hAnsi="Times New Roman" w:cs="Times New Roman"/>
          <w:sz w:val="28"/>
          <w:szCs w:val="28"/>
        </w:rPr>
        <w:t>Text Mining</w:t>
      </w:r>
      <w:r w:rsidRPr="000E77F6">
        <w:rPr>
          <w:rFonts w:ascii="Times New Roman" w:eastAsia="標楷體" w:hAnsi="Times New Roman" w:cs="Times New Roman"/>
          <w:sz w:val="28"/>
          <w:szCs w:val="28"/>
        </w:rPr>
        <w:t>）與機器學習（</w:t>
      </w:r>
      <w:r w:rsidRPr="000E77F6">
        <w:rPr>
          <w:rFonts w:ascii="Times New Roman" w:eastAsia="標楷體" w:hAnsi="Times New Roman" w:cs="Times New Roman"/>
          <w:sz w:val="28"/>
          <w:szCs w:val="28"/>
        </w:rPr>
        <w:t>Machine Learning</w:t>
      </w:r>
      <w:r w:rsidRPr="000E77F6">
        <w:rPr>
          <w:rFonts w:ascii="Times New Roman" w:eastAsia="標楷體" w:hAnsi="Times New Roman" w:cs="Times New Roman"/>
          <w:sz w:val="28"/>
          <w:szCs w:val="28"/>
        </w:rPr>
        <w:t>）技術，對台灣智慧財產權相關的法院判決進行實證分析與結果預測。本章節將詳細闡述從資料蒐集、文本前處理、特徵工程到模型建構與評估的完整研究流程與方法論基礎。透過系統化的研究設計，我們期望能從非結構化的判決文本中，提取出具有預測能力的關鍵因素，並建立一個客觀、可複製的分析框架，以確保本研究的學術嚴謹性。</w:t>
      </w:r>
    </w:p>
    <w:p w14:paraId="6E9A4383" w14:textId="1BCBB56C" w:rsidR="002C6512" w:rsidRDefault="002C6512" w:rsidP="008613E4">
      <w:pPr>
        <w:outlineLvl w:val="0"/>
        <w:rPr>
          <w:rFonts w:ascii="Times New Roman" w:eastAsia="標楷體" w:hAnsi="Times New Roman" w:cs="Times New Roman"/>
          <w:sz w:val="28"/>
          <w:szCs w:val="28"/>
        </w:rPr>
      </w:pPr>
      <w:r>
        <w:rPr>
          <w:rFonts w:ascii="Times New Roman" w:eastAsia="標楷體" w:hAnsi="Times New Roman" w:cs="Times New Roman"/>
          <w:noProof/>
          <w:sz w:val="28"/>
          <w:szCs w:val="28"/>
        </w:rPr>
        <mc:AlternateContent>
          <mc:Choice Requires="wpg">
            <w:drawing>
              <wp:anchor distT="0" distB="0" distL="114300" distR="114300" simplePos="0" relativeHeight="251674624" behindDoc="0" locked="0" layoutInCell="1" allowOverlap="1" wp14:anchorId="2A905E7D" wp14:editId="29CE61C5">
                <wp:simplePos x="0" y="0"/>
                <wp:positionH relativeFrom="column">
                  <wp:posOffset>599638</wp:posOffset>
                </wp:positionH>
                <wp:positionV relativeFrom="paragraph">
                  <wp:posOffset>44450</wp:posOffset>
                </wp:positionV>
                <wp:extent cx="5178425" cy="2045970"/>
                <wp:effectExtent l="0" t="0" r="22225" b="11430"/>
                <wp:wrapNone/>
                <wp:docPr id="1234589219" name="群組 7"/>
                <wp:cNvGraphicFramePr/>
                <a:graphic xmlns:a="http://schemas.openxmlformats.org/drawingml/2006/main">
                  <a:graphicData uri="http://schemas.microsoft.com/office/word/2010/wordprocessingGroup">
                    <wpg:wgp>
                      <wpg:cNvGrpSpPr/>
                      <wpg:grpSpPr>
                        <a:xfrm>
                          <a:off x="0" y="0"/>
                          <a:ext cx="5178425" cy="2045970"/>
                          <a:chOff x="0" y="0"/>
                          <a:chExt cx="5178755" cy="2046514"/>
                        </a:xfrm>
                      </wpg:grpSpPr>
                      <wps:wsp>
                        <wps:cNvPr id="2037692167" name="文字方塊 2"/>
                        <wps:cNvSpPr txBox="1">
                          <a:spLocks noChangeArrowheads="1"/>
                        </wps:cNvSpPr>
                        <wps:spPr bwMode="auto">
                          <a:xfrm>
                            <a:off x="0" y="11875"/>
                            <a:ext cx="1343025" cy="609600"/>
                          </a:xfrm>
                          <a:prstGeom prst="roundRect">
                            <a:avLst/>
                          </a:prstGeom>
                          <a:noFill/>
                          <a:ln>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4C142509" w14:textId="0BECC088"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資料獲取</w:t>
                              </w:r>
                            </w:p>
                          </w:txbxContent>
                        </wps:txbx>
                        <wps:bodyPr rot="0" vert="horz" wrap="square" lIns="91440" tIns="45720" rIns="91440" bIns="45720" anchor="ctr" anchorCtr="0">
                          <a:noAutofit/>
                        </wps:bodyPr>
                      </wps:wsp>
                      <wps:wsp>
                        <wps:cNvPr id="1668666567" name="文字方塊 2"/>
                        <wps:cNvSpPr txBox="1">
                          <a:spLocks noChangeArrowheads="1"/>
                        </wps:cNvSpPr>
                        <wps:spPr bwMode="auto">
                          <a:xfrm>
                            <a:off x="1911927" y="0"/>
                            <a:ext cx="1343025" cy="609600"/>
                          </a:xfrm>
                          <a:prstGeom prst="roundRect">
                            <a:avLst/>
                          </a:prstGeom>
                          <a:noFill/>
                          <a:ln>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2E4CA52B" w14:textId="171D2234"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資料</w:t>
                              </w:r>
                              <w:r w:rsidRPr="002C6512">
                                <w:rPr>
                                  <w:rFonts w:ascii="標楷體" w:eastAsia="標楷體" w:hAnsi="標楷體" w:hint="eastAsia"/>
                                  <w:sz w:val="32"/>
                                  <w:szCs w:val="32"/>
                                </w:rPr>
                                <w:t>前處理</w:t>
                              </w:r>
                            </w:p>
                          </w:txbxContent>
                        </wps:txbx>
                        <wps:bodyPr rot="0" vert="horz" wrap="square" lIns="91440" tIns="45720" rIns="91440" bIns="45720" anchor="ctr" anchorCtr="0">
                          <a:noAutofit/>
                        </wps:bodyPr>
                      </wps:wsp>
                      <wps:wsp>
                        <wps:cNvPr id="2088765225" name="文字方塊 2"/>
                        <wps:cNvSpPr txBox="1">
                          <a:spLocks noChangeArrowheads="1"/>
                        </wps:cNvSpPr>
                        <wps:spPr bwMode="auto">
                          <a:xfrm>
                            <a:off x="653143" y="1436914"/>
                            <a:ext cx="1666875" cy="609600"/>
                          </a:xfrm>
                          <a:prstGeom prst="roundRect">
                            <a:avLst/>
                          </a:prstGeom>
                          <a:noFill/>
                          <a:ln>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3C4EE245" w14:textId="07E07B12"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預測模型建構</w:t>
                              </w:r>
                            </w:p>
                          </w:txbxContent>
                        </wps:txbx>
                        <wps:bodyPr rot="0" vert="horz" wrap="square" lIns="91440" tIns="45720" rIns="91440" bIns="45720" anchor="ctr" anchorCtr="0">
                          <a:noAutofit/>
                        </wps:bodyPr>
                      </wps:wsp>
                      <wps:wsp>
                        <wps:cNvPr id="1506213021" name="文字方塊 2"/>
                        <wps:cNvSpPr txBox="1">
                          <a:spLocks noChangeArrowheads="1"/>
                        </wps:cNvSpPr>
                        <wps:spPr bwMode="auto">
                          <a:xfrm>
                            <a:off x="2897579" y="1436914"/>
                            <a:ext cx="1343025" cy="609600"/>
                          </a:xfrm>
                          <a:prstGeom prst="roundRect">
                            <a:avLst/>
                          </a:prstGeom>
                          <a:noFill/>
                          <a:ln>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00075465" w14:textId="65644642"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效能評估</w:t>
                              </w:r>
                            </w:p>
                          </w:txbxContent>
                        </wps:txbx>
                        <wps:bodyPr rot="0" vert="horz" wrap="square" lIns="91440" tIns="45720" rIns="91440" bIns="45720" anchor="ctr" anchorCtr="0">
                          <a:noAutofit/>
                        </wps:bodyPr>
                      </wps:wsp>
                      <wps:wsp>
                        <wps:cNvPr id="254509797" name="文字方塊 2"/>
                        <wps:cNvSpPr txBox="1">
                          <a:spLocks noChangeArrowheads="1"/>
                        </wps:cNvSpPr>
                        <wps:spPr bwMode="auto">
                          <a:xfrm>
                            <a:off x="3835730" y="0"/>
                            <a:ext cx="1343025" cy="609600"/>
                          </a:xfrm>
                          <a:prstGeom prst="roundRect">
                            <a:avLst/>
                          </a:prstGeom>
                          <a:noFill/>
                          <a:ln>
                            <a:solidFill>
                              <a:schemeClr val="tx1"/>
                            </a:solidFill>
                            <a:headEnd/>
                            <a:tailEnd/>
                          </a:ln>
                        </wps:spPr>
                        <wps:style>
                          <a:lnRef idx="2">
                            <a:schemeClr val="dk1"/>
                          </a:lnRef>
                          <a:fillRef idx="1">
                            <a:schemeClr val="lt1"/>
                          </a:fillRef>
                          <a:effectRef idx="0">
                            <a:schemeClr val="dk1"/>
                          </a:effectRef>
                          <a:fontRef idx="minor">
                            <a:schemeClr val="dk1"/>
                          </a:fontRef>
                        </wps:style>
                        <wps:txbx>
                          <w:txbxContent>
                            <w:p w14:paraId="5607150C" w14:textId="26852402"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特徵工程</w:t>
                              </w:r>
                            </w:p>
                          </w:txbxContent>
                        </wps:txbx>
                        <wps:bodyPr rot="0" vert="horz" wrap="square" lIns="91440" tIns="45720" rIns="91440" bIns="45720" anchor="ctr" anchorCtr="0">
                          <a:noAutofit/>
                        </wps:bodyPr>
                      </wps:wsp>
                      <wps:wsp>
                        <wps:cNvPr id="1941656581" name="直線單箭頭接點 6"/>
                        <wps:cNvCnPr/>
                        <wps:spPr>
                          <a:xfrm>
                            <a:off x="1341912" y="318407"/>
                            <a:ext cx="574024" cy="745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31396227" name="直線單箭頭接點 6"/>
                        <wps:cNvCnPr/>
                        <wps:spPr>
                          <a:xfrm>
                            <a:off x="3265714" y="318407"/>
                            <a:ext cx="574024" cy="745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4486450" name="直線單箭頭接點 6"/>
                        <wps:cNvCnPr/>
                        <wps:spPr>
                          <a:xfrm flipH="1">
                            <a:off x="1475014" y="617517"/>
                            <a:ext cx="3094714" cy="8237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28701504" name="直線單箭頭接點 6"/>
                        <wps:cNvCnPr/>
                        <wps:spPr>
                          <a:xfrm>
                            <a:off x="2327564" y="1743446"/>
                            <a:ext cx="574024" cy="745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A905E7D" id="群組 7" o:spid="_x0000_s1026" style="position:absolute;margin-left:47.2pt;margin-top:3.5pt;width:407.75pt;height:161.1pt;z-index:251674624" coordsize="51787,20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">
                <v:roundrect id="文字方塊 2" o:spid="_x0000_s1027" style="position:absolute;top:118;width:13430;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" filled="f" strokecolor="black [3213]" strokeweight="1pt">
                  <v:stroke joinstyle="miter"/>
                  <v:textbox>
                    <w:txbxContent>
                      <w:p w14:paraId="4C142509" w14:textId="0BECC088"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資料獲取</w:t>
                        </w:r>
                      </w:p>
                    </w:txbxContent>
                  </v:textbox>
                </v:roundrect>
                <v:roundrect id="文字方塊 2" o:spid="_x0000_s1028" style="position:absolute;left:19119;width:13430;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" filled="f" strokecolor="black [3213]" strokeweight="1pt">
                  <v:stroke joinstyle="miter"/>
                  <v:textbox>
                    <w:txbxContent>
                      <w:p w14:paraId="2E4CA52B" w14:textId="171D2234"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資料</w:t>
                        </w:r>
                        <w:r w:rsidRPr="002C6512">
                          <w:rPr>
                            <w:rFonts w:ascii="標楷體" w:eastAsia="標楷體" w:hAnsi="標楷體" w:hint="eastAsia"/>
                            <w:sz w:val="32"/>
                            <w:szCs w:val="32"/>
                          </w:rPr>
                          <w:t>前處理</w:t>
                        </w:r>
                      </w:p>
                    </w:txbxContent>
                  </v:textbox>
                </v:roundrect>
                <v:roundrect id="文字方塊 2" o:spid="_x0000_s1029" style="position:absolute;left:6531;top:14369;width:16669;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" filled="f" strokecolor="black [3213]" strokeweight="1pt">
                  <v:stroke joinstyle="miter"/>
                  <v:textbox>
                    <w:txbxContent>
                      <w:p w14:paraId="3C4EE245" w14:textId="07E07B12"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預測模型建構</w:t>
                        </w:r>
                      </w:p>
                    </w:txbxContent>
                  </v:textbox>
                </v:roundrect>
                <v:roundrect id="文字方塊 2" o:spid="_x0000_s1030" style="position:absolute;left:28975;top:14369;width:13431;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" filled="f" strokecolor="black [3213]" strokeweight="1pt">
                  <v:stroke joinstyle="miter"/>
                  <v:textbox>
                    <w:txbxContent>
                      <w:p w14:paraId="00075465" w14:textId="65644642"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效能評估</w:t>
                        </w:r>
                      </w:p>
                    </w:txbxContent>
                  </v:textbox>
                </v:roundrect>
                <v:roundrect id="文字方塊 2" o:spid="_x0000_s1031" style="position:absolute;left:38357;width:13430;height:60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" filled="f" strokecolor="black [3213]" strokeweight="1pt">
                  <v:stroke joinstyle="miter"/>
                  <v:textbox>
                    <w:txbxContent>
                      <w:p w14:paraId="5607150C" w14:textId="26852402" w:rsidR="002C6512" w:rsidRPr="002C6512" w:rsidRDefault="002C6512" w:rsidP="002C6512">
                        <w:pPr>
                          <w:jc w:val="center"/>
                          <w:rPr>
                            <w:rFonts w:ascii="標楷體" w:eastAsia="標楷體" w:hAnsi="標楷體"/>
                            <w:sz w:val="32"/>
                            <w:szCs w:val="32"/>
                          </w:rPr>
                        </w:pPr>
                        <w:r w:rsidRPr="002C6512">
                          <w:rPr>
                            <w:rFonts w:ascii="標楷體" w:eastAsia="標楷體" w:hAnsi="標楷體" w:hint="eastAsia"/>
                            <w:sz w:val="32"/>
                            <w:szCs w:val="32"/>
                          </w:rPr>
                          <w:t>特徵工程</w:t>
                        </w:r>
                      </w:p>
                    </w:txbxContent>
                  </v:textbox>
                </v:roundrect>
                <v:shapetype id="_x0000_t32" coordsize="21600,21600" o:spt="32" o:oned="t" path="m,l21600,21600e" filled="f">
                  <v:path arrowok="t" fillok="f" o:connecttype="none"/>
                  <o:lock v:ext="edit" shapetype="t"/>
                </v:shapetype>
                <v:shape id="直線單箭頭接點 6" o:spid="_x0000_s1032" type="#_x0000_t32" style="position:absolute;left:13419;top:3184;width:5740;height: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" strokecolor="black [3213]" strokeweight=".5pt">
                  <v:stroke endarrow="block" joinstyle="miter"/>
                </v:shape>
                <v:shape id="直線單箭頭接點 6" o:spid="_x0000_s1033" type="#_x0000_t32" style="position:absolute;left:32657;top:3184;width:5740;height: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" strokecolor="black [3213]" strokeweight=".5pt">
                  <v:stroke endarrow="block" joinstyle="miter"/>
                </v:shape>
                <v:shape id="直線單箭頭接點 6" o:spid="_x0000_s1034" type="#_x0000_t32" style="position:absolute;left:14750;top:6175;width:30947;height:82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" strokecolor="black [3213]" strokeweight=".5pt">
                  <v:stroke endarrow="block" joinstyle="miter"/>
                </v:shape>
                <v:shape id="直線單箭頭接點 6" o:spid="_x0000_s1035" type="#_x0000_t32" style="position:absolute;left:23275;top:17434;width:5740;height: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" strokecolor="black [3213]" strokeweight=".5pt">
                  <v:stroke endarrow="block" joinstyle="miter"/>
                </v:shape>
              </v:group>
            </w:pict>
          </mc:Fallback>
        </mc:AlternateContent>
      </w:r>
    </w:p>
    <w:p w14:paraId="04A9BF1F" w14:textId="401C14B8" w:rsidR="002C6512" w:rsidRDefault="002C6512" w:rsidP="008613E4">
      <w:pPr>
        <w:outlineLvl w:val="0"/>
        <w:rPr>
          <w:rFonts w:ascii="Times New Roman" w:eastAsia="標楷體" w:hAnsi="Times New Roman" w:cs="Times New Roman"/>
          <w:sz w:val="28"/>
          <w:szCs w:val="28"/>
        </w:rPr>
      </w:pPr>
    </w:p>
    <w:p w14:paraId="0012305D" w14:textId="44299FA8" w:rsidR="002C6512" w:rsidRDefault="002C6512" w:rsidP="008613E4">
      <w:pPr>
        <w:outlineLvl w:val="0"/>
        <w:rPr>
          <w:rFonts w:ascii="Times New Roman" w:eastAsia="標楷體" w:hAnsi="Times New Roman" w:cs="Times New Roman"/>
          <w:sz w:val="28"/>
          <w:szCs w:val="28"/>
        </w:rPr>
      </w:pPr>
    </w:p>
    <w:p w14:paraId="30EAA2D4" w14:textId="175C4C1B" w:rsidR="002C6512" w:rsidRDefault="002C6512" w:rsidP="008613E4">
      <w:pPr>
        <w:outlineLvl w:val="0"/>
        <w:rPr>
          <w:rFonts w:ascii="Times New Roman" w:eastAsia="標楷體" w:hAnsi="Times New Roman" w:cs="Times New Roman"/>
          <w:sz w:val="28"/>
          <w:szCs w:val="28"/>
        </w:rPr>
      </w:pPr>
    </w:p>
    <w:p w14:paraId="18570A7E" w14:textId="4815063A" w:rsidR="002C6512" w:rsidRDefault="002C6512" w:rsidP="008613E4">
      <w:pPr>
        <w:outlineLvl w:val="0"/>
        <w:rPr>
          <w:rFonts w:ascii="Times New Roman" w:eastAsia="標楷體" w:hAnsi="Times New Roman" w:cs="Times New Roman"/>
          <w:sz w:val="28"/>
          <w:szCs w:val="28"/>
        </w:rPr>
      </w:pPr>
    </w:p>
    <w:p w14:paraId="18504C04" w14:textId="7B3E3031" w:rsidR="002C6512" w:rsidRDefault="002C6512" w:rsidP="008613E4">
      <w:pPr>
        <w:outlineLvl w:val="0"/>
        <w:rPr>
          <w:rFonts w:ascii="Times New Roman" w:eastAsia="標楷體" w:hAnsi="Times New Roman" w:cs="Times New Roman" w:hint="eastAsia"/>
          <w:sz w:val="28"/>
          <w:szCs w:val="28"/>
        </w:rPr>
      </w:pPr>
    </w:p>
    <w:p w14:paraId="05089DA6" w14:textId="50FA2EA7" w:rsidR="002C6512" w:rsidRDefault="002C6512" w:rsidP="008613E4">
      <w:pP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資料獲取</w:t>
      </w:r>
    </w:p>
    <w:p w14:paraId="3504C2AE" w14:textId="49014737" w:rsidR="002C6512" w:rsidRDefault="00B171A1" w:rsidP="008613E4">
      <w:pP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資料來自司法院資料開放平台，使用</w:t>
      </w:r>
      <w:r>
        <w:rPr>
          <w:rFonts w:ascii="Times New Roman" w:eastAsia="標楷體" w:hAnsi="Times New Roman" w:cs="Times New Roman" w:hint="eastAsia"/>
          <w:sz w:val="28"/>
          <w:szCs w:val="28"/>
        </w:rPr>
        <w:t>python</w:t>
      </w:r>
      <w:r>
        <w:rPr>
          <w:rFonts w:ascii="Times New Roman" w:eastAsia="標楷體" w:hAnsi="Times New Roman" w:cs="Times New Roman" w:hint="eastAsia"/>
          <w:sz w:val="28"/>
          <w:szCs w:val="28"/>
        </w:rPr>
        <w:t>執行自動化操作，下載</w:t>
      </w:r>
      <w:r>
        <w:rPr>
          <w:rFonts w:ascii="Times New Roman" w:eastAsia="標楷體" w:hAnsi="Times New Roman" w:cs="Times New Roman" w:hint="eastAsia"/>
          <w:sz w:val="28"/>
          <w:szCs w:val="28"/>
        </w:rPr>
        <w:t>1996</w:t>
      </w:r>
      <w:r>
        <w:rPr>
          <w:rFonts w:ascii="Times New Roman" w:eastAsia="標楷體" w:hAnsi="Times New Roman" w:cs="Times New Roman" w:hint="eastAsia"/>
          <w:sz w:val="28"/>
          <w:szCs w:val="28"/>
        </w:rPr>
        <w:t>年</w:t>
      </w:r>
      <w:r>
        <w:rPr>
          <w:rFonts w:ascii="Times New Roman" w:eastAsia="標楷體" w:hAnsi="Times New Roman" w:cs="Times New Roman" w:hint="eastAsia"/>
          <w:sz w:val="28"/>
          <w:szCs w:val="28"/>
        </w:rPr>
        <w:t>1</w:t>
      </w:r>
      <w:r>
        <w:rPr>
          <w:rFonts w:ascii="Times New Roman" w:eastAsia="標楷體" w:hAnsi="Times New Roman" w:cs="Times New Roman" w:hint="eastAsia"/>
          <w:sz w:val="28"/>
          <w:szCs w:val="28"/>
        </w:rPr>
        <w:t>月至</w:t>
      </w:r>
      <w:r>
        <w:rPr>
          <w:rFonts w:ascii="Times New Roman" w:eastAsia="標楷體" w:hAnsi="Times New Roman" w:cs="Times New Roman" w:hint="eastAsia"/>
          <w:sz w:val="28"/>
          <w:szCs w:val="28"/>
        </w:rPr>
        <w:t>2024</w:t>
      </w:r>
      <w:r>
        <w:rPr>
          <w:rFonts w:ascii="Times New Roman" w:eastAsia="標楷體" w:hAnsi="Times New Roman" w:cs="Times New Roman" w:hint="eastAsia"/>
          <w:sz w:val="28"/>
          <w:szCs w:val="28"/>
        </w:rPr>
        <w:t>年</w:t>
      </w:r>
      <w:r>
        <w:rPr>
          <w:rFonts w:ascii="Times New Roman" w:eastAsia="標楷體" w:hAnsi="Times New Roman" w:cs="Times New Roman" w:hint="eastAsia"/>
          <w:sz w:val="28"/>
          <w:szCs w:val="28"/>
        </w:rPr>
        <w:t>12</w:t>
      </w:r>
      <w:r>
        <w:rPr>
          <w:rFonts w:ascii="Times New Roman" w:eastAsia="標楷體" w:hAnsi="Times New Roman" w:cs="Times New Roman" w:hint="eastAsia"/>
          <w:sz w:val="28"/>
          <w:szCs w:val="28"/>
        </w:rPr>
        <w:t>月之裁判書壓縮檔</w:t>
      </w:r>
      <w:r w:rsidR="004365B1">
        <w:rPr>
          <w:rFonts w:ascii="Times New Roman" w:eastAsia="標楷體" w:hAnsi="Times New Roman" w:cs="Times New Roman" w:hint="eastAsia"/>
          <w:sz w:val="28"/>
          <w:szCs w:val="28"/>
        </w:rPr>
        <w:t>，並呼叫</w:t>
      </w:r>
      <w:r w:rsidR="004365B1">
        <w:rPr>
          <w:rFonts w:ascii="Times New Roman" w:eastAsia="標楷體" w:hAnsi="Times New Roman" w:cs="Times New Roman" w:hint="eastAsia"/>
          <w:sz w:val="28"/>
          <w:szCs w:val="28"/>
        </w:rPr>
        <w:t>7-zip</w:t>
      </w:r>
      <w:r w:rsidR="004365B1">
        <w:rPr>
          <w:rFonts w:ascii="Times New Roman" w:eastAsia="標楷體" w:hAnsi="Times New Roman" w:cs="Times New Roman" w:hint="eastAsia"/>
          <w:sz w:val="28"/>
          <w:szCs w:val="28"/>
        </w:rPr>
        <w:t>執行解壓縮，獲得裁判書之</w:t>
      </w:r>
      <w:proofErr w:type="spellStart"/>
      <w:r w:rsidR="004365B1">
        <w:rPr>
          <w:rFonts w:ascii="Times New Roman" w:eastAsia="標楷體" w:hAnsi="Times New Roman" w:cs="Times New Roman" w:hint="eastAsia"/>
          <w:sz w:val="28"/>
          <w:szCs w:val="28"/>
        </w:rPr>
        <w:t>json</w:t>
      </w:r>
      <w:proofErr w:type="spellEnd"/>
      <w:r w:rsidR="004365B1">
        <w:rPr>
          <w:rFonts w:ascii="Times New Roman" w:eastAsia="標楷體" w:hAnsi="Times New Roman" w:cs="Times New Roman" w:hint="eastAsia"/>
          <w:sz w:val="28"/>
          <w:szCs w:val="28"/>
        </w:rPr>
        <w:t>檔</w:t>
      </w:r>
    </w:p>
    <w:p w14:paraId="17CF1AB2" w14:textId="77777777" w:rsidR="00B9506F" w:rsidRPr="00B9506F" w:rsidRDefault="00B9506F" w:rsidP="00B9506F">
      <w:pPr>
        <w:numPr>
          <w:ilvl w:val="0"/>
          <w:numId w:val="2"/>
        </w:numPr>
        <w:outlineLvl w:val="0"/>
        <w:rPr>
          <w:rFonts w:ascii="Times New Roman" w:eastAsia="標楷體" w:hAnsi="Times New Roman" w:cs="Times New Roman"/>
          <w:sz w:val="28"/>
          <w:szCs w:val="28"/>
        </w:rPr>
      </w:pPr>
      <w:r w:rsidRPr="00B9506F">
        <w:rPr>
          <w:rFonts w:ascii="Times New Roman" w:eastAsia="標楷體" w:hAnsi="Times New Roman" w:cs="Times New Roman"/>
          <w:b/>
          <w:bCs/>
          <w:sz w:val="28"/>
          <w:szCs w:val="28"/>
        </w:rPr>
        <w:t>篩選關鍵字</w:t>
      </w:r>
      <w:r w:rsidRPr="00B9506F">
        <w:rPr>
          <w:rFonts w:ascii="Times New Roman" w:eastAsia="標楷體" w:hAnsi="Times New Roman" w:cs="Times New Roman"/>
          <w:sz w:val="28"/>
          <w:szCs w:val="28"/>
        </w:rPr>
        <w:t>：包含「智慧財產」、「專利」、「商標」、「著作權」及「營業秘密」。</w:t>
      </w:r>
    </w:p>
    <w:p w14:paraId="612EF72D" w14:textId="7B845F5B" w:rsidR="00B9506F" w:rsidRPr="00B9506F" w:rsidRDefault="00B9506F" w:rsidP="008613E4">
      <w:pPr>
        <w:numPr>
          <w:ilvl w:val="0"/>
          <w:numId w:val="2"/>
        </w:numPr>
        <w:outlineLvl w:val="0"/>
        <w:rPr>
          <w:rFonts w:ascii="Times New Roman" w:eastAsia="標楷體" w:hAnsi="Times New Roman" w:cs="Times New Roman" w:hint="eastAsia"/>
          <w:sz w:val="28"/>
          <w:szCs w:val="28"/>
        </w:rPr>
      </w:pPr>
      <w:r w:rsidRPr="00B9506F">
        <w:rPr>
          <w:rFonts w:ascii="Times New Roman" w:eastAsia="標楷體" w:hAnsi="Times New Roman" w:cs="Times New Roman"/>
          <w:b/>
          <w:bCs/>
          <w:sz w:val="28"/>
          <w:szCs w:val="28"/>
        </w:rPr>
        <w:t>資料清理</w:t>
      </w:r>
      <w:r w:rsidRPr="00B9506F">
        <w:rPr>
          <w:rFonts w:ascii="Times New Roman" w:eastAsia="標楷體" w:hAnsi="Times New Roman" w:cs="Times New Roman"/>
          <w:sz w:val="28"/>
          <w:szCs w:val="28"/>
        </w:rPr>
        <w:t>：針對符合篩選條件之判決書，提取其案號（</w:t>
      </w:r>
      <w:r w:rsidRPr="00B9506F">
        <w:rPr>
          <w:rFonts w:ascii="Times New Roman" w:eastAsia="標楷體" w:hAnsi="Times New Roman" w:cs="Times New Roman"/>
          <w:sz w:val="28"/>
          <w:szCs w:val="28"/>
        </w:rPr>
        <w:t>JCASE</w:t>
      </w:r>
      <w:r w:rsidRPr="00B9506F">
        <w:rPr>
          <w:rFonts w:ascii="Times New Roman" w:eastAsia="標楷體" w:hAnsi="Times New Roman" w:cs="Times New Roman"/>
          <w:sz w:val="28"/>
          <w:szCs w:val="28"/>
        </w:rPr>
        <w:t>）、主文（</w:t>
      </w:r>
      <w:r w:rsidRPr="00B9506F">
        <w:rPr>
          <w:rFonts w:ascii="Times New Roman" w:eastAsia="標楷體" w:hAnsi="Times New Roman" w:cs="Times New Roman"/>
          <w:sz w:val="28"/>
          <w:szCs w:val="28"/>
        </w:rPr>
        <w:t>JTITLE</w:t>
      </w:r>
      <w:r w:rsidRPr="00B9506F">
        <w:rPr>
          <w:rFonts w:ascii="Times New Roman" w:eastAsia="標楷體" w:hAnsi="Times New Roman" w:cs="Times New Roman"/>
          <w:sz w:val="28"/>
          <w:szCs w:val="28"/>
        </w:rPr>
        <w:t>）及全文（</w:t>
      </w:r>
      <w:r w:rsidRPr="00B9506F">
        <w:rPr>
          <w:rFonts w:ascii="Times New Roman" w:eastAsia="標楷體" w:hAnsi="Times New Roman" w:cs="Times New Roman"/>
          <w:sz w:val="28"/>
          <w:szCs w:val="28"/>
        </w:rPr>
        <w:t>JFULL</w:t>
      </w:r>
      <w:r w:rsidRPr="00B9506F">
        <w:rPr>
          <w:rFonts w:ascii="Times New Roman" w:eastAsia="標楷體" w:hAnsi="Times New Roman" w:cs="Times New Roman"/>
          <w:sz w:val="28"/>
          <w:szCs w:val="28"/>
        </w:rPr>
        <w:t>），並移除文本中的換行符號（</w:t>
      </w:r>
      <w:r w:rsidRPr="00B9506F">
        <w:rPr>
          <w:rFonts w:ascii="Times New Roman" w:eastAsia="標楷體" w:hAnsi="Times New Roman" w:cs="Times New Roman"/>
          <w:sz w:val="28"/>
          <w:szCs w:val="28"/>
        </w:rPr>
        <w:t>\r\n</w:t>
      </w:r>
      <w:r w:rsidRPr="00B9506F">
        <w:rPr>
          <w:rFonts w:ascii="Times New Roman" w:eastAsia="標楷體" w:hAnsi="Times New Roman" w:cs="Times New Roman"/>
          <w:sz w:val="28"/>
          <w:szCs w:val="28"/>
        </w:rPr>
        <w:t>）與多餘空白，以利後續自然語言處理程式讀取。</w:t>
      </w:r>
    </w:p>
    <w:p w14:paraId="4E24758C" w14:textId="72B5F416" w:rsidR="004365B1" w:rsidRDefault="004365B1" w:rsidP="008613E4">
      <w:pP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資料前處理</w:t>
      </w:r>
    </w:p>
    <w:p w14:paraId="3B811D20" w14:textId="03DF5109" w:rsidR="00523799" w:rsidRDefault="00523799" w:rsidP="008613E4">
      <w:pPr>
        <w:outlineLvl w:val="0"/>
        <w:rPr>
          <w:rFonts w:ascii="Times New Roman" w:eastAsia="標楷體" w:hAnsi="Times New Roman" w:cs="Times New Roman" w:hint="eastAsia"/>
          <w:sz w:val="28"/>
          <w:szCs w:val="28"/>
        </w:rPr>
      </w:pPr>
      <w:r w:rsidRPr="00523799">
        <w:rPr>
          <w:rFonts w:ascii="Times New Roman" w:eastAsia="標楷體" w:hAnsi="Times New Roman" w:cs="Times New Roman"/>
          <w:sz w:val="28"/>
          <w:szCs w:val="28"/>
        </w:rPr>
        <w:lastRenderedPageBreak/>
        <w:t>由於法律判決書屬於長文本且包含許多法律專有名詞，本研究採用以下步驟進行前處理：</w:t>
      </w:r>
    </w:p>
    <w:p w14:paraId="1EFB0479" w14:textId="3AD8E080" w:rsidR="00B9506F" w:rsidRPr="00B9506F" w:rsidRDefault="00B9506F" w:rsidP="00B9506F">
      <w:pPr>
        <w:numPr>
          <w:ilvl w:val="0"/>
          <w:numId w:val="3"/>
        </w:numPr>
        <w:outlineLvl w:val="0"/>
        <w:rPr>
          <w:rFonts w:ascii="Times New Roman" w:eastAsia="標楷體" w:hAnsi="Times New Roman" w:cs="Times New Roman"/>
          <w:sz w:val="28"/>
          <w:szCs w:val="28"/>
        </w:rPr>
      </w:pPr>
      <w:r w:rsidRPr="00B9506F">
        <w:rPr>
          <w:rFonts w:ascii="Times New Roman" w:eastAsia="標楷體" w:hAnsi="Times New Roman" w:cs="Times New Roman"/>
          <w:b/>
          <w:bCs/>
          <w:sz w:val="28"/>
          <w:szCs w:val="28"/>
        </w:rPr>
        <w:t>中文斷詞</w:t>
      </w:r>
      <w:r w:rsidRPr="00B9506F">
        <w:rPr>
          <w:rFonts w:ascii="Times New Roman" w:eastAsia="標楷體" w:hAnsi="Times New Roman" w:cs="Times New Roman"/>
          <w:sz w:val="28"/>
          <w:szCs w:val="28"/>
        </w:rPr>
        <w:t>：採用中央研究院開發的</w:t>
      </w:r>
      <w:r w:rsidRPr="00B9506F">
        <w:rPr>
          <w:rFonts w:ascii="Times New Roman" w:eastAsia="標楷體" w:hAnsi="Times New Roman" w:cs="Times New Roman"/>
          <w:sz w:val="28"/>
          <w:szCs w:val="28"/>
        </w:rPr>
        <w:t> </w:t>
      </w:r>
      <w:r w:rsidRPr="00B9506F">
        <w:rPr>
          <w:rFonts w:ascii="Times New Roman" w:eastAsia="標楷體" w:hAnsi="Times New Roman" w:cs="Times New Roman"/>
          <w:b/>
          <w:bCs/>
          <w:sz w:val="28"/>
          <w:szCs w:val="28"/>
        </w:rPr>
        <w:t>CKIP Transformers</w:t>
      </w:r>
      <w:r w:rsidRPr="00B9506F">
        <w:rPr>
          <w:rFonts w:ascii="Times New Roman" w:eastAsia="標楷體" w:hAnsi="Times New Roman" w:cs="Times New Roman"/>
          <w:sz w:val="28"/>
          <w:szCs w:val="28"/>
        </w:rPr>
        <w:t> </w:t>
      </w:r>
      <w:r w:rsidRPr="00B9506F">
        <w:rPr>
          <w:rFonts w:ascii="Times New Roman" w:eastAsia="標楷體" w:hAnsi="Times New Roman" w:cs="Times New Roman"/>
          <w:sz w:val="28"/>
          <w:szCs w:val="28"/>
        </w:rPr>
        <w:t>進行斷詞，該模型基於</w:t>
      </w:r>
      <w:r w:rsidRPr="00B9506F">
        <w:rPr>
          <w:rFonts w:ascii="Times New Roman" w:eastAsia="標楷體" w:hAnsi="Times New Roman" w:cs="Times New Roman"/>
          <w:sz w:val="28"/>
          <w:szCs w:val="28"/>
        </w:rPr>
        <w:t xml:space="preserve"> Transformer </w:t>
      </w:r>
      <w:r w:rsidRPr="00B9506F">
        <w:rPr>
          <w:rFonts w:ascii="Times New Roman" w:eastAsia="標楷體" w:hAnsi="Times New Roman" w:cs="Times New Roman"/>
          <w:sz w:val="28"/>
          <w:szCs w:val="28"/>
        </w:rPr>
        <w:t>架構，能有效處理繁體中文之語意斷詞，提升法律術語的辨識準確度。</w:t>
      </w:r>
    </w:p>
    <w:p w14:paraId="1EE74D68" w14:textId="1E565968" w:rsidR="00B9506F" w:rsidRPr="00B9506F" w:rsidRDefault="00B9506F" w:rsidP="00B9506F">
      <w:pPr>
        <w:numPr>
          <w:ilvl w:val="0"/>
          <w:numId w:val="3"/>
        </w:numPr>
        <w:outlineLvl w:val="0"/>
        <w:rPr>
          <w:rFonts w:ascii="Times New Roman" w:eastAsia="標楷體" w:hAnsi="Times New Roman" w:cs="Times New Roman"/>
          <w:sz w:val="28"/>
          <w:szCs w:val="28"/>
        </w:rPr>
      </w:pPr>
      <w:r w:rsidRPr="00B9506F">
        <w:rPr>
          <w:rFonts w:ascii="Times New Roman" w:eastAsia="標楷體" w:hAnsi="Times New Roman" w:cs="Times New Roman"/>
          <w:b/>
          <w:bCs/>
          <w:sz w:val="28"/>
          <w:szCs w:val="28"/>
        </w:rPr>
        <w:t>停用詞過濾</w:t>
      </w:r>
      <w:r w:rsidRPr="00B9506F">
        <w:rPr>
          <w:rFonts w:ascii="Times New Roman" w:eastAsia="標楷體" w:hAnsi="Times New Roman" w:cs="Times New Roman"/>
          <w:sz w:val="28"/>
          <w:szCs w:val="28"/>
        </w:rPr>
        <w:t>：載入繁體中文停用詞表以及自定義的刪除詞彙表，過濾掉對分類無顯著幫助的虛詞、連接詞與常見冗詞。</w:t>
      </w:r>
    </w:p>
    <w:p w14:paraId="2A915225" w14:textId="7E29C2CE" w:rsidR="00B9506F" w:rsidRPr="00B9506F" w:rsidRDefault="00B9506F" w:rsidP="00B9506F">
      <w:pPr>
        <w:numPr>
          <w:ilvl w:val="0"/>
          <w:numId w:val="3"/>
        </w:numPr>
        <w:outlineLvl w:val="0"/>
        <w:rPr>
          <w:rFonts w:ascii="Times New Roman" w:eastAsia="標楷體" w:hAnsi="Times New Roman" w:cs="Times New Roman"/>
          <w:sz w:val="28"/>
          <w:szCs w:val="28"/>
        </w:rPr>
      </w:pPr>
      <w:r w:rsidRPr="00B9506F">
        <w:rPr>
          <w:rFonts w:ascii="Times New Roman" w:eastAsia="標楷體" w:hAnsi="Times New Roman" w:cs="Times New Roman"/>
          <w:b/>
          <w:bCs/>
          <w:sz w:val="28"/>
          <w:szCs w:val="28"/>
        </w:rPr>
        <w:t>標籤整合</w:t>
      </w:r>
      <w:r w:rsidRPr="00B9506F">
        <w:rPr>
          <w:rFonts w:ascii="Times New Roman" w:eastAsia="標楷體" w:hAnsi="Times New Roman" w:cs="Times New Roman"/>
          <w:sz w:val="28"/>
          <w:szCs w:val="28"/>
        </w:rPr>
        <w:t>：整合判決書之勝敗訴結果（勝訴、敗訴、部分勝訴</w:t>
      </w:r>
      <w:r w:rsidRPr="00B9506F">
        <w:rPr>
          <w:rFonts w:ascii="Times New Roman" w:eastAsia="標楷體" w:hAnsi="Times New Roman" w:cs="Times New Roman"/>
          <w:sz w:val="28"/>
          <w:szCs w:val="28"/>
        </w:rPr>
        <w:t>/</w:t>
      </w:r>
      <w:r w:rsidRPr="00B9506F">
        <w:rPr>
          <w:rFonts w:ascii="Times New Roman" w:eastAsia="標楷體" w:hAnsi="Times New Roman" w:cs="Times New Roman"/>
          <w:sz w:val="28"/>
          <w:szCs w:val="28"/>
        </w:rPr>
        <w:t>敗訴）作為模型訓練的目標標籤（</w:t>
      </w:r>
      <w:r w:rsidRPr="00B9506F">
        <w:rPr>
          <w:rFonts w:ascii="Times New Roman" w:eastAsia="標楷體" w:hAnsi="Times New Roman" w:cs="Times New Roman"/>
          <w:sz w:val="28"/>
          <w:szCs w:val="28"/>
        </w:rPr>
        <w:t>Metadata</w:t>
      </w:r>
      <w:r w:rsidRPr="00B9506F">
        <w:rPr>
          <w:rFonts w:ascii="Times New Roman" w:eastAsia="標楷體" w:hAnsi="Times New Roman" w:cs="Times New Roman"/>
          <w:sz w:val="28"/>
          <w:szCs w:val="28"/>
        </w:rPr>
        <w:t>）。</w:t>
      </w:r>
    </w:p>
    <w:p w14:paraId="7EE5000D" w14:textId="0337BBC5" w:rsidR="00B9506F" w:rsidRDefault="00B9506F" w:rsidP="008613E4">
      <w:pP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特徵工程</w:t>
      </w:r>
    </w:p>
    <w:p w14:paraId="751B2C42" w14:textId="6DC0F73D" w:rsidR="00523799" w:rsidRDefault="00523799" w:rsidP="008613E4">
      <w:pPr>
        <w:outlineLvl w:val="0"/>
        <w:rPr>
          <w:rFonts w:ascii="Times New Roman" w:eastAsia="標楷體" w:hAnsi="Times New Roman" w:cs="Times New Roman" w:hint="eastAsia"/>
          <w:sz w:val="28"/>
          <w:szCs w:val="28"/>
        </w:rPr>
      </w:pPr>
      <w:r w:rsidRPr="00523799">
        <w:rPr>
          <w:rFonts w:ascii="Times New Roman" w:eastAsia="標楷體" w:hAnsi="Times New Roman" w:cs="Times New Roman"/>
          <w:sz w:val="28"/>
          <w:szCs w:val="28"/>
        </w:rPr>
        <w:t>本研究將非結構化的文本數據轉換為機器可讀的數值特徵向量：</w:t>
      </w:r>
    </w:p>
    <w:p w14:paraId="14FC9664" w14:textId="77777777" w:rsidR="00523799" w:rsidRDefault="00523799" w:rsidP="00523799">
      <w:pPr>
        <w:numPr>
          <w:ilvl w:val="0"/>
          <w:numId w:val="4"/>
        </w:numPr>
        <w:outlineLvl w:val="0"/>
        <w:rPr>
          <w:rFonts w:ascii="Times New Roman" w:eastAsia="標楷體" w:hAnsi="Times New Roman" w:cs="Times New Roman"/>
          <w:sz w:val="28"/>
          <w:szCs w:val="28"/>
        </w:rPr>
      </w:pPr>
      <w:r w:rsidRPr="00523799">
        <w:rPr>
          <w:rFonts w:ascii="Times New Roman" w:eastAsia="標楷體" w:hAnsi="Times New Roman" w:cs="Times New Roman"/>
          <w:b/>
          <w:bCs/>
          <w:sz w:val="28"/>
          <w:szCs w:val="28"/>
        </w:rPr>
        <w:t>詞袋模型</w:t>
      </w:r>
      <w:r w:rsidRPr="00523799">
        <w:rPr>
          <w:rFonts w:ascii="Times New Roman" w:eastAsia="標楷體" w:hAnsi="Times New Roman" w:cs="Times New Roman"/>
          <w:b/>
          <w:bCs/>
          <w:sz w:val="28"/>
          <w:szCs w:val="28"/>
        </w:rPr>
        <w:t xml:space="preserve"> (Bag-of-Words, </w:t>
      </w:r>
      <w:proofErr w:type="spellStart"/>
      <w:r w:rsidRPr="00523799">
        <w:rPr>
          <w:rFonts w:ascii="Times New Roman" w:eastAsia="標楷體" w:hAnsi="Times New Roman" w:cs="Times New Roman"/>
          <w:b/>
          <w:bCs/>
          <w:sz w:val="28"/>
          <w:szCs w:val="28"/>
        </w:rPr>
        <w:t>BoW</w:t>
      </w:r>
      <w:proofErr w:type="spellEnd"/>
      <w:r w:rsidRPr="00523799">
        <w:rPr>
          <w:rFonts w:ascii="Times New Roman" w:eastAsia="標楷體" w:hAnsi="Times New Roman" w:cs="Times New Roman"/>
          <w:b/>
          <w:bCs/>
          <w:sz w:val="28"/>
          <w:szCs w:val="28"/>
        </w:rPr>
        <w:t>)</w:t>
      </w:r>
      <w:r w:rsidRPr="00523799">
        <w:rPr>
          <w:rFonts w:ascii="Times New Roman" w:eastAsia="標楷體" w:hAnsi="Times New Roman" w:cs="Times New Roman"/>
          <w:sz w:val="28"/>
          <w:szCs w:val="28"/>
        </w:rPr>
        <w:t>：</w:t>
      </w:r>
    </w:p>
    <w:p w14:paraId="14785F43" w14:textId="5C6FD5C9" w:rsidR="00523799" w:rsidRDefault="00523799" w:rsidP="00523799">
      <w:pPr>
        <w:numPr>
          <w:ilvl w:val="1"/>
          <w:numId w:val="4"/>
        </w:num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本研究主要採用詞袋模型建構「文件</w:t>
      </w:r>
      <w:r w:rsidRPr="00523799">
        <w:rPr>
          <w:rFonts w:ascii="Times New Roman" w:eastAsia="標楷體" w:hAnsi="Times New Roman" w:cs="Times New Roman"/>
          <w:sz w:val="28"/>
          <w:szCs w:val="28"/>
        </w:rPr>
        <w:t>-</w:t>
      </w:r>
      <w:r w:rsidRPr="00523799">
        <w:rPr>
          <w:rFonts w:ascii="Times New Roman" w:eastAsia="標楷體" w:hAnsi="Times New Roman" w:cs="Times New Roman"/>
          <w:sz w:val="28"/>
          <w:szCs w:val="28"/>
        </w:rPr>
        <w:t>詞彙矩陣」（</w:t>
      </w:r>
      <w:r w:rsidRPr="00523799">
        <w:rPr>
          <w:rFonts w:ascii="Times New Roman" w:eastAsia="標楷體" w:hAnsi="Times New Roman" w:cs="Times New Roman"/>
          <w:sz w:val="28"/>
          <w:szCs w:val="28"/>
        </w:rPr>
        <w:t>Document-Term Matrix, DTM</w:t>
      </w:r>
      <w:r w:rsidRPr="00523799">
        <w:rPr>
          <w:rFonts w:ascii="Times New Roman" w:eastAsia="標楷體" w:hAnsi="Times New Roman" w:cs="Times New Roman"/>
          <w:sz w:val="28"/>
          <w:szCs w:val="28"/>
        </w:rPr>
        <w:t>）。該技術將每篇判決書視為詞彙的集合，忽略語法與詞序，僅計算每個詞彙在文本中出現的頻率（</w:t>
      </w:r>
      <w:r w:rsidRPr="00523799">
        <w:rPr>
          <w:rFonts w:ascii="Times New Roman" w:eastAsia="標楷體" w:hAnsi="Times New Roman" w:cs="Times New Roman"/>
          <w:sz w:val="28"/>
          <w:szCs w:val="28"/>
        </w:rPr>
        <w:t>Term Frequency</w:t>
      </w:r>
      <w:r w:rsidRPr="00523799">
        <w:rPr>
          <w:rFonts w:ascii="Times New Roman" w:eastAsia="標楷體" w:hAnsi="Times New Roman" w:cs="Times New Roman"/>
          <w:sz w:val="28"/>
          <w:szCs w:val="28"/>
        </w:rPr>
        <w:t>）。由於智財判決書篇幅冗長且詞彙量龐大，本研究透過高維度的稀疏矩陣（</w:t>
      </w:r>
      <w:r w:rsidRPr="00523799">
        <w:rPr>
          <w:rFonts w:ascii="Times New Roman" w:eastAsia="標楷體" w:hAnsi="Times New Roman" w:cs="Times New Roman"/>
          <w:sz w:val="28"/>
          <w:szCs w:val="28"/>
        </w:rPr>
        <w:t>Sparse Matrix</w:t>
      </w:r>
      <w:r w:rsidRPr="00523799">
        <w:rPr>
          <w:rFonts w:ascii="Times New Roman" w:eastAsia="標楷體" w:hAnsi="Times New Roman" w:cs="Times New Roman"/>
          <w:sz w:val="28"/>
          <w:szCs w:val="28"/>
        </w:rPr>
        <w:t>）進行表徵，藉此保留法律術語在不同判決結果中的分佈特徵，作為模型判別勝敗訴之基礎。</w:t>
      </w:r>
    </w:p>
    <w:p w14:paraId="51855976" w14:textId="77777777" w:rsidR="00523799" w:rsidRDefault="00523799" w:rsidP="00523799">
      <w:pPr>
        <w:numPr>
          <w:ilvl w:val="0"/>
          <w:numId w:val="4"/>
        </w:num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 xml:space="preserve">TF-IDF (Term Frequency-Inverse Document Frequency) </w:t>
      </w:r>
      <w:r>
        <w:rPr>
          <w:rFonts w:ascii="Times New Roman" w:eastAsia="標楷體" w:hAnsi="Times New Roman" w:cs="Times New Roman" w:hint="eastAsia"/>
          <w:sz w:val="28"/>
          <w:szCs w:val="28"/>
        </w:rPr>
        <w:t>：</w:t>
      </w:r>
    </w:p>
    <w:p w14:paraId="3191987F" w14:textId="631FAEE4" w:rsidR="00523799" w:rsidRPr="00523799" w:rsidRDefault="00523799" w:rsidP="00523799">
      <w:pPr>
        <w:ind w:left="1440"/>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lastRenderedPageBreak/>
        <w:t>為了進一步優化特徵的辨識度，本研究亦導入</w:t>
      </w:r>
      <w:r w:rsidRPr="00523799">
        <w:rPr>
          <w:rFonts w:ascii="Times New Roman" w:eastAsia="標楷體" w:hAnsi="Times New Roman" w:cs="Times New Roman"/>
          <w:sz w:val="28"/>
          <w:szCs w:val="28"/>
        </w:rPr>
        <w:t xml:space="preserve"> TF-IDF </w:t>
      </w:r>
      <w:r w:rsidRPr="00523799">
        <w:rPr>
          <w:rFonts w:ascii="Times New Roman" w:eastAsia="標楷體" w:hAnsi="Times New Roman" w:cs="Times New Roman"/>
          <w:sz w:val="28"/>
          <w:szCs w:val="28"/>
        </w:rPr>
        <w:t>加權技術進行對照。該指標旨在衡量一個詞彙對於特定判決書的重要性：透過計算詞頻（</w:t>
      </w:r>
      <w:r w:rsidRPr="00523799">
        <w:rPr>
          <w:rFonts w:ascii="Times New Roman" w:eastAsia="標楷體" w:hAnsi="Times New Roman" w:cs="Times New Roman"/>
          <w:sz w:val="28"/>
          <w:szCs w:val="28"/>
        </w:rPr>
        <w:t>TF</w:t>
      </w:r>
      <w:r w:rsidRPr="00523799">
        <w:rPr>
          <w:rFonts w:ascii="Times New Roman" w:eastAsia="標楷體" w:hAnsi="Times New Roman" w:cs="Times New Roman"/>
          <w:sz w:val="28"/>
          <w:szCs w:val="28"/>
        </w:rPr>
        <w:t>）與逆文件頻率（</w:t>
      </w:r>
      <w:r w:rsidRPr="00523799">
        <w:rPr>
          <w:rFonts w:ascii="Times New Roman" w:eastAsia="標楷體" w:hAnsi="Times New Roman" w:cs="Times New Roman"/>
          <w:sz w:val="28"/>
          <w:szCs w:val="28"/>
        </w:rPr>
        <w:t>IDF</w:t>
      </w:r>
      <w:r w:rsidRPr="00523799">
        <w:rPr>
          <w:rFonts w:ascii="Times New Roman" w:eastAsia="標楷體" w:hAnsi="Times New Roman" w:cs="Times New Roman"/>
          <w:sz w:val="28"/>
          <w:szCs w:val="28"/>
        </w:rPr>
        <w:t>），有效降低如「當事人」、「法院」等在所有判決中高頻出現但缺乏鑑別力之詞彙權重，並提升具備特定法律爭點意義之關鍵字權重。本研究藉此技術平衡長文本導致的噪訊，提升模型捕捉核心法律特徵的能力。</w:t>
      </w:r>
    </w:p>
    <w:p w14:paraId="39941B1A" w14:textId="77777777" w:rsidR="00523799" w:rsidRPr="00523799" w:rsidRDefault="00523799" w:rsidP="00523799">
      <w:pPr>
        <w:numPr>
          <w:ilvl w:val="0"/>
          <w:numId w:val="4"/>
        </w:numPr>
        <w:outlineLvl w:val="0"/>
        <w:rPr>
          <w:rFonts w:ascii="Times New Roman" w:eastAsia="標楷體" w:hAnsi="Times New Roman" w:cs="Times New Roman"/>
          <w:sz w:val="28"/>
          <w:szCs w:val="28"/>
        </w:rPr>
      </w:pPr>
      <w:r w:rsidRPr="00523799">
        <w:rPr>
          <w:rFonts w:ascii="Times New Roman" w:eastAsia="標楷體" w:hAnsi="Times New Roman" w:cs="Times New Roman"/>
          <w:b/>
          <w:bCs/>
          <w:sz w:val="28"/>
          <w:szCs w:val="28"/>
        </w:rPr>
        <w:t>資料集劃分</w:t>
      </w:r>
      <w:r w:rsidRPr="00523799">
        <w:rPr>
          <w:rFonts w:ascii="Times New Roman" w:eastAsia="標楷體" w:hAnsi="Times New Roman" w:cs="Times New Roman"/>
          <w:sz w:val="28"/>
          <w:szCs w:val="28"/>
        </w:rPr>
        <w:t>：將資料集依照</w:t>
      </w:r>
      <w:r w:rsidRPr="00523799">
        <w:rPr>
          <w:rFonts w:ascii="Times New Roman" w:eastAsia="標楷體" w:hAnsi="Times New Roman" w:cs="Times New Roman"/>
          <w:sz w:val="28"/>
          <w:szCs w:val="28"/>
        </w:rPr>
        <w:t> </w:t>
      </w:r>
      <w:r w:rsidRPr="00523799">
        <w:rPr>
          <w:rFonts w:ascii="Times New Roman" w:eastAsia="標楷體" w:hAnsi="Times New Roman" w:cs="Times New Roman"/>
          <w:b/>
          <w:bCs/>
          <w:sz w:val="28"/>
          <w:szCs w:val="28"/>
        </w:rPr>
        <w:t>80:10:10</w:t>
      </w:r>
      <w:r w:rsidRPr="00523799">
        <w:rPr>
          <w:rFonts w:ascii="Times New Roman" w:eastAsia="標楷體" w:hAnsi="Times New Roman" w:cs="Times New Roman"/>
          <w:sz w:val="28"/>
          <w:szCs w:val="28"/>
        </w:rPr>
        <w:t> </w:t>
      </w:r>
      <w:r w:rsidRPr="00523799">
        <w:rPr>
          <w:rFonts w:ascii="Times New Roman" w:eastAsia="標楷體" w:hAnsi="Times New Roman" w:cs="Times New Roman"/>
          <w:sz w:val="28"/>
          <w:szCs w:val="28"/>
        </w:rPr>
        <w:t>的比例劃分為訓練集（</w:t>
      </w:r>
      <w:r w:rsidRPr="00523799">
        <w:rPr>
          <w:rFonts w:ascii="Times New Roman" w:eastAsia="標楷體" w:hAnsi="Times New Roman" w:cs="Times New Roman"/>
          <w:sz w:val="28"/>
          <w:szCs w:val="28"/>
        </w:rPr>
        <w:t>Training Set</w:t>
      </w:r>
      <w:r w:rsidRPr="00523799">
        <w:rPr>
          <w:rFonts w:ascii="Times New Roman" w:eastAsia="標楷體" w:hAnsi="Times New Roman" w:cs="Times New Roman"/>
          <w:sz w:val="28"/>
          <w:szCs w:val="28"/>
        </w:rPr>
        <w:t>）、驗證集（</w:t>
      </w:r>
      <w:r w:rsidRPr="00523799">
        <w:rPr>
          <w:rFonts w:ascii="Times New Roman" w:eastAsia="標楷體" w:hAnsi="Times New Roman" w:cs="Times New Roman"/>
          <w:sz w:val="28"/>
          <w:szCs w:val="28"/>
        </w:rPr>
        <w:t>Validation Set</w:t>
      </w:r>
      <w:r w:rsidRPr="00523799">
        <w:rPr>
          <w:rFonts w:ascii="Times New Roman" w:eastAsia="標楷體" w:hAnsi="Times New Roman" w:cs="Times New Roman"/>
          <w:sz w:val="28"/>
          <w:szCs w:val="28"/>
        </w:rPr>
        <w:t>）與測試集（</w:t>
      </w:r>
      <w:r w:rsidRPr="00523799">
        <w:rPr>
          <w:rFonts w:ascii="Times New Roman" w:eastAsia="標楷體" w:hAnsi="Times New Roman" w:cs="Times New Roman"/>
          <w:sz w:val="28"/>
          <w:szCs w:val="28"/>
        </w:rPr>
        <w:t>Test Set</w:t>
      </w:r>
      <w:r w:rsidRPr="00523799">
        <w:rPr>
          <w:rFonts w:ascii="Times New Roman" w:eastAsia="標楷體" w:hAnsi="Times New Roman" w:cs="Times New Roman"/>
          <w:sz w:val="28"/>
          <w:szCs w:val="28"/>
        </w:rPr>
        <w:t>），以確保模型評估的客觀性。</w:t>
      </w:r>
    </w:p>
    <w:p w14:paraId="01E07B8E" w14:textId="77777777" w:rsidR="00523799" w:rsidRPr="00523799" w:rsidRDefault="00523799" w:rsidP="00523799">
      <w:pPr>
        <w:numPr>
          <w:ilvl w:val="1"/>
          <w:numId w:val="4"/>
        </w:num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訓練集：</w:t>
      </w:r>
      <w:r w:rsidRPr="00523799">
        <w:rPr>
          <w:rFonts w:ascii="Times New Roman" w:eastAsia="標楷體" w:hAnsi="Times New Roman" w:cs="Times New Roman"/>
          <w:sz w:val="28"/>
          <w:szCs w:val="28"/>
        </w:rPr>
        <w:t>80%</w:t>
      </w:r>
    </w:p>
    <w:p w14:paraId="1BF0B886" w14:textId="77777777" w:rsidR="00523799" w:rsidRPr="00523799" w:rsidRDefault="00523799" w:rsidP="00523799">
      <w:pPr>
        <w:numPr>
          <w:ilvl w:val="1"/>
          <w:numId w:val="4"/>
        </w:num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驗證集：</w:t>
      </w:r>
      <w:r w:rsidRPr="00523799">
        <w:rPr>
          <w:rFonts w:ascii="Times New Roman" w:eastAsia="標楷體" w:hAnsi="Times New Roman" w:cs="Times New Roman"/>
          <w:sz w:val="28"/>
          <w:szCs w:val="28"/>
        </w:rPr>
        <w:t>10%</w:t>
      </w:r>
    </w:p>
    <w:p w14:paraId="7CE3C086" w14:textId="77777777" w:rsidR="00523799" w:rsidRPr="00523799" w:rsidRDefault="00523799" w:rsidP="00523799">
      <w:pPr>
        <w:numPr>
          <w:ilvl w:val="1"/>
          <w:numId w:val="4"/>
        </w:num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測試集：</w:t>
      </w:r>
      <w:r w:rsidRPr="00523799">
        <w:rPr>
          <w:rFonts w:ascii="Times New Roman" w:eastAsia="標楷體" w:hAnsi="Times New Roman" w:cs="Times New Roman"/>
          <w:sz w:val="28"/>
          <w:szCs w:val="28"/>
        </w:rPr>
        <w:t>10%</w:t>
      </w:r>
    </w:p>
    <w:p w14:paraId="6D530F30" w14:textId="17EDD130" w:rsidR="00B9506F" w:rsidRDefault="00523799" w:rsidP="008613E4">
      <w:pP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預測模型建構</w:t>
      </w:r>
    </w:p>
    <w:p w14:paraId="6E4DCE45"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本研究採用多種監督式學習（</w:t>
      </w:r>
      <w:r w:rsidRPr="00523799">
        <w:rPr>
          <w:rFonts w:ascii="Times New Roman" w:eastAsia="標楷體" w:hAnsi="Times New Roman" w:cs="Times New Roman"/>
          <w:sz w:val="28"/>
          <w:szCs w:val="28"/>
        </w:rPr>
        <w:t>Supervised Learning</w:t>
      </w:r>
      <w:r w:rsidRPr="00523799">
        <w:rPr>
          <w:rFonts w:ascii="Times New Roman" w:eastAsia="標楷體" w:hAnsi="Times New Roman" w:cs="Times New Roman"/>
          <w:sz w:val="28"/>
          <w:szCs w:val="28"/>
        </w:rPr>
        <w:t>）演算法進行比較分析，旨在探討不同邏輯框架在智慧財產權法律文本分類上的效能表現。各模型之建構邏輯與超參數設定說明如下：</w:t>
      </w:r>
    </w:p>
    <w:p w14:paraId="39EF16F1" w14:textId="77777777" w:rsidR="00523799" w:rsidRPr="00523799" w:rsidRDefault="00523799" w:rsidP="00523799">
      <w:pPr>
        <w:outlineLvl w:val="0"/>
        <w:rPr>
          <w:rFonts w:ascii="Times New Roman" w:eastAsia="標楷體" w:hAnsi="Times New Roman" w:cs="Times New Roman"/>
          <w:b/>
          <w:bCs/>
          <w:sz w:val="28"/>
          <w:szCs w:val="28"/>
        </w:rPr>
      </w:pPr>
      <w:r w:rsidRPr="00523799">
        <w:rPr>
          <w:rFonts w:ascii="Times New Roman" w:eastAsia="標楷體" w:hAnsi="Times New Roman" w:cs="Times New Roman"/>
          <w:b/>
          <w:bCs/>
          <w:sz w:val="28"/>
          <w:szCs w:val="28"/>
        </w:rPr>
        <w:t xml:space="preserve">1. </w:t>
      </w:r>
      <w:r w:rsidRPr="00523799">
        <w:rPr>
          <w:rFonts w:ascii="Times New Roman" w:eastAsia="標楷體" w:hAnsi="Times New Roman" w:cs="Times New Roman"/>
          <w:b/>
          <w:bCs/>
          <w:sz w:val="28"/>
          <w:szCs w:val="28"/>
        </w:rPr>
        <w:t>單純貝氏分類器</w:t>
      </w:r>
      <w:r w:rsidRPr="00523799">
        <w:rPr>
          <w:rFonts w:ascii="Times New Roman" w:eastAsia="標楷體" w:hAnsi="Times New Roman" w:cs="Times New Roman"/>
          <w:b/>
          <w:bCs/>
          <w:sz w:val="28"/>
          <w:szCs w:val="28"/>
        </w:rPr>
        <w:t xml:space="preserve"> (Multinomial Naive Bayes)</w:t>
      </w:r>
    </w:p>
    <w:p w14:paraId="244FE85B"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作為文本分類之基準模型（</w:t>
      </w:r>
      <w:r w:rsidRPr="00523799">
        <w:rPr>
          <w:rFonts w:ascii="Times New Roman" w:eastAsia="標楷體" w:hAnsi="Times New Roman" w:cs="Times New Roman"/>
          <w:sz w:val="28"/>
          <w:szCs w:val="28"/>
        </w:rPr>
        <w:t>Baseline</w:t>
      </w:r>
      <w:r w:rsidRPr="00523799">
        <w:rPr>
          <w:rFonts w:ascii="Times New Roman" w:eastAsia="標楷體" w:hAnsi="Times New Roman" w:cs="Times New Roman"/>
          <w:sz w:val="28"/>
          <w:szCs w:val="28"/>
        </w:rPr>
        <w:t>），本研究採用</w:t>
      </w:r>
      <w:r w:rsidRPr="00523799">
        <w:rPr>
          <w:rFonts w:ascii="Times New Roman" w:eastAsia="標楷體" w:hAnsi="Times New Roman" w:cs="Times New Roman"/>
          <w:sz w:val="28"/>
          <w:szCs w:val="28"/>
        </w:rPr>
        <w:t xml:space="preserve"> </w:t>
      </w:r>
      <w:proofErr w:type="spellStart"/>
      <w:r w:rsidRPr="00523799">
        <w:rPr>
          <w:rFonts w:ascii="Times New Roman" w:eastAsia="標楷體" w:hAnsi="Times New Roman" w:cs="Times New Roman"/>
          <w:sz w:val="28"/>
          <w:szCs w:val="28"/>
        </w:rPr>
        <w:t>MultinomialNB</w:t>
      </w:r>
      <w:proofErr w:type="spellEnd"/>
      <w:r w:rsidRPr="00523799">
        <w:rPr>
          <w:rFonts w:ascii="Times New Roman" w:eastAsia="標楷體" w:hAnsi="Times New Roman" w:cs="Times New Roman"/>
          <w:sz w:val="28"/>
          <w:szCs w:val="28"/>
        </w:rPr>
        <w:t>。該演算法基於貝氏定理，假設特徵間相互獨立，特別適用於處理基於詞袋模型（</w:t>
      </w:r>
      <w:proofErr w:type="spellStart"/>
      <w:r w:rsidRPr="00523799">
        <w:rPr>
          <w:rFonts w:ascii="Times New Roman" w:eastAsia="標楷體" w:hAnsi="Times New Roman" w:cs="Times New Roman"/>
          <w:sz w:val="28"/>
          <w:szCs w:val="28"/>
        </w:rPr>
        <w:t>BoW</w:t>
      </w:r>
      <w:proofErr w:type="spellEnd"/>
      <w:r w:rsidRPr="00523799">
        <w:rPr>
          <w:rFonts w:ascii="Times New Roman" w:eastAsia="標楷體" w:hAnsi="Times New Roman" w:cs="Times New Roman"/>
          <w:sz w:val="28"/>
          <w:szCs w:val="28"/>
        </w:rPr>
        <w:t>）之離散計數特徵。其運算效率高且在特徵維度極高時仍具備一定的穩定性。</w:t>
      </w:r>
    </w:p>
    <w:p w14:paraId="2891A581" w14:textId="77777777" w:rsidR="00523799" w:rsidRPr="00523799" w:rsidRDefault="00523799" w:rsidP="00523799">
      <w:pPr>
        <w:outlineLvl w:val="0"/>
        <w:rPr>
          <w:rFonts w:ascii="Times New Roman" w:eastAsia="標楷體" w:hAnsi="Times New Roman" w:cs="Times New Roman"/>
          <w:b/>
          <w:bCs/>
          <w:sz w:val="28"/>
          <w:szCs w:val="28"/>
        </w:rPr>
      </w:pPr>
      <w:r w:rsidRPr="00523799">
        <w:rPr>
          <w:rFonts w:ascii="Times New Roman" w:eastAsia="標楷體" w:hAnsi="Times New Roman" w:cs="Times New Roman"/>
          <w:b/>
          <w:bCs/>
          <w:sz w:val="28"/>
          <w:szCs w:val="28"/>
        </w:rPr>
        <w:lastRenderedPageBreak/>
        <w:t xml:space="preserve">2. </w:t>
      </w:r>
      <w:r w:rsidRPr="00523799">
        <w:rPr>
          <w:rFonts w:ascii="Times New Roman" w:eastAsia="標楷體" w:hAnsi="Times New Roman" w:cs="Times New Roman"/>
          <w:b/>
          <w:bCs/>
          <w:sz w:val="28"/>
          <w:szCs w:val="28"/>
        </w:rPr>
        <w:t>決策樹</w:t>
      </w:r>
      <w:r w:rsidRPr="00523799">
        <w:rPr>
          <w:rFonts w:ascii="Times New Roman" w:eastAsia="標楷體" w:hAnsi="Times New Roman" w:cs="Times New Roman"/>
          <w:b/>
          <w:bCs/>
          <w:sz w:val="28"/>
          <w:szCs w:val="28"/>
        </w:rPr>
        <w:t xml:space="preserve"> (Decision Tree)</w:t>
      </w:r>
    </w:p>
    <w:p w14:paraId="76871369"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本研究利用決策樹探索法律特徵之層次化判斷邏輯。為維持模型之可解釋性並避免結構過於複雜，設定最大深度（</w:t>
      </w:r>
      <w:proofErr w:type="spellStart"/>
      <w:r w:rsidRPr="00523799">
        <w:rPr>
          <w:rFonts w:ascii="Times New Roman" w:eastAsia="標楷體" w:hAnsi="Times New Roman" w:cs="Times New Roman"/>
          <w:sz w:val="28"/>
          <w:szCs w:val="28"/>
        </w:rPr>
        <w:t>max_depth</w:t>
      </w:r>
      <w:proofErr w:type="spellEnd"/>
      <w:r w:rsidRPr="00523799">
        <w:rPr>
          <w:rFonts w:ascii="Times New Roman" w:eastAsia="標楷體" w:hAnsi="Times New Roman" w:cs="Times New Roman"/>
          <w:sz w:val="28"/>
          <w:szCs w:val="28"/>
        </w:rPr>
        <w:t>）為</w:t>
      </w:r>
      <w:r w:rsidRPr="00523799">
        <w:rPr>
          <w:rFonts w:ascii="Times New Roman" w:eastAsia="標楷體" w:hAnsi="Times New Roman" w:cs="Times New Roman"/>
          <w:sz w:val="28"/>
          <w:szCs w:val="28"/>
        </w:rPr>
        <w:t xml:space="preserve"> 10</w:t>
      </w:r>
      <w:r w:rsidRPr="00523799">
        <w:rPr>
          <w:rFonts w:ascii="Times New Roman" w:eastAsia="標楷體" w:hAnsi="Times New Roman" w:cs="Times New Roman"/>
          <w:sz w:val="28"/>
          <w:szCs w:val="28"/>
        </w:rPr>
        <w:t>，並採用資訊熵（</w:t>
      </w:r>
      <w:r w:rsidRPr="00523799">
        <w:rPr>
          <w:rFonts w:ascii="Times New Roman" w:eastAsia="標楷體" w:hAnsi="Times New Roman" w:cs="Times New Roman"/>
          <w:sz w:val="28"/>
          <w:szCs w:val="28"/>
        </w:rPr>
        <w:t>Entropy</w:t>
      </w:r>
      <w:r w:rsidRPr="00523799">
        <w:rPr>
          <w:rFonts w:ascii="Times New Roman" w:eastAsia="標楷體" w:hAnsi="Times New Roman" w:cs="Times New Roman"/>
          <w:sz w:val="28"/>
          <w:szCs w:val="28"/>
        </w:rPr>
        <w:t>）作為分裂準則。此模型能直觀呈現影響判決結果之關鍵詞彙優先順序。</w:t>
      </w:r>
    </w:p>
    <w:p w14:paraId="3700A346" w14:textId="77777777" w:rsidR="00523799" w:rsidRPr="00523799" w:rsidRDefault="00523799" w:rsidP="00523799">
      <w:pPr>
        <w:outlineLvl w:val="0"/>
        <w:rPr>
          <w:rFonts w:ascii="Times New Roman" w:eastAsia="標楷體" w:hAnsi="Times New Roman" w:cs="Times New Roman"/>
          <w:b/>
          <w:bCs/>
          <w:sz w:val="28"/>
          <w:szCs w:val="28"/>
        </w:rPr>
      </w:pPr>
      <w:r w:rsidRPr="00523799">
        <w:rPr>
          <w:rFonts w:ascii="Times New Roman" w:eastAsia="標楷體" w:hAnsi="Times New Roman" w:cs="Times New Roman"/>
          <w:b/>
          <w:bCs/>
          <w:sz w:val="28"/>
          <w:szCs w:val="28"/>
        </w:rPr>
        <w:t xml:space="preserve">3. </w:t>
      </w:r>
      <w:r w:rsidRPr="00523799">
        <w:rPr>
          <w:rFonts w:ascii="Times New Roman" w:eastAsia="標楷體" w:hAnsi="Times New Roman" w:cs="Times New Roman"/>
          <w:b/>
          <w:bCs/>
          <w:sz w:val="28"/>
          <w:szCs w:val="28"/>
        </w:rPr>
        <w:t>隨機森林</w:t>
      </w:r>
      <w:r w:rsidRPr="00523799">
        <w:rPr>
          <w:rFonts w:ascii="Times New Roman" w:eastAsia="標楷體" w:hAnsi="Times New Roman" w:cs="Times New Roman"/>
          <w:b/>
          <w:bCs/>
          <w:sz w:val="28"/>
          <w:szCs w:val="28"/>
        </w:rPr>
        <w:t xml:space="preserve"> (Random Forest)</w:t>
      </w:r>
    </w:p>
    <w:p w14:paraId="2E847F49"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為克服單一決策樹易產生之過擬合問題，本研究建構包含</w:t>
      </w:r>
      <w:r w:rsidRPr="00523799">
        <w:rPr>
          <w:rFonts w:ascii="Times New Roman" w:eastAsia="標楷體" w:hAnsi="Times New Roman" w:cs="Times New Roman"/>
          <w:sz w:val="28"/>
          <w:szCs w:val="28"/>
        </w:rPr>
        <w:t xml:space="preserve"> 100 </w:t>
      </w:r>
      <w:r w:rsidRPr="00523799">
        <w:rPr>
          <w:rFonts w:ascii="Times New Roman" w:eastAsia="標楷體" w:hAnsi="Times New Roman" w:cs="Times New Roman"/>
          <w:sz w:val="28"/>
          <w:szCs w:val="28"/>
        </w:rPr>
        <w:t>棵決策樹（</w:t>
      </w:r>
      <w:proofErr w:type="spellStart"/>
      <w:r w:rsidRPr="00523799">
        <w:rPr>
          <w:rFonts w:ascii="Times New Roman" w:eastAsia="標楷體" w:hAnsi="Times New Roman" w:cs="Times New Roman"/>
          <w:sz w:val="28"/>
          <w:szCs w:val="28"/>
        </w:rPr>
        <w:t>n_estimators</w:t>
      </w:r>
      <w:proofErr w:type="spellEnd"/>
      <w:r w:rsidRPr="00523799">
        <w:rPr>
          <w:rFonts w:ascii="Times New Roman" w:eastAsia="標楷體" w:hAnsi="Times New Roman" w:cs="Times New Roman"/>
          <w:sz w:val="28"/>
          <w:szCs w:val="28"/>
        </w:rPr>
        <w:t>=100</w:t>
      </w:r>
      <w:r w:rsidRPr="00523799">
        <w:rPr>
          <w:rFonts w:ascii="Times New Roman" w:eastAsia="標楷體" w:hAnsi="Times New Roman" w:cs="Times New Roman"/>
          <w:sz w:val="28"/>
          <w:szCs w:val="28"/>
        </w:rPr>
        <w:t>）之隨機森林。透過集成學習（</w:t>
      </w:r>
      <w:r w:rsidRPr="00523799">
        <w:rPr>
          <w:rFonts w:ascii="Times New Roman" w:eastAsia="標楷體" w:hAnsi="Times New Roman" w:cs="Times New Roman"/>
          <w:sz w:val="28"/>
          <w:szCs w:val="28"/>
        </w:rPr>
        <w:t>Ensemble Learning</w:t>
      </w:r>
      <w:r w:rsidRPr="00523799">
        <w:rPr>
          <w:rFonts w:ascii="Times New Roman" w:eastAsia="標楷體" w:hAnsi="Times New Roman" w:cs="Times New Roman"/>
          <w:sz w:val="28"/>
          <w:szCs w:val="28"/>
        </w:rPr>
        <w:t>）之投票機制，模型能有效降低變異數並提高預測之穩健度，最大深度同樣維持於</w:t>
      </w:r>
      <w:r w:rsidRPr="00523799">
        <w:rPr>
          <w:rFonts w:ascii="Times New Roman" w:eastAsia="標楷體" w:hAnsi="Times New Roman" w:cs="Times New Roman"/>
          <w:sz w:val="28"/>
          <w:szCs w:val="28"/>
        </w:rPr>
        <w:t xml:space="preserve"> 10 </w:t>
      </w:r>
      <w:r w:rsidRPr="00523799">
        <w:rPr>
          <w:rFonts w:ascii="Times New Roman" w:eastAsia="標楷體" w:hAnsi="Times New Roman" w:cs="Times New Roman"/>
          <w:sz w:val="28"/>
          <w:szCs w:val="28"/>
        </w:rPr>
        <w:t>以利比較。</w:t>
      </w:r>
    </w:p>
    <w:p w14:paraId="2C13D89B" w14:textId="77777777" w:rsidR="00523799" w:rsidRPr="00523799" w:rsidRDefault="00523799" w:rsidP="00523799">
      <w:pPr>
        <w:outlineLvl w:val="0"/>
        <w:rPr>
          <w:rFonts w:ascii="Times New Roman" w:eastAsia="標楷體" w:hAnsi="Times New Roman" w:cs="Times New Roman"/>
          <w:b/>
          <w:bCs/>
          <w:sz w:val="28"/>
          <w:szCs w:val="28"/>
        </w:rPr>
      </w:pPr>
      <w:r w:rsidRPr="00523799">
        <w:rPr>
          <w:rFonts w:ascii="Times New Roman" w:eastAsia="標楷體" w:hAnsi="Times New Roman" w:cs="Times New Roman"/>
          <w:b/>
          <w:bCs/>
          <w:sz w:val="28"/>
          <w:szCs w:val="28"/>
        </w:rPr>
        <w:t>4. K-</w:t>
      </w:r>
      <w:r w:rsidRPr="00523799">
        <w:rPr>
          <w:rFonts w:ascii="Times New Roman" w:eastAsia="標楷體" w:hAnsi="Times New Roman" w:cs="Times New Roman"/>
          <w:b/>
          <w:bCs/>
          <w:sz w:val="28"/>
          <w:szCs w:val="28"/>
        </w:rPr>
        <w:t>近鄰演算法</w:t>
      </w:r>
      <w:r w:rsidRPr="00523799">
        <w:rPr>
          <w:rFonts w:ascii="Times New Roman" w:eastAsia="標楷體" w:hAnsi="Times New Roman" w:cs="Times New Roman"/>
          <w:b/>
          <w:bCs/>
          <w:sz w:val="28"/>
          <w:szCs w:val="28"/>
        </w:rPr>
        <w:t xml:space="preserve"> (K-Nearest Neighbors, KNN)</w:t>
      </w:r>
    </w:p>
    <w:p w14:paraId="106977EC"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本研究導入</w:t>
      </w:r>
      <w:r w:rsidRPr="00523799">
        <w:rPr>
          <w:rFonts w:ascii="Times New Roman" w:eastAsia="標楷體" w:hAnsi="Times New Roman" w:cs="Times New Roman"/>
          <w:sz w:val="28"/>
          <w:szCs w:val="28"/>
        </w:rPr>
        <w:t xml:space="preserve"> KNN </w:t>
      </w:r>
      <w:r w:rsidRPr="00523799">
        <w:rPr>
          <w:rFonts w:ascii="Times New Roman" w:eastAsia="標楷體" w:hAnsi="Times New Roman" w:cs="Times New Roman"/>
          <w:sz w:val="28"/>
          <w:szCs w:val="28"/>
        </w:rPr>
        <w:t>演算法以評估判決書文本之相似性對於結果之影響。設定鄰居數（</w:t>
      </w:r>
      <w:r w:rsidRPr="00523799">
        <w:rPr>
          <w:rFonts w:ascii="Times New Roman" w:eastAsia="標楷體" w:hAnsi="Times New Roman" w:cs="Times New Roman"/>
          <w:sz w:val="28"/>
          <w:szCs w:val="28"/>
        </w:rPr>
        <w:t>$K$</w:t>
      </w:r>
      <w:r w:rsidRPr="00523799">
        <w:rPr>
          <w:rFonts w:ascii="Times New Roman" w:eastAsia="標楷體" w:hAnsi="Times New Roman" w:cs="Times New Roman"/>
          <w:sz w:val="28"/>
          <w:szCs w:val="28"/>
        </w:rPr>
        <w:t>）為</w:t>
      </w:r>
      <w:r w:rsidRPr="00523799">
        <w:rPr>
          <w:rFonts w:ascii="Times New Roman" w:eastAsia="標楷體" w:hAnsi="Times New Roman" w:cs="Times New Roman"/>
          <w:sz w:val="28"/>
          <w:szCs w:val="28"/>
        </w:rPr>
        <w:t xml:space="preserve"> 5</w:t>
      </w:r>
      <w:r w:rsidRPr="00523799">
        <w:rPr>
          <w:rFonts w:ascii="Times New Roman" w:eastAsia="標楷體" w:hAnsi="Times New Roman" w:cs="Times New Roman"/>
          <w:sz w:val="28"/>
          <w:szCs w:val="28"/>
        </w:rPr>
        <w:t>，並採用閔可夫斯基距離（</w:t>
      </w:r>
      <w:r w:rsidRPr="00523799">
        <w:rPr>
          <w:rFonts w:ascii="Times New Roman" w:eastAsia="標楷體" w:hAnsi="Times New Roman" w:cs="Times New Roman"/>
          <w:sz w:val="28"/>
          <w:szCs w:val="28"/>
        </w:rPr>
        <w:t>Minkowski distance</w:t>
      </w:r>
      <w:r w:rsidRPr="00523799">
        <w:rPr>
          <w:rFonts w:ascii="Times New Roman" w:eastAsia="標楷體" w:hAnsi="Times New Roman" w:cs="Times New Roman"/>
          <w:sz w:val="28"/>
          <w:szCs w:val="28"/>
        </w:rPr>
        <w:t>，</w:t>
      </w:r>
      <w:r w:rsidRPr="00523799">
        <w:rPr>
          <w:rFonts w:ascii="Times New Roman" w:eastAsia="標楷體" w:hAnsi="Times New Roman" w:cs="Times New Roman"/>
          <w:sz w:val="28"/>
          <w:szCs w:val="28"/>
        </w:rPr>
        <w:t>$p=2$</w:t>
      </w:r>
      <w:r w:rsidRPr="00523799">
        <w:rPr>
          <w:rFonts w:ascii="Times New Roman" w:eastAsia="標楷體" w:hAnsi="Times New Roman" w:cs="Times New Roman"/>
          <w:sz w:val="28"/>
          <w:szCs w:val="28"/>
        </w:rPr>
        <w:t>，即歐幾里得距離）計算高維向量空間中之文本距離。</w:t>
      </w:r>
    </w:p>
    <w:p w14:paraId="392A4265" w14:textId="77777777" w:rsidR="00523799" w:rsidRPr="00523799" w:rsidRDefault="00523799" w:rsidP="00523799">
      <w:pPr>
        <w:outlineLvl w:val="0"/>
        <w:rPr>
          <w:rFonts w:ascii="Times New Roman" w:eastAsia="標楷體" w:hAnsi="Times New Roman" w:cs="Times New Roman"/>
          <w:b/>
          <w:bCs/>
          <w:sz w:val="28"/>
          <w:szCs w:val="28"/>
        </w:rPr>
      </w:pPr>
      <w:r w:rsidRPr="00523799">
        <w:rPr>
          <w:rFonts w:ascii="Times New Roman" w:eastAsia="標楷體" w:hAnsi="Times New Roman" w:cs="Times New Roman"/>
          <w:b/>
          <w:bCs/>
          <w:sz w:val="28"/>
          <w:szCs w:val="28"/>
        </w:rPr>
        <w:t xml:space="preserve">5. </w:t>
      </w:r>
      <w:r w:rsidRPr="00523799">
        <w:rPr>
          <w:rFonts w:ascii="Times New Roman" w:eastAsia="標楷體" w:hAnsi="Times New Roman" w:cs="Times New Roman"/>
          <w:b/>
          <w:bCs/>
          <w:sz w:val="28"/>
          <w:szCs w:val="28"/>
        </w:rPr>
        <w:t>支持向量機</w:t>
      </w:r>
      <w:r w:rsidRPr="00523799">
        <w:rPr>
          <w:rFonts w:ascii="Times New Roman" w:eastAsia="標楷體" w:hAnsi="Times New Roman" w:cs="Times New Roman"/>
          <w:b/>
          <w:bCs/>
          <w:sz w:val="28"/>
          <w:szCs w:val="28"/>
        </w:rPr>
        <w:t xml:space="preserve"> (Support Vector Machine, SVM)</w:t>
      </w:r>
    </w:p>
    <w:p w14:paraId="2541F63C"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 xml:space="preserve">SVM </w:t>
      </w:r>
      <w:r w:rsidRPr="00523799">
        <w:rPr>
          <w:rFonts w:ascii="Times New Roman" w:eastAsia="標楷體" w:hAnsi="Times New Roman" w:cs="Times New Roman"/>
          <w:sz w:val="28"/>
          <w:szCs w:val="28"/>
        </w:rPr>
        <w:t>旨在尋找能將不同判決類別極大化區隔之最佳超平面。考量到法律文本特徵維度極高且存在非線性邊界，本研究設定最大迭代次數為</w:t>
      </w:r>
      <w:r w:rsidRPr="00523799">
        <w:rPr>
          <w:rFonts w:ascii="Times New Roman" w:eastAsia="標楷體" w:hAnsi="Times New Roman" w:cs="Times New Roman"/>
          <w:sz w:val="28"/>
          <w:szCs w:val="28"/>
        </w:rPr>
        <w:t xml:space="preserve"> 5000 </w:t>
      </w:r>
      <w:r w:rsidRPr="00523799">
        <w:rPr>
          <w:rFonts w:ascii="Times New Roman" w:eastAsia="標楷體" w:hAnsi="Times New Roman" w:cs="Times New Roman"/>
          <w:sz w:val="28"/>
          <w:szCs w:val="28"/>
        </w:rPr>
        <w:t>次，透過優化間距（</w:t>
      </w:r>
      <w:r w:rsidRPr="00523799">
        <w:rPr>
          <w:rFonts w:ascii="Times New Roman" w:eastAsia="標楷體" w:hAnsi="Times New Roman" w:cs="Times New Roman"/>
          <w:sz w:val="28"/>
          <w:szCs w:val="28"/>
        </w:rPr>
        <w:t>Margin</w:t>
      </w:r>
      <w:r w:rsidRPr="00523799">
        <w:rPr>
          <w:rFonts w:ascii="Times New Roman" w:eastAsia="標楷體" w:hAnsi="Times New Roman" w:cs="Times New Roman"/>
          <w:sz w:val="28"/>
          <w:szCs w:val="28"/>
        </w:rPr>
        <w:t>）以強化模型在處理二元或多元分類任務時之推論能力。</w:t>
      </w:r>
    </w:p>
    <w:p w14:paraId="6E901198" w14:textId="77777777" w:rsidR="00523799" w:rsidRPr="00523799" w:rsidRDefault="00523799" w:rsidP="00523799">
      <w:pPr>
        <w:outlineLvl w:val="0"/>
        <w:rPr>
          <w:rFonts w:ascii="Times New Roman" w:eastAsia="標楷體" w:hAnsi="Times New Roman" w:cs="Times New Roman"/>
          <w:b/>
          <w:bCs/>
          <w:sz w:val="28"/>
          <w:szCs w:val="28"/>
        </w:rPr>
      </w:pPr>
      <w:r w:rsidRPr="00523799">
        <w:rPr>
          <w:rFonts w:ascii="Times New Roman" w:eastAsia="標楷體" w:hAnsi="Times New Roman" w:cs="Times New Roman"/>
          <w:b/>
          <w:bCs/>
          <w:sz w:val="28"/>
          <w:szCs w:val="28"/>
        </w:rPr>
        <w:t xml:space="preserve">6. </w:t>
      </w:r>
      <w:r w:rsidRPr="00523799">
        <w:rPr>
          <w:rFonts w:ascii="Times New Roman" w:eastAsia="標楷體" w:hAnsi="Times New Roman" w:cs="Times New Roman"/>
          <w:b/>
          <w:bCs/>
          <w:sz w:val="28"/>
          <w:szCs w:val="28"/>
        </w:rPr>
        <w:t>人工神經網路</w:t>
      </w:r>
      <w:r w:rsidRPr="00523799">
        <w:rPr>
          <w:rFonts w:ascii="Times New Roman" w:eastAsia="標楷體" w:hAnsi="Times New Roman" w:cs="Times New Roman"/>
          <w:b/>
          <w:bCs/>
          <w:sz w:val="28"/>
          <w:szCs w:val="28"/>
        </w:rPr>
        <w:t xml:space="preserve"> (Artificial Neural Network, ANN)</w:t>
      </w:r>
    </w:p>
    <w:p w14:paraId="27FFDE18"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本研究建構全連接神經網路（</w:t>
      </w:r>
      <w:r w:rsidRPr="00523799">
        <w:rPr>
          <w:rFonts w:ascii="Times New Roman" w:eastAsia="標楷體" w:hAnsi="Times New Roman" w:cs="Times New Roman"/>
          <w:sz w:val="28"/>
          <w:szCs w:val="28"/>
        </w:rPr>
        <w:t>Fully Connected Network</w:t>
      </w:r>
      <w:r w:rsidRPr="00523799">
        <w:rPr>
          <w:rFonts w:ascii="Times New Roman" w:eastAsia="標楷體" w:hAnsi="Times New Roman" w:cs="Times New Roman"/>
          <w:sz w:val="28"/>
          <w:szCs w:val="28"/>
        </w:rPr>
        <w:t>）以捕捉法律文本中深層之非線性語意特徵：</w:t>
      </w:r>
    </w:p>
    <w:p w14:paraId="1DF80B86" w14:textId="77777777" w:rsidR="00523799" w:rsidRPr="00523799" w:rsidRDefault="00523799" w:rsidP="00523799">
      <w:pPr>
        <w:numPr>
          <w:ilvl w:val="0"/>
          <w:numId w:val="5"/>
        </w:numPr>
        <w:outlineLvl w:val="0"/>
        <w:rPr>
          <w:rFonts w:ascii="Times New Roman" w:eastAsia="標楷體" w:hAnsi="Times New Roman" w:cs="Times New Roman"/>
          <w:sz w:val="28"/>
          <w:szCs w:val="28"/>
        </w:rPr>
      </w:pPr>
      <w:r w:rsidRPr="00523799">
        <w:rPr>
          <w:rFonts w:ascii="Times New Roman" w:eastAsia="標楷體" w:hAnsi="Times New Roman" w:cs="Times New Roman"/>
          <w:b/>
          <w:bCs/>
          <w:sz w:val="28"/>
          <w:szCs w:val="28"/>
        </w:rPr>
        <w:lastRenderedPageBreak/>
        <w:t>架構設計</w:t>
      </w:r>
      <w:r w:rsidRPr="00523799">
        <w:rPr>
          <w:rFonts w:ascii="Times New Roman" w:eastAsia="標楷體" w:hAnsi="Times New Roman" w:cs="Times New Roman"/>
          <w:sz w:val="28"/>
          <w:szCs w:val="28"/>
        </w:rPr>
        <w:t>：包含兩層隱藏層，其神經元維度分別設定為</w:t>
      </w:r>
      <w:r w:rsidRPr="00523799">
        <w:rPr>
          <w:rFonts w:ascii="Times New Roman" w:eastAsia="標楷體" w:hAnsi="Times New Roman" w:cs="Times New Roman"/>
          <w:sz w:val="28"/>
          <w:szCs w:val="28"/>
        </w:rPr>
        <w:t xml:space="preserve"> $[512, 256]$</w:t>
      </w:r>
      <w:r w:rsidRPr="00523799">
        <w:rPr>
          <w:rFonts w:ascii="Times New Roman" w:eastAsia="標楷體" w:hAnsi="Times New Roman" w:cs="Times New Roman"/>
          <w:sz w:val="28"/>
          <w:szCs w:val="28"/>
        </w:rPr>
        <w:t>。</w:t>
      </w:r>
    </w:p>
    <w:p w14:paraId="4FDECE20" w14:textId="77777777" w:rsidR="00523799" w:rsidRPr="00523799" w:rsidRDefault="00523799" w:rsidP="00523799">
      <w:pPr>
        <w:numPr>
          <w:ilvl w:val="0"/>
          <w:numId w:val="5"/>
        </w:numPr>
        <w:outlineLvl w:val="0"/>
        <w:rPr>
          <w:rFonts w:ascii="Times New Roman" w:eastAsia="標楷體" w:hAnsi="Times New Roman" w:cs="Times New Roman"/>
          <w:sz w:val="28"/>
          <w:szCs w:val="28"/>
        </w:rPr>
      </w:pPr>
      <w:r w:rsidRPr="00523799">
        <w:rPr>
          <w:rFonts w:ascii="Times New Roman" w:eastAsia="標楷體" w:hAnsi="Times New Roman" w:cs="Times New Roman"/>
          <w:b/>
          <w:bCs/>
          <w:sz w:val="28"/>
          <w:szCs w:val="28"/>
        </w:rPr>
        <w:t>正則化機制</w:t>
      </w:r>
      <w:r w:rsidRPr="00523799">
        <w:rPr>
          <w:rFonts w:ascii="Times New Roman" w:eastAsia="標楷體" w:hAnsi="Times New Roman" w:cs="Times New Roman"/>
          <w:sz w:val="28"/>
          <w:szCs w:val="28"/>
        </w:rPr>
        <w:t>：為防止長文本訓練導致之過擬合，模型中加入</w:t>
      </w:r>
      <w:r w:rsidRPr="00523799">
        <w:rPr>
          <w:rFonts w:ascii="Times New Roman" w:eastAsia="標楷體" w:hAnsi="Times New Roman" w:cs="Times New Roman"/>
          <w:sz w:val="28"/>
          <w:szCs w:val="28"/>
        </w:rPr>
        <w:t xml:space="preserve"> Dropout (0.3) </w:t>
      </w:r>
      <w:r w:rsidRPr="00523799">
        <w:rPr>
          <w:rFonts w:ascii="Times New Roman" w:eastAsia="標楷體" w:hAnsi="Times New Roman" w:cs="Times New Roman"/>
          <w:sz w:val="28"/>
          <w:szCs w:val="28"/>
        </w:rPr>
        <w:t>機制，於訓練過程中隨機捨棄</w:t>
      </w:r>
      <w:r w:rsidRPr="00523799">
        <w:rPr>
          <w:rFonts w:ascii="Times New Roman" w:eastAsia="標楷體" w:hAnsi="Times New Roman" w:cs="Times New Roman"/>
          <w:sz w:val="28"/>
          <w:szCs w:val="28"/>
        </w:rPr>
        <w:t xml:space="preserve"> 30% </w:t>
      </w:r>
      <w:r w:rsidRPr="00523799">
        <w:rPr>
          <w:rFonts w:ascii="Times New Roman" w:eastAsia="標楷體" w:hAnsi="Times New Roman" w:cs="Times New Roman"/>
          <w:sz w:val="28"/>
          <w:szCs w:val="28"/>
        </w:rPr>
        <w:t>之神經元連結。</w:t>
      </w:r>
    </w:p>
    <w:p w14:paraId="31966F2D" w14:textId="77777777" w:rsidR="00523799" w:rsidRPr="00523799" w:rsidRDefault="00523799" w:rsidP="00523799">
      <w:pPr>
        <w:numPr>
          <w:ilvl w:val="0"/>
          <w:numId w:val="5"/>
        </w:numPr>
        <w:outlineLvl w:val="0"/>
        <w:rPr>
          <w:rFonts w:ascii="Times New Roman" w:eastAsia="標楷體" w:hAnsi="Times New Roman" w:cs="Times New Roman"/>
          <w:sz w:val="28"/>
          <w:szCs w:val="28"/>
        </w:rPr>
      </w:pPr>
      <w:r w:rsidRPr="00523799">
        <w:rPr>
          <w:rFonts w:ascii="Times New Roman" w:eastAsia="標楷體" w:hAnsi="Times New Roman" w:cs="Times New Roman"/>
          <w:b/>
          <w:bCs/>
          <w:sz w:val="28"/>
          <w:szCs w:val="28"/>
        </w:rPr>
        <w:t>優化目標</w:t>
      </w:r>
      <w:r w:rsidRPr="00523799">
        <w:rPr>
          <w:rFonts w:ascii="Times New Roman" w:eastAsia="標楷體" w:hAnsi="Times New Roman" w:cs="Times New Roman"/>
          <w:sz w:val="28"/>
          <w:szCs w:val="28"/>
        </w:rPr>
        <w:t>：採用交叉熵損失函數（</w:t>
      </w:r>
      <w:proofErr w:type="spellStart"/>
      <w:r w:rsidRPr="00523799">
        <w:rPr>
          <w:rFonts w:ascii="Times New Roman" w:eastAsia="標楷體" w:hAnsi="Times New Roman" w:cs="Times New Roman"/>
          <w:sz w:val="28"/>
          <w:szCs w:val="28"/>
        </w:rPr>
        <w:t>CrossEntropyLoss</w:t>
      </w:r>
      <w:proofErr w:type="spellEnd"/>
      <w:r w:rsidRPr="00523799">
        <w:rPr>
          <w:rFonts w:ascii="Times New Roman" w:eastAsia="標楷體" w:hAnsi="Times New Roman" w:cs="Times New Roman"/>
          <w:sz w:val="28"/>
          <w:szCs w:val="28"/>
        </w:rPr>
        <w:t>），並結合梯度下降演算法進行模型參數之更新與權重優化。</w:t>
      </w:r>
    </w:p>
    <w:p w14:paraId="3364375E" w14:textId="41C6DB5C" w:rsidR="00523799" w:rsidRDefault="00523799" w:rsidP="008613E4">
      <w:pPr>
        <w:outlineLvl w:val="0"/>
        <w:rPr>
          <w:rFonts w:ascii="Times New Roman" w:eastAsia="標楷體" w:hAnsi="Times New Roman" w:cs="Times New Roman"/>
          <w:sz w:val="28"/>
          <w:szCs w:val="28"/>
        </w:rPr>
      </w:pPr>
      <w:r>
        <w:rPr>
          <w:rFonts w:ascii="Times New Roman" w:eastAsia="標楷體" w:hAnsi="Times New Roman" w:cs="Times New Roman" w:hint="eastAsia"/>
          <w:sz w:val="28"/>
          <w:szCs w:val="28"/>
        </w:rPr>
        <w:t>效能評估</w:t>
      </w:r>
    </w:p>
    <w:p w14:paraId="3E5016D6"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為全面且客觀地評估各預測模型之效能，本研究採用多維度的評估指標。考量到法律判決中「勝訴」、「敗訴」及「部分勝訴</w:t>
      </w:r>
      <w:r w:rsidRPr="00523799">
        <w:rPr>
          <w:rFonts w:ascii="Times New Roman" w:eastAsia="標楷體" w:hAnsi="Times New Roman" w:cs="Times New Roman"/>
          <w:sz w:val="28"/>
          <w:szCs w:val="28"/>
        </w:rPr>
        <w:t>/</w:t>
      </w:r>
      <w:r w:rsidRPr="00523799">
        <w:rPr>
          <w:rFonts w:ascii="Times New Roman" w:eastAsia="標楷體" w:hAnsi="Times New Roman" w:cs="Times New Roman"/>
          <w:sz w:val="28"/>
          <w:szCs w:val="28"/>
        </w:rPr>
        <w:t>敗訴」之樣本分佈不均（類別不平衡），本研究除計算整體指標外，亦針對各類別分別進行效能分析：</w:t>
      </w:r>
    </w:p>
    <w:p w14:paraId="2188D354" w14:textId="77777777" w:rsidR="00523799" w:rsidRPr="00523799" w:rsidRDefault="00523799" w:rsidP="00523799">
      <w:pPr>
        <w:outlineLvl w:val="0"/>
        <w:rPr>
          <w:rFonts w:ascii="Times New Roman" w:eastAsia="標楷體" w:hAnsi="Times New Roman" w:cs="Times New Roman"/>
          <w:b/>
          <w:bCs/>
          <w:sz w:val="28"/>
          <w:szCs w:val="28"/>
        </w:rPr>
      </w:pPr>
      <w:r w:rsidRPr="00523799">
        <w:rPr>
          <w:rFonts w:ascii="Times New Roman" w:eastAsia="標楷體" w:hAnsi="Times New Roman" w:cs="Times New Roman"/>
          <w:b/>
          <w:bCs/>
          <w:sz w:val="28"/>
          <w:szCs w:val="28"/>
        </w:rPr>
        <w:t xml:space="preserve">1. </w:t>
      </w:r>
      <w:r w:rsidRPr="00523799">
        <w:rPr>
          <w:rFonts w:ascii="Times New Roman" w:eastAsia="標楷體" w:hAnsi="Times New Roman" w:cs="Times New Roman"/>
          <w:b/>
          <w:bCs/>
          <w:sz w:val="28"/>
          <w:szCs w:val="28"/>
        </w:rPr>
        <w:t>準確率</w:t>
      </w:r>
      <w:r w:rsidRPr="00523799">
        <w:rPr>
          <w:rFonts w:ascii="Times New Roman" w:eastAsia="標楷體" w:hAnsi="Times New Roman" w:cs="Times New Roman"/>
          <w:b/>
          <w:bCs/>
          <w:sz w:val="28"/>
          <w:szCs w:val="28"/>
        </w:rPr>
        <w:t xml:space="preserve"> (Accuracy)</w:t>
      </w:r>
    </w:p>
    <w:p w14:paraId="19201137"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準確率衡量模型對整體案件正確分類之比例。計算公式如下：</w:t>
      </w:r>
    </w:p>
    <w:p w14:paraId="43F78CCB" w14:textId="34B6B327" w:rsidR="00523799" w:rsidRPr="00523799" w:rsidRDefault="00523799" w:rsidP="008613E4">
      <w:pPr>
        <w:outlineLvl w:val="0"/>
        <w:rPr>
          <w:rFonts w:ascii="Times New Roman" w:eastAsia="標楷體" w:hAnsi="Times New Roman" w:cs="Times New Roman"/>
          <w:sz w:val="28"/>
          <w:szCs w:val="28"/>
        </w:rPr>
      </w:pPr>
      <m:oMathPara>
        <m:oMath>
          <m:r>
            <w:rPr>
              <w:rFonts w:ascii="Cambria Math" w:eastAsia="標楷體" w:hAnsi="Cambria Math" w:cs="Times New Roman" w:hint="eastAsia"/>
              <w:sz w:val="28"/>
              <w:szCs w:val="28"/>
            </w:rPr>
            <m:t>A</m:t>
          </m:r>
          <m:r>
            <w:rPr>
              <w:rFonts w:ascii="Cambria Math" w:eastAsia="標楷體" w:hAnsi="Cambria Math" w:cs="Times New Roman"/>
              <w:sz w:val="28"/>
              <w:szCs w:val="28"/>
            </w:rPr>
            <m:t>ccuracy=</m:t>
          </m:r>
          <m:f>
            <m:fPr>
              <m:ctrlPr>
                <w:rPr>
                  <w:rFonts w:ascii="Cambria Math" w:eastAsia="標楷體" w:hAnsi="Cambria Math" w:cs="Times New Roman"/>
                  <w:i/>
                  <w:sz w:val="28"/>
                  <w:szCs w:val="28"/>
                </w:rPr>
              </m:ctrlPr>
            </m:fPr>
            <m:num>
              <m:r>
                <w:rPr>
                  <w:rFonts w:ascii="Cambria Math" w:eastAsia="標楷體" w:hAnsi="Cambria Math" w:cs="Times New Roman"/>
                  <w:sz w:val="28"/>
                  <w:szCs w:val="28"/>
                </w:rPr>
                <m:t>TP+TN</m:t>
              </m:r>
            </m:num>
            <m:den>
              <m:r>
                <w:rPr>
                  <w:rFonts w:ascii="Cambria Math" w:eastAsia="標楷體" w:hAnsi="Cambria Math" w:cs="Times New Roman"/>
                  <w:sz w:val="28"/>
                  <w:szCs w:val="28"/>
                </w:rPr>
                <m:t>TP+YN+FP+FN</m:t>
              </m:r>
            </m:den>
          </m:f>
        </m:oMath>
      </m:oMathPara>
    </w:p>
    <w:p w14:paraId="0E033C8B"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雖為最直觀之指標，但在類別分佈不平衡的智財裁判數據中，準確率可能產生誤導，故本研究僅將其作為初步參考。</w:t>
      </w:r>
    </w:p>
    <w:p w14:paraId="2D3666DB" w14:textId="77777777" w:rsidR="00523799" w:rsidRPr="00523799" w:rsidRDefault="00523799" w:rsidP="00523799">
      <w:pPr>
        <w:outlineLvl w:val="0"/>
        <w:rPr>
          <w:rFonts w:ascii="Times New Roman" w:eastAsia="標楷體" w:hAnsi="Times New Roman" w:cs="Times New Roman"/>
          <w:b/>
          <w:bCs/>
          <w:sz w:val="28"/>
          <w:szCs w:val="28"/>
        </w:rPr>
      </w:pPr>
      <w:r w:rsidRPr="00523799">
        <w:rPr>
          <w:rFonts w:ascii="Times New Roman" w:eastAsia="標楷體" w:hAnsi="Times New Roman" w:cs="Times New Roman"/>
          <w:b/>
          <w:bCs/>
          <w:sz w:val="28"/>
          <w:szCs w:val="28"/>
        </w:rPr>
        <w:t xml:space="preserve">2. </w:t>
      </w:r>
      <w:r w:rsidRPr="00523799">
        <w:rPr>
          <w:rFonts w:ascii="Times New Roman" w:eastAsia="標楷體" w:hAnsi="Times New Roman" w:cs="Times New Roman"/>
          <w:b/>
          <w:bCs/>
          <w:sz w:val="28"/>
          <w:szCs w:val="28"/>
        </w:rPr>
        <w:t>精確率</w:t>
      </w:r>
      <w:r w:rsidRPr="00523799">
        <w:rPr>
          <w:rFonts w:ascii="Times New Roman" w:eastAsia="標楷體" w:hAnsi="Times New Roman" w:cs="Times New Roman"/>
          <w:b/>
          <w:bCs/>
          <w:sz w:val="28"/>
          <w:szCs w:val="28"/>
        </w:rPr>
        <w:t xml:space="preserve"> (Precision)</w:t>
      </w:r>
    </w:p>
    <w:p w14:paraId="1B14A88B"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精確率代表在模型預測為特定判決類別（如「勝訴」）的案件中，實際亦屬於該類別之比例。在法律實務中，高精確率意味著模型之預測結果具備較高的可靠性，能有效減少當事人對訴訟結果的錯誤期待。</w:t>
      </w:r>
    </w:p>
    <w:p w14:paraId="02928CD4" w14:textId="77777777" w:rsidR="00523799" w:rsidRPr="00523799" w:rsidRDefault="00523799" w:rsidP="00523799">
      <w:pPr>
        <w:outlineLvl w:val="0"/>
        <w:rPr>
          <w:rFonts w:ascii="Times New Roman" w:eastAsia="標楷體" w:hAnsi="Times New Roman" w:cs="Times New Roman"/>
          <w:b/>
          <w:bCs/>
          <w:sz w:val="28"/>
          <w:szCs w:val="28"/>
        </w:rPr>
      </w:pPr>
      <w:r w:rsidRPr="00523799">
        <w:rPr>
          <w:rFonts w:ascii="Times New Roman" w:eastAsia="標楷體" w:hAnsi="Times New Roman" w:cs="Times New Roman"/>
          <w:b/>
          <w:bCs/>
          <w:sz w:val="28"/>
          <w:szCs w:val="28"/>
        </w:rPr>
        <w:t xml:space="preserve">3. </w:t>
      </w:r>
      <w:r w:rsidRPr="00523799">
        <w:rPr>
          <w:rFonts w:ascii="Times New Roman" w:eastAsia="標楷體" w:hAnsi="Times New Roman" w:cs="Times New Roman"/>
          <w:b/>
          <w:bCs/>
          <w:sz w:val="28"/>
          <w:szCs w:val="28"/>
        </w:rPr>
        <w:t>召回率</w:t>
      </w:r>
      <w:r w:rsidRPr="00523799">
        <w:rPr>
          <w:rFonts w:ascii="Times New Roman" w:eastAsia="標楷體" w:hAnsi="Times New Roman" w:cs="Times New Roman"/>
          <w:b/>
          <w:bCs/>
          <w:sz w:val="28"/>
          <w:szCs w:val="28"/>
        </w:rPr>
        <w:t xml:space="preserve"> (Recall)</w:t>
      </w:r>
    </w:p>
    <w:p w14:paraId="4B315A8F"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lastRenderedPageBreak/>
        <w:t>召回率指在所有實際為某一類別的案件中，模型成功偵測並預測出的比例。高召回率代表模型能廣泛捕捉到具備特定法律特徵之案件，減少對潛在裁判結果的遺漏。</w:t>
      </w:r>
    </w:p>
    <w:p w14:paraId="3F6C0CF9" w14:textId="77777777" w:rsidR="00523799" w:rsidRPr="00523799" w:rsidRDefault="00523799" w:rsidP="00523799">
      <w:pPr>
        <w:outlineLvl w:val="0"/>
        <w:rPr>
          <w:rFonts w:ascii="Times New Roman" w:eastAsia="標楷體" w:hAnsi="Times New Roman" w:cs="Times New Roman"/>
          <w:b/>
          <w:bCs/>
          <w:sz w:val="28"/>
          <w:szCs w:val="28"/>
        </w:rPr>
      </w:pPr>
      <w:r w:rsidRPr="00523799">
        <w:rPr>
          <w:rFonts w:ascii="Times New Roman" w:eastAsia="標楷體" w:hAnsi="Times New Roman" w:cs="Times New Roman"/>
          <w:b/>
          <w:bCs/>
          <w:sz w:val="28"/>
          <w:szCs w:val="28"/>
        </w:rPr>
        <w:t>4. F1-Score</w:t>
      </w:r>
    </w:p>
    <w:p w14:paraId="2F3A81F4"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 xml:space="preserve">F1-Score </w:t>
      </w:r>
      <w:r w:rsidRPr="00523799">
        <w:rPr>
          <w:rFonts w:ascii="Times New Roman" w:eastAsia="標楷體" w:hAnsi="Times New Roman" w:cs="Times New Roman"/>
          <w:sz w:val="28"/>
          <w:szCs w:val="28"/>
        </w:rPr>
        <w:t>為精確率與召回率之調和平均數（</w:t>
      </w:r>
      <w:r w:rsidRPr="00523799">
        <w:rPr>
          <w:rFonts w:ascii="Times New Roman" w:eastAsia="標楷體" w:hAnsi="Times New Roman" w:cs="Times New Roman"/>
          <w:sz w:val="28"/>
          <w:szCs w:val="28"/>
        </w:rPr>
        <w:t>Harmonic Mean</w:t>
      </w:r>
      <w:r w:rsidRPr="00523799">
        <w:rPr>
          <w:rFonts w:ascii="Times New Roman" w:eastAsia="標楷體" w:hAnsi="Times New Roman" w:cs="Times New Roman"/>
          <w:sz w:val="28"/>
          <w:szCs w:val="28"/>
        </w:rPr>
        <w:t>）。鑑於智慧財產權案件中「部分勝訴」樣本較為稀缺，本研究將</w:t>
      </w:r>
      <w:r w:rsidRPr="00523799">
        <w:rPr>
          <w:rFonts w:ascii="Times New Roman" w:eastAsia="標楷體" w:hAnsi="Times New Roman" w:cs="Times New Roman"/>
          <w:sz w:val="28"/>
          <w:szCs w:val="28"/>
        </w:rPr>
        <w:t xml:space="preserve"> F1-Score </w:t>
      </w:r>
      <w:r w:rsidRPr="00523799">
        <w:rPr>
          <w:rFonts w:ascii="Times New Roman" w:eastAsia="標楷體" w:hAnsi="Times New Roman" w:cs="Times New Roman"/>
          <w:sz w:val="28"/>
          <w:szCs w:val="28"/>
        </w:rPr>
        <w:t>視為核心評估指標，藉此平衡精確度與涵蓋面，確保模型在各判決類別上皆具備穩健的辨識能力。</w:t>
      </w:r>
    </w:p>
    <w:p w14:paraId="72982AC8" w14:textId="77777777" w:rsidR="00523799" w:rsidRPr="00523799" w:rsidRDefault="00523799" w:rsidP="00523799">
      <w:pPr>
        <w:outlineLvl w:val="0"/>
        <w:rPr>
          <w:rFonts w:ascii="Times New Roman" w:eastAsia="標楷體" w:hAnsi="Times New Roman" w:cs="Times New Roman"/>
          <w:b/>
          <w:bCs/>
          <w:sz w:val="28"/>
          <w:szCs w:val="28"/>
        </w:rPr>
      </w:pPr>
      <w:r w:rsidRPr="00523799">
        <w:rPr>
          <w:rFonts w:ascii="Times New Roman" w:eastAsia="標楷體" w:hAnsi="Times New Roman" w:cs="Times New Roman"/>
          <w:b/>
          <w:bCs/>
          <w:sz w:val="28"/>
          <w:szCs w:val="28"/>
        </w:rPr>
        <w:t xml:space="preserve">5. </w:t>
      </w:r>
      <w:r w:rsidRPr="00523799">
        <w:rPr>
          <w:rFonts w:ascii="Times New Roman" w:eastAsia="標楷體" w:hAnsi="Times New Roman" w:cs="Times New Roman"/>
          <w:b/>
          <w:bCs/>
          <w:sz w:val="28"/>
          <w:szCs w:val="28"/>
        </w:rPr>
        <w:t>混淆矩陣</w:t>
      </w:r>
      <w:r w:rsidRPr="00523799">
        <w:rPr>
          <w:rFonts w:ascii="Times New Roman" w:eastAsia="標楷體" w:hAnsi="Times New Roman" w:cs="Times New Roman"/>
          <w:b/>
          <w:bCs/>
          <w:sz w:val="28"/>
          <w:szCs w:val="28"/>
        </w:rPr>
        <w:t xml:space="preserve"> (Confusion Matrix)</w:t>
      </w:r>
    </w:p>
    <w:p w14:paraId="52AE1CE3" w14:textId="77777777" w:rsidR="00523799" w:rsidRPr="00523799" w:rsidRDefault="00523799" w:rsidP="00523799">
      <w:pPr>
        <w:outlineLvl w:val="0"/>
        <w:rPr>
          <w:rFonts w:ascii="Times New Roman" w:eastAsia="標楷體" w:hAnsi="Times New Roman" w:cs="Times New Roman"/>
          <w:sz w:val="28"/>
          <w:szCs w:val="28"/>
        </w:rPr>
      </w:pPr>
      <w:r w:rsidRPr="00523799">
        <w:rPr>
          <w:rFonts w:ascii="Times New Roman" w:eastAsia="標楷體" w:hAnsi="Times New Roman" w:cs="Times New Roman"/>
          <w:sz w:val="28"/>
          <w:szCs w:val="28"/>
        </w:rPr>
        <w:t>本研究透過混淆矩陣將模型的預測結果與實際標籤進行交叉比對。透過視覺化矩陣，本研究能具體觀察模型在「勝訴」與「部分勝訴」等模糊地帶之誤判傾向，進而從法理與文本特徵角度分析模型分類偏誤之成因，提供更具深度的誤差解析（</w:t>
      </w:r>
      <w:r w:rsidRPr="00523799">
        <w:rPr>
          <w:rFonts w:ascii="Times New Roman" w:eastAsia="標楷體" w:hAnsi="Times New Roman" w:cs="Times New Roman"/>
          <w:sz w:val="28"/>
          <w:szCs w:val="28"/>
        </w:rPr>
        <w:t>Error Analysis</w:t>
      </w:r>
      <w:r w:rsidRPr="00523799">
        <w:rPr>
          <w:rFonts w:ascii="Times New Roman" w:eastAsia="標楷體" w:hAnsi="Times New Roman" w:cs="Times New Roman"/>
          <w:sz w:val="28"/>
          <w:szCs w:val="28"/>
        </w:rPr>
        <w:t>）。</w:t>
      </w:r>
    </w:p>
    <w:p w14:paraId="084805A3" w14:textId="77777777" w:rsidR="00523799" w:rsidRPr="00523799" w:rsidRDefault="00523799" w:rsidP="008613E4">
      <w:pPr>
        <w:outlineLvl w:val="0"/>
        <w:rPr>
          <w:rFonts w:ascii="Times New Roman" w:eastAsia="標楷體" w:hAnsi="Times New Roman" w:cs="Times New Roman" w:hint="eastAsia"/>
          <w:sz w:val="28"/>
          <w:szCs w:val="28"/>
        </w:rPr>
      </w:pPr>
    </w:p>
    <w:p w14:paraId="7BC6E990" w14:textId="7E5783EB" w:rsidR="00292760" w:rsidRDefault="00292760">
      <w:pPr>
        <w:widowControl/>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075EC764" w14:textId="48C52492" w:rsidR="00292760" w:rsidRDefault="00292760">
      <w:pPr>
        <w:widowControl/>
        <w:rPr>
          <w:rFonts w:ascii="Times New Roman" w:eastAsia="標楷體" w:hAnsi="Times New Roman" w:cs="Times New Roman"/>
          <w:sz w:val="28"/>
          <w:szCs w:val="28"/>
        </w:rPr>
      </w:pPr>
      <w:r>
        <w:rPr>
          <w:rFonts w:ascii="Times New Roman" w:eastAsia="標楷體" w:hAnsi="Times New Roman" w:cs="Times New Roman"/>
          <w:sz w:val="28"/>
          <w:szCs w:val="28"/>
        </w:rPr>
        <w:lastRenderedPageBreak/>
        <w:br w:type="page"/>
      </w:r>
    </w:p>
    <w:p w14:paraId="4D442E97" w14:textId="54D23D3F" w:rsidR="00CC5EA4" w:rsidRDefault="00292760" w:rsidP="008613E4">
      <w:pPr>
        <w:outlineLvl w:val="0"/>
        <w:rPr>
          <w:rFonts w:ascii="Times New Roman" w:eastAsia="標楷體" w:hAnsi="Times New Roman" w:cs="Times New Roman"/>
          <w:sz w:val="28"/>
          <w:szCs w:val="28"/>
        </w:rPr>
      </w:pPr>
      <w:r>
        <w:rPr>
          <w:rFonts w:ascii="Times New Roman" w:eastAsia="標楷體" w:hAnsi="Times New Roman" w:cs="Times New Roman"/>
          <w:sz w:val="28"/>
          <w:szCs w:val="28"/>
        </w:rPr>
        <w:lastRenderedPageBreak/>
        <w:t>R</w:t>
      </w:r>
      <w:r>
        <w:rPr>
          <w:rFonts w:ascii="Times New Roman" w:eastAsia="標楷體" w:hAnsi="Times New Roman" w:cs="Times New Roman" w:hint="eastAsia"/>
          <w:sz w:val="28"/>
          <w:szCs w:val="28"/>
        </w:rPr>
        <w:t>eferences</w:t>
      </w:r>
    </w:p>
    <w:p w14:paraId="29FA36CA" w14:textId="03C33957" w:rsidR="00292760" w:rsidRDefault="00B164D4" w:rsidP="008613E4">
      <w:pPr>
        <w:outlineLvl w:val="0"/>
        <w:rPr>
          <w:rFonts w:ascii="Times New Roman" w:eastAsia="標楷體" w:hAnsi="Times New Roman" w:cs="Times New Roman"/>
          <w:sz w:val="28"/>
          <w:szCs w:val="28"/>
        </w:rPr>
      </w:pPr>
      <w:hyperlink r:id="rId6" w:history="1">
        <w:r w:rsidRPr="00306CCE">
          <w:rPr>
            <w:rStyle w:val="af0"/>
            <w:rFonts w:ascii="Times New Roman" w:eastAsia="標楷體" w:hAnsi="Times New Roman" w:cs="Times New Roman"/>
            <w:sz w:val="28"/>
            <w:szCs w:val="28"/>
          </w:rPr>
          <w:t>https://naipnews.naipo.com/22251/</w:t>
        </w:r>
      </w:hyperlink>
    </w:p>
    <w:p w14:paraId="1C830312" w14:textId="1198D151" w:rsidR="00B164D4" w:rsidRPr="00B164D4" w:rsidRDefault="00B164D4" w:rsidP="008613E4">
      <w:pPr>
        <w:outlineLvl w:val="0"/>
        <w:rPr>
          <w:rFonts w:ascii="Times New Roman" w:eastAsia="標楷體" w:hAnsi="Times New Roman" w:cs="Times New Roman" w:hint="eastAsia"/>
          <w:sz w:val="28"/>
          <w:szCs w:val="28"/>
        </w:rPr>
      </w:pPr>
      <w:r w:rsidRPr="00B164D4">
        <w:rPr>
          <w:rFonts w:ascii="Times New Roman" w:eastAsia="標楷體" w:hAnsi="Times New Roman" w:cs="Times New Roman"/>
          <w:sz w:val="28"/>
          <w:szCs w:val="28"/>
        </w:rPr>
        <w:t>https://ai.iias.sinica.edu.tw/from-human-to-ai-trademark-infringement-minutes/</w:t>
      </w:r>
    </w:p>
    <w:sectPr w:rsidR="00B164D4" w:rsidRPr="00B164D4" w:rsidSect="008613E4">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85961"/>
    <w:multiLevelType w:val="multilevel"/>
    <w:tmpl w:val="62F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222A7"/>
    <w:multiLevelType w:val="multilevel"/>
    <w:tmpl w:val="121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651DC"/>
    <w:multiLevelType w:val="multilevel"/>
    <w:tmpl w:val="3372F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B5126"/>
    <w:multiLevelType w:val="multilevel"/>
    <w:tmpl w:val="CBB8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20AB3"/>
    <w:multiLevelType w:val="multilevel"/>
    <w:tmpl w:val="63B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16974"/>
    <w:multiLevelType w:val="hybridMultilevel"/>
    <w:tmpl w:val="6CCA20C4"/>
    <w:lvl w:ilvl="0" w:tplc="C47EB490">
      <w:start w:val="1"/>
      <w:numFmt w:val="taiwaneseCountingThousand"/>
      <w:lvlText w:val="第%1章"/>
      <w:lvlJc w:val="left"/>
      <w:pPr>
        <w:ind w:left="840" w:hanging="84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ADB3BAE"/>
    <w:multiLevelType w:val="multilevel"/>
    <w:tmpl w:val="649E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6C2487"/>
    <w:multiLevelType w:val="multilevel"/>
    <w:tmpl w:val="0F16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902978">
    <w:abstractNumId w:val="5"/>
  </w:num>
  <w:num w:numId="2" w16cid:durableId="332495658">
    <w:abstractNumId w:val="3"/>
  </w:num>
  <w:num w:numId="3" w16cid:durableId="1474056755">
    <w:abstractNumId w:val="7"/>
  </w:num>
  <w:num w:numId="4" w16cid:durableId="618529923">
    <w:abstractNumId w:val="2"/>
  </w:num>
  <w:num w:numId="5" w16cid:durableId="1926111099">
    <w:abstractNumId w:val="1"/>
  </w:num>
  <w:num w:numId="6" w16cid:durableId="1487816332">
    <w:abstractNumId w:val="0"/>
  </w:num>
  <w:num w:numId="7" w16cid:durableId="23483166">
    <w:abstractNumId w:val="4"/>
  </w:num>
  <w:num w:numId="8" w16cid:durableId="4974261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33"/>
    <w:rsid w:val="000232AA"/>
    <w:rsid w:val="000E77F6"/>
    <w:rsid w:val="001421BD"/>
    <w:rsid w:val="00173AA7"/>
    <w:rsid w:val="001F2EA2"/>
    <w:rsid w:val="00292760"/>
    <w:rsid w:val="002B6C4C"/>
    <w:rsid w:val="002C6512"/>
    <w:rsid w:val="004365B1"/>
    <w:rsid w:val="00523799"/>
    <w:rsid w:val="007C5F68"/>
    <w:rsid w:val="00812D17"/>
    <w:rsid w:val="00836709"/>
    <w:rsid w:val="008613E4"/>
    <w:rsid w:val="00A82637"/>
    <w:rsid w:val="00A96572"/>
    <w:rsid w:val="00B164D4"/>
    <w:rsid w:val="00B171A1"/>
    <w:rsid w:val="00B40694"/>
    <w:rsid w:val="00B9506F"/>
    <w:rsid w:val="00CC5EA4"/>
    <w:rsid w:val="00CD012C"/>
    <w:rsid w:val="00DE6133"/>
    <w:rsid w:val="00E56BC5"/>
    <w:rsid w:val="00EA1EC8"/>
    <w:rsid w:val="00EB1D5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21EF"/>
  <w15:chartTrackingRefBased/>
  <w15:docId w15:val="{2195E5B6-A3F9-4C0E-B452-FDBFD5332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E613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E613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E6133"/>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DE613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DE61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E613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E613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613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E613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E613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DE613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DE613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DE613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DE6133"/>
    <w:rPr>
      <w:rFonts w:eastAsiaTheme="majorEastAsia" w:cstheme="majorBidi"/>
      <w:color w:val="2F5496" w:themeColor="accent1" w:themeShade="BF"/>
    </w:rPr>
  </w:style>
  <w:style w:type="character" w:customStyle="1" w:styleId="60">
    <w:name w:val="標題 6 字元"/>
    <w:basedOn w:val="a0"/>
    <w:link w:val="6"/>
    <w:uiPriority w:val="9"/>
    <w:semiHidden/>
    <w:rsid w:val="00DE6133"/>
    <w:rPr>
      <w:rFonts w:eastAsiaTheme="majorEastAsia" w:cstheme="majorBidi"/>
      <w:color w:val="595959" w:themeColor="text1" w:themeTint="A6"/>
    </w:rPr>
  </w:style>
  <w:style w:type="character" w:customStyle="1" w:styleId="70">
    <w:name w:val="標題 7 字元"/>
    <w:basedOn w:val="a0"/>
    <w:link w:val="7"/>
    <w:uiPriority w:val="9"/>
    <w:semiHidden/>
    <w:rsid w:val="00DE6133"/>
    <w:rPr>
      <w:rFonts w:eastAsiaTheme="majorEastAsia" w:cstheme="majorBidi"/>
      <w:color w:val="595959" w:themeColor="text1" w:themeTint="A6"/>
    </w:rPr>
  </w:style>
  <w:style w:type="character" w:customStyle="1" w:styleId="80">
    <w:name w:val="標題 8 字元"/>
    <w:basedOn w:val="a0"/>
    <w:link w:val="8"/>
    <w:uiPriority w:val="9"/>
    <w:semiHidden/>
    <w:rsid w:val="00DE6133"/>
    <w:rPr>
      <w:rFonts w:eastAsiaTheme="majorEastAsia" w:cstheme="majorBidi"/>
      <w:color w:val="272727" w:themeColor="text1" w:themeTint="D8"/>
    </w:rPr>
  </w:style>
  <w:style w:type="character" w:customStyle="1" w:styleId="90">
    <w:name w:val="標題 9 字元"/>
    <w:basedOn w:val="a0"/>
    <w:link w:val="9"/>
    <w:uiPriority w:val="9"/>
    <w:semiHidden/>
    <w:rsid w:val="00DE6133"/>
    <w:rPr>
      <w:rFonts w:eastAsiaTheme="majorEastAsia" w:cstheme="majorBidi"/>
      <w:color w:val="272727" w:themeColor="text1" w:themeTint="D8"/>
    </w:rPr>
  </w:style>
  <w:style w:type="paragraph" w:styleId="a3">
    <w:name w:val="Title"/>
    <w:basedOn w:val="a"/>
    <w:next w:val="a"/>
    <w:link w:val="a4"/>
    <w:uiPriority w:val="10"/>
    <w:qFormat/>
    <w:rsid w:val="00DE61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E61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61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E61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6133"/>
    <w:pPr>
      <w:spacing w:before="160"/>
      <w:jc w:val="center"/>
    </w:pPr>
    <w:rPr>
      <w:i/>
      <w:iCs/>
      <w:color w:val="404040" w:themeColor="text1" w:themeTint="BF"/>
    </w:rPr>
  </w:style>
  <w:style w:type="character" w:customStyle="1" w:styleId="a8">
    <w:name w:val="引文 字元"/>
    <w:basedOn w:val="a0"/>
    <w:link w:val="a7"/>
    <w:uiPriority w:val="29"/>
    <w:rsid w:val="00DE6133"/>
    <w:rPr>
      <w:i/>
      <w:iCs/>
      <w:color w:val="404040" w:themeColor="text1" w:themeTint="BF"/>
    </w:rPr>
  </w:style>
  <w:style w:type="paragraph" w:styleId="a9">
    <w:name w:val="List Paragraph"/>
    <w:basedOn w:val="a"/>
    <w:uiPriority w:val="34"/>
    <w:qFormat/>
    <w:rsid w:val="00DE6133"/>
    <w:pPr>
      <w:ind w:left="720"/>
      <w:contextualSpacing/>
    </w:pPr>
  </w:style>
  <w:style w:type="character" w:styleId="aa">
    <w:name w:val="Intense Emphasis"/>
    <w:basedOn w:val="a0"/>
    <w:uiPriority w:val="21"/>
    <w:qFormat/>
    <w:rsid w:val="00DE6133"/>
    <w:rPr>
      <w:i/>
      <w:iCs/>
      <w:color w:val="2F5496" w:themeColor="accent1" w:themeShade="BF"/>
    </w:rPr>
  </w:style>
  <w:style w:type="paragraph" w:styleId="ab">
    <w:name w:val="Intense Quote"/>
    <w:basedOn w:val="a"/>
    <w:next w:val="a"/>
    <w:link w:val="ac"/>
    <w:uiPriority w:val="30"/>
    <w:qFormat/>
    <w:rsid w:val="00DE6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DE6133"/>
    <w:rPr>
      <w:i/>
      <w:iCs/>
      <w:color w:val="2F5496" w:themeColor="accent1" w:themeShade="BF"/>
    </w:rPr>
  </w:style>
  <w:style w:type="character" w:styleId="ad">
    <w:name w:val="Intense Reference"/>
    <w:basedOn w:val="a0"/>
    <w:uiPriority w:val="32"/>
    <w:qFormat/>
    <w:rsid w:val="00DE6133"/>
    <w:rPr>
      <w:b/>
      <w:bCs/>
      <w:smallCaps/>
      <w:color w:val="2F5496" w:themeColor="accent1" w:themeShade="BF"/>
      <w:spacing w:val="5"/>
    </w:rPr>
  </w:style>
  <w:style w:type="paragraph" w:styleId="ae">
    <w:name w:val="TOC Heading"/>
    <w:basedOn w:val="1"/>
    <w:next w:val="a"/>
    <w:uiPriority w:val="39"/>
    <w:unhideWhenUsed/>
    <w:qFormat/>
    <w:rsid w:val="002B6C4C"/>
    <w:pPr>
      <w:widowControl/>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2B6C4C"/>
    <w:pPr>
      <w:spacing w:after="0"/>
      <w:ind w:left="240"/>
    </w:pPr>
    <w:rPr>
      <w:rFonts w:cstheme="minorHAnsi"/>
      <w:smallCaps/>
      <w:sz w:val="20"/>
      <w:szCs w:val="20"/>
    </w:rPr>
  </w:style>
  <w:style w:type="paragraph" w:styleId="11">
    <w:name w:val="toc 1"/>
    <w:basedOn w:val="a"/>
    <w:next w:val="a"/>
    <w:autoRedefine/>
    <w:uiPriority w:val="39"/>
    <w:unhideWhenUsed/>
    <w:rsid w:val="002B6C4C"/>
    <w:pPr>
      <w:spacing w:before="120" w:after="120"/>
    </w:pPr>
    <w:rPr>
      <w:rFonts w:cstheme="minorHAnsi"/>
      <w:b/>
      <w:bCs/>
      <w:caps/>
      <w:sz w:val="20"/>
      <w:szCs w:val="20"/>
    </w:rPr>
  </w:style>
  <w:style w:type="paragraph" w:styleId="31">
    <w:name w:val="toc 3"/>
    <w:basedOn w:val="a"/>
    <w:next w:val="a"/>
    <w:autoRedefine/>
    <w:uiPriority w:val="39"/>
    <w:unhideWhenUsed/>
    <w:rsid w:val="002B6C4C"/>
    <w:pPr>
      <w:spacing w:after="0"/>
      <w:ind w:left="480"/>
    </w:pPr>
    <w:rPr>
      <w:rFonts w:cstheme="minorHAnsi"/>
      <w:i/>
      <w:iCs/>
      <w:sz w:val="20"/>
      <w:szCs w:val="20"/>
    </w:rPr>
  </w:style>
  <w:style w:type="paragraph" w:styleId="41">
    <w:name w:val="toc 4"/>
    <w:basedOn w:val="a"/>
    <w:next w:val="a"/>
    <w:autoRedefine/>
    <w:uiPriority w:val="39"/>
    <w:unhideWhenUsed/>
    <w:rsid w:val="008613E4"/>
    <w:pPr>
      <w:spacing w:after="0"/>
      <w:ind w:left="720"/>
    </w:pPr>
    <w:rPr>
      <w:rFonts w:cstheme="minorHAnsi"/>
      <w:sz w:val="18"/>
      <w:szCs w:val="18"/>
    </w:rPr>
  </w:style>
  <w:style w:type="paragraph" w:styleId="51">
    <w:name w:val="toc 5"/>
    <w:basedOn w:val="a"/>
    <w:next w:val="a"/>
    <w:autoRedefine/>
    <w:uiPriority w:val="39"/>
    <w:unhideWhenUsed/>
    <w:rsid w:val="008613E4"/>
    <w:pPr>
      <w:spacing w:after="0"/>
      <w:ind w:left="960"/>
    </w:pPr>
    <w:rPr>
      <w:rFonts w:cstheme="minorHAnsi"/>
      <w:sz w:val="18"/>
      <w:szCs w:val="18"/>
    </w:rPr>
  </w:style>
  <w:style w:type="paragraph" w:styleId="61">
    <w:name w:val="toc 6"/>
    <w:basedOn w:val="a"/>
    <w:next w:val="a"/>
    <w:autoRedefine/>
    <w:uiPriority w:val="39"/>
    <w:unhideWhenUsed/>
    <w:rsid w:val="008613E4"/>
    <w:pPr>
      <w:spacing w:after="0"/>
      <w:ind w:left="1200"/>
    </w:pPr>
    <w:rPr>
      <w:rFonts w:cstheme="minorHAnsi"/>
      <w:sz w:val="18"/>
      <w:szCs w:val="18"/>
    </w:rPr>
  </w:style>
  <w:style w:type="paragraph" w:styleId="71">
    <w:name w:val="toc 7"/>
    <w:basedOn w:val="a"/>
    <w:next w:val="a"/>
    <w:autoRedefine/>
    <w:uiPriority w:val="39"/>
    <w:unhideWhenUsed/>
    <w:rsid w:val="008613E4"/>
    <w:pPr>
      <w:spacing w:after="0"/>
      <w:ind w:left="1440"/>
    </w:pPr>
    <w:rPr>
      <w:rFonts w:cstheme="minorHAnsi"/>
      <w:sz w:val="18"/>
      <w:szCs w:val="18"/>
    </w:rPr>
  </w:style>
  <w:style w:type="paragraph" w:styleId="81">
    <w:name w:val="toc 8"/>
    <w:basedOn w:val="a"/>
    <w:next w:val="a"/>
    <w:autoRedefine/>
    <w:uiPriority w:val="39"/>
    <w:unhideWhenUsed/>
    <w:rsid w:val="008613E4"/>
    <w:pPr>
      <w:spacing w:after="0"/>
      <w:ind w:left="1680"/>
    </w:pPr>
    <w:rPr>
      <w:rFonts w:cstheme="minorHAnsi"/>
      <w:sz w:val="18"/>
      <w:szCs w:val="18"/>
    </w:rPr>
  </w:style>
  <w:style w:type="paragraph" w:styleId="91">
    <w:name w:val="toc 9"/>
    <w:basedOn w:val="a"/>
    <w:next w:val="a"/>
    <w:autoRedefine/>
    <w:uiPriority w:val="39"/>
    <w:unhideWhenUsed/>
    <w:rsid w:val="008613E4"/>
    <w:pPr>
      <w:spacing w:after="0"/>
      <w:ind w:left="1920"/>
    </w:pPr>
    <w:rPr>
      <w:rFonts w:cstheme="minorHAnsi"/>
      <w:sz w:val="18"/>
      <w:szCs w:val="18"/>
    </w:rPr>
  </w:style>
  <w:style w:type="character" w:styleId="af">
    <w:name w:val="Placeholder Text"/>
    <w:basedOn w:val="a0"/>
    <w:uiPriority w:val="99"/>
    <w:semiHidden/>
    <w:rsid w:val="00523799"/>
    <w:rPr>
      <w:color w:val="666666"/>
    </w:rPr>
  </w:style>
  <w:style w:type="character" w:styleId="af0">
    <w:name w:val="Hyperlink"/>
    <w:basedOn w:val="a0"/>
    <w:uiPriority w:val="99"/>
    <w:unhideWhenUsed/>
    <w:rsid w:val="00B164D4"/>
    <w:rPr>
      <w:color w:val="0563C1" w:themeColor="hyperlink"/>
      <w:u w:val="single"/>
    </w:rPr>
  </w:style>
  <w:style w:type="character" w:styleId="af1">
    <w:name w:val="Unresolved Mention"/>
    <w:basedOn w:val="a0"/>
    <w:uiPriority w:val="99"/>
    <w:semiHidden/>
    <w:unhideWhenUsed/>
    <w:rsid w:val="00B164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aipnews.naipo.com/2225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E0A66-9EA6-497A-A4B3-EB69C5C9B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1211</Words>
  <Characters>6905</Characters>
  <Application>Microsoft Office Word</Application>
  <DocSecurity>0</DocSecurity>
  <Lines>57</Lines>
  <Paragraphs>16</Paragraphs>
  <ScaleCrop>false</ScaleCrop>
  <Company/>
  <LinksUpToDate>false</LinksUpToDate>
  <CharactersWithSpaces>8100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信全 陳</dc:creator>
  <cp:keywords/>
  <dc:description/>
  <cp:lastModifiedBy>信全 陳</cp:lastModifiedBy>
  <cp:revision>2</cp:revision>
  <dcterms:created xsi:type="dcterms:W3CDTF">2026-01-27T06:28:00Z</dcterms:created>
  <dcterms:modified xsi:type="dcterms:W3CDTF">2026-01-27T11:30:00Z</dcterms:modified>
</cp:coreProperties>
</file>