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0D5968D9" w14:textId="13C5EEEB" w:rsidR="00313AC5" w:rsidRPr="00313AC5" w:rsidRDefault="00313AC5" w:rsidP="00313AC5">
      <w:pPr>
        <w:spacing w:before="120" w:after="80" w:line="240" w:lineRule="auto"/>
        <w:rPr>
          <w:b/>
          <w:sz w:val="28"/>
          <w:lang w:eastAsia="zh-TW"/>
        </w:rPr>
      </w:pPr>
      <w:r w:rsidRPr="00313AC5">
        <w:rPr>
          <w:rFonts w:hint="eastAsia"/>
          <w:b/>
          <w:sz w:val="28"/>
          <w:lang w:eastAsia="zh-TW"/>
        </w:rPr>
        <w:t>一、實證法律研究與智慧財產權裁判資料</w:t>
      </w:r>
    </w:p>
    <w:p w14:paraId="4089668B" w14:textId="5203FD42" w:rsidR="00313AC5" w:rsidRDefault="00313AC5" w:rsidP="00313AC5">
      <w:pPr>
        <w:spacing w:after="120" w:line="240" w:lineRule="auto"/>
        <w:ind w:firstLine="482"/>
        <w:jc w:val="both"/>
        <w:rPr>
          <w:lang w:eastAsia="zh-TW"/>
        </w:rPr>
      </w:pPr>
      <w:r>
        <w:rPr>
          <w:rFonts w:hint="eastAsia"/>
          <w:lang w:eastAsia="zh-TW"/>
        </w:rPr>
        <w:t>實證法律研究強調以資料觀察法律制度的實際運作，並透過統計分析、計量方法或文字探勘，檢視法院裁判、司法行為與訴訟結果所呈現之規律。相較於傳統法學研究主要透過法規、判決與學說探討法律應如何解釋與適用，實證法律研究更關注法律制度在大量案件中的實際運作。法院裁判書包含案件事實、當事人主張、法律適用、法院理由與裁判結果，因此不僅是法理分析的文本，也可轉化為可觀察與可檢驗的研究資料。既有研究已運用大量司法資料分析裁判行為。例如，</w:t>
      </w:r>
      <w:r>
        <w:rPr>
          <w:rFonts w:hint="eastAsia"/>
          <w:lang w:eastAsia="zh-TW"/>
        </w:rPr>
        <w:t>Eren and Mocan</w:t>
      </w:r>
      <w:r>
        <w:rPr>
          <w:rFonts w:hint="eastAsia"/>
          <w:lang w:eastAsia="zh-TW"/>
        </w:rPr>
        <w:t>（</w:t>
      </w:r>
      <w:r>
        <w:rPr>
          <w:rFonts w:hint="eastAsia"/>
          <w:lang w:eastAsia="zh-TW"/>
        </w:rPr>
        <w:t>2018</w:t>
      </w:r>
      <w:r>
        <w:rPr>
          <w:rFonts w:hint="eastAsia"/>
          <w:lang w:eastAsia="zh-TW"/>
        </w:rPr>
        <w:t>）探討外部事件與法官量刑決策之關聯，</w:t>
      </w:r>
      <w:r>
        <w:rPr>
          <w:rFonts w:hint="eastAsia"/>
          <w:lang w:eastAsia="zh-TW"/>
        </w:rPr>
        <w:t>Heyes and Saberian</w:t>
      </w:r>
      <w:r>
        <w:rPr>
          <w:rFonts w:hint="eastAsia"/>
          <w:lang w:eastAsia="zh-TW"/>
        </w:rPr>
        <w:t>（</w:t>
      </w:r>
      <w:r>
        <w:rPr>
          <w:rFonts w:hint="eastAsia"/>
          <w:lang w:eastAsia="zh-TW"/>
        </w:rPr>
        <w:t>2019</w:t>
      </w:r>
      <w:r>
        <w:rPr>
          <w:rFonts w:hint="eastAsia"/>
          <w:lang w:eastAsia="zh-TW"/>
        </w:rPr>
        <w:t>）則分析氣溫與移民法院裁決結果之關係。在臺灣，林常青（</w:t>
      </w:r>
      <w:r>
        <w:rPr>
          <w:rFonts w:hint="eastAsia"/>
          <w:lang w:eastAsia="zh-TW"/>
        </w:rPr>
        <w:t>2019</w:t>
      </w:r>
      <w:r>
        <w:rPr>
          <w:rFonts w:hint="eastAsia"/>
          <w:lang w:eastAsia="zh-TW"/>
        </w:rPr>
        <w:t>）指出，司法院公開裁判資料具有樣本規模大、可跨年度累積及包含完整裁判內容等優勢；</w:t>
      </w:r>
      <w:r>
        <w:rPr>
          <w:rFonts w:hint="eastAsia"/>
          <w:lang w:eastAsia="zh-TW"/>
        </w:rPr>
        <w:t>Chen et al.</w:t>
      </w:r>
      <w:r>
        <w:rPr>
          <w:rFonts w:hint="eastAsia"/>
          <w:lang w:eastAsia="zh-TW"/>
        </w:rPr>
        <w:t>（</w:t>
      </w:r>
      <w:r>
        <w:rPr>
          <w:rFonts w:hint="eastAsia"/>
          <w:lang w:eastAsia="zh-TW"/>
        </w:rPr>
        <w:t>2015</w:t>
      </w:r>
      <w:r>
        <w:rPr>
          <w:rFonts w:hint="eastAsia"/>
          <w:lang w:eastAsia="zh-TW"/>
        </w:rPr>
        <w:t>）亦利用法院案件資料分析訴訟資源、法院偏好與裁判結果之關聯。上述研究顯示，法院裁判資料可作為觀察司法制度與裁判結果的重要實證基礎。</w:t>
      </w:r>
    </w:p>
    <w:p w14:paraId="381DB22A" w14:textId="7E17A324" w:rsidR="00313AC5" w:rsidRDefault="00313AC5" w:rsidP="00313AC5">
      <w:pPr>
        <w:spacing w:after="120" w:line="240" w:lineRule="auto"/>
        <w:ind w:firstLine="482"/>
        <w:jc w:val="both"/>
        <w:rPr>
          <w:lang w:eastAsia="zh-TW"/>
        </w:rPr>
      </w:pPr>
      <w:r>
        <w:rPr>
          <w:rFonts w:hint="eastAsia"/>
          <w:lang w:eastAsia="zh-TW"/>
        </w:rPr>
        <w:lastRenderedPageBreak/>
        <w:t>在智慧財產權領域，既有研究多聚焦於特定法律爭點、法院制度或裁判結果。張添榜、王立達與劉尚志（</w:t>
      </w:r>
      <w:r>
        <w:rPr>
          <w:rFonts w:hint="eastAsia"/>
          <w:lang w:eastAsia="zh-TW"/>
        </w:rPr>
        <w:t>2013</w:t>
      </w:r>
      <w:r>
        <w:rPr>
          <w:rFonts w:hint="eastAsia"/>
          <w:lang w:eastAsia="zh-TW"/>
        </w:rPr>
        <w:t>）探討專利均等論之司法適用，說明專利權範圍解釋具有法律與技術上的複雜性；陳秉訓（</w:t>
      </w:r>
      <w:r>
        <w:rPr>
          <w:rFonts w:hint="eastAsia"/>
          <w:lang w:eastAsia="zh-TW"/>
        </w:rPr>
        <w:t>2021</w:t>
      </w:r>
      <w:r>
        <w:rPr>
          <w:rFonts w:hint="eastAsia"/>
          <w:lang w:eastAsia="zh-TW"/>
        </w:rPr>
        <w:t>）則分析方法專利涉及複數執行者時之侵權問題。郭建中與陳羿愷（</w:t>
      </w:r>
      <w:r>
        <w:rPr>
          <w:rFonts w:hint="eastAsia"/>
          <w:lang w:eastAsia="zh-TW"/>
        </w:rPr>
        <w:t>2020</w:t>
      </w:r>
      <w:r>
        <w:rPr>
          <w:rFonts w:hint="eastAsia"/>
          <w:lang w:eastAsia="zh-TW"/>
        </w:rPr>
        <w:t>）從智慧財產法院民事訴訟資料整理勝訴率、賠償金額及訴訟結果，以呈現智慧財產案件之實際運作情形。然而，既有臺灣智慧財產權研究多著重法律爭點、制度運作、勝訴率或損害賠償，較少利用大規模裁判全文，比較不同案件類型之文字特徵與裁判結果分類表現。此外，行政、民事、刑事與刑事附帶民事案件在法律程序、文本結構、當事人角色與裁判結果分布上皆可能不同。若將不同案件類型直接混合建模，模型可能主要辨識案件類型差異，而非同一案件類型內的裁判結果差異。因此，本文將四類案件分別建模，以檢視不同法律程序下文字特徵與分類表現之差異。</w:t>
      </w:r>
    </w:p>
    <w:p w14:paraId="1271816E" w14:textId="384ABE05" w:rsidR="00313AC5" w:rsidRPr="00313AC5" w:rsidRDefault="00313AC5" w:rsidP="00313AC5">
      <w:pPr>
        <w:spacing w:before="120" w:after="80" w:line="240" w:lineRule="auto"/>
        <w:rPr>
          <w:b/>
          <w:sz w:val="28"/>
          <w:lang w:eastAsia="zh-TW"/>
        </w:rPr>
      </w:pPr>
      <w:r w:rsidRPr="00313AC5">
        <w:rPr>
          <w:rFonts w:hint="eastAsia"/>
          <w:b/>
          <w:sz w:val="28"/>
          <w:lang w:eastAsia="zh-TW"/>
        </w:rPr>
        <w:t>二、法律文本之特徵表示</w:t>
      </w:r>
    </w:p>
    <w:p w14:paraId="505D72BD" w14:textId="14B67F9F" w:rsidR="00313AC5" w:rsidRDefault="00313AC5" w:rsidP="00313AC5">
      <w:pPr>
        <w:spacing w:after="120" w:line="240" w:lineRule="auto"/>
        <w:ind w:firstLine="482"/>
        <w:jc w:val="both"/>
        <w:rPr>
          <w:lang w:eastAsia="zh-TW"/>
        </w:rPr>
      </w:pPr>
      <w:r>
        <w:rPr>
          <w:rFonts w:hint="eastAsia"/>
          <w:lang w:eastAsia="zh-TW"/>
        </w:rPr>
        <w:t>文字探勘與文本分類的首要步驟，是將非結構化文字轉換為模型可處理的數值特徵。常見的傳統文字特徵包括詞袋模型（</w:t>
      </w:r>
      <w:r>
        <w:rPr>
          <w:rFonts w:hint="eastAsia"/>
          <w:lang w:eastAsia="zh-TW"/>
        </w:rPr>
        <w:t>Bag-of-Words, BoW</w:t>
      </w:r>
      <w:r>
        <w:rPr>
          <w:rFonts w:hint="eastAsia"/>
          <w:lang w:eastAsia="zh-TW"/>
        </w:rPr>
        <w:t>）、詞頻表示（</w:t>
      </w:r>
      <w:r>
        <w:rPr>
          <w:rFonts w:hint="eastAsia"/>
          <w:lang w:eastAsia="zh-TW"/>
        </w:rPr>
        <w:t>Term Frequency, TF</w:t>
      </w:r>
      <w:r>
        <w:rPr>
          <w:rFonts w:hint="eastAsia"/>
          <w:lang w:eastAsia="zh-TW"/>
        </w:rPr>
        <w:t>）及詞頻－逆文件頻率（</w:t>
      </w:r>
      <w:r>
        <w:rPr>
          <w:rFonts w:hint="eastAsia"/>
          <w:lang w:eastAsia="zh-TW"/>
        </w:rPr>
        <w:t>Term Frequency-Inverse Document Frequency, TF-IDF</w:t>
      </w:r>
      <w:r>
        <w:rPr>
          <w:rFonts w:hint="eastAsia"/>
          <w:lang w:eastAsia="zh-TW"/>
        </w:rPr>
        <w:t>）。</w:t>
      </w:r>
      <w:r>
        <w:rPr>
          <w:rFonts w:hint="eastAsia"/>
          <w:lang w:eastAsia="zh-TW"/>
        </w:rPr>
        <w:t>BoW</w:t>
      </w:r>
      <w:r>
        <w:rPr>
          <w:rFonts w:hint="eastAsia"/>
          <w:lang w:eastAsia="zh-TW"/>
        </w:rPr>
        <w:t>以詞彙原始出現次數建立文件－詞彙矩陣；</w:t>
      </w:r>
      <w:r>
        <w:rPr>
          <w:rFonts w:hint="eastAsia"/>
          <w:lang w:eastAsia="zh-TW"/>
        </w:rPr>
        <w:t>TF</w:t>
      </w:r>
      <w:r>
        <w:rPr>
          <w:rFonts w:hint="eastAsia"/>
          <w:lang w:eastAsia="zh-TW"/>
        </w:rPr>
        <w:t>將詞彙次數轉換為單篇文件中的相對頻率，以降低文件長度差異；</w:t>
      </w:r>
      <w:r>
        <w:rPr>
          <w:rFonts w:hint="eastAsia"/>
          <w:lang w:eastAsia="zh-TW"/>
        </w:rPr>
        <w:t>TF-IDF</w:t>
      </w:r>
      <w:r>
        <w:rPr>
          <w:rFonts w:hint="eastAsia"/>
          <w:lang w:eastAsia="zh-TW"/>
        </w:rPr>
        <w:t>則同時考量詞彙在個別文件中的出現程度及其在整體語料中的普遍程度，降低常見詞彙權重並強化相對具區辨力之詞彙（</w:t>
      </w:r>
      <w:r>
        <w:rPr>
          <w:rFonts w:hint="eastAsia"/>
          <w:lang w:eastAsia="zh-TW"/>
        </w:rPr>
        <w:t>Manning, Raghavan, &amp; Sch</w:t>
      </w:r>
      <w:r>
        <w:rPr>
          <w:rFonts w:hint="eastAsia"/>
          <w:lang w:eastAsia="zh-TW"/>
        </w:rPr>
        <w:t>ü</w:t>
      </w:r>
      <w:r>
        <w:rPr>
          <w:rFonts w:hint="eastAsia"/>
          <w:lang w:eastAsia="zh-TW"/>
        </w:rPr>
        <w:t>tze, 2009</w:t>
      </w:r>
      <w:r>
        <w:rPr>
          <w:rFonts w:hint="eastAsia"/>
          <w:lang w:eastAsia="zh-TW"/>
        </w:rPr>
        <w:t>）。</w:t>
      </w:r>
    </w:p>
    <w:p w14:paraId="29EF6C2F" w14:textId="2F55013C" w:rsidR="00313AC5" w:rsidRDefault="00313AC5" w:rsidP="002D3E45">
      <w:pPr>
        <w:spacing w:after="120" w:line="240" w:lineRule="auto"/>
        <w:ind w:firstLine="482"/>
        <w:jc w:val="both"/>
        <w:rPr>
          <w:lang w:eastAsia="zh-TW"/>
        </w:rPr>
      </w:pPr>
      <w:r>
        <w:rPr>
          <w:rFonts w:hint="eastAsia"/>
          <w:lang w:eastAsia="zh-TW"/>
        </w:rPr>
        <w:t>法律文本具有高度制度化與專業化特徵。裁判書經常出現固定法律語彙，例如構成要件、程序判斷、證據評價、請求權基礎及裁判理由；智慧財產權案件亦涉及專利範圍、均等論、商標近似、混淆誤認、著作利用及營業秘密等專門用語。因此，即使</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無法直接處理詞序、句法及長距離語意，詞彙本身的出現與分布仍可能包含與案件爭點及裁判結果相關的分類訊號。傳統稀疏文字特徵亦具有計算成本較低、容易重複實作及特徵來源較具可追溯性等優點，可作為複雜模型之比較基準。另一方面，長篇法律文件仍面臨模型輸入長度、文件結構及運算成本等問題（</w:t>
      </w:r>
      <w:r>
        <w:rPr>
          <w:rFonts w:hint="eastAsia"/>
          <w:lang w:eastAsia="zh-TW"/>
        </w:rPr>
        <w:t>Mamakas et al., 2022</w:t>
      </w:r>
      <w:r>
        <w:rPr>
          <w:rFonts w:hint="eastAsia"/>
          <w:lang w:eastAsia="zh-TW"/>
        </w:rPr>
        <w:t>），因此較複雜的語意模型未必適用所有法律文本任務，模型效果仍可能受到資料規模、文本長度、案件類型及分類目標影響。不過，傳統文字特徵仍存在限制。第一，</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多半忽略詞序與上下文關係，難以直接呈現法院完整推論過程。第二，若裁判全文包含與結果高度相關的固定語句，模型可能學習結果附近之文字線索，而非案件事實或法律理由。因此，本文將三種稀疏文字特徵定位為具比較價值的基準表示，並檢視其在不同案件類型及少數類別上的相對表現。</w:t>
      </w:r>
    </w:p>
    <w:p w14:paraId="2602A4D3" w14:textId="236A20AF" w:rsidR="00313AC5" w:rsidRPr="00313AC5" w:rsidRDefault="00313AC5" w:rsidP="00313AC5">
      <w:pPr>
        <w:spacing w:before="120" w:after="80" w:line="240" w:lineRule="auto"/>
        <w:rPr>
          <w:b/>
          <w:sz w:val="28"/>
          <w:lang w:eastAsia="zh-TW"/>
        </w:rPr>
      </w:pPr>
      <w:r w:rsidRPr="00313AC5">
        <w:rPr>
          <w:rFonts w:hint="eastAsia"/>
          <w:b/>
          <w:sz w:val="28"/>
          <w:lang w:eastAsia="zh-TW"/>
        </w:rPr>
        <w:t>三、法律判決預測、模型透明性與本研究定位</w:t>
      </w:r>
    </w:p>
    <w:p w14:paraId="78F319D4" w14:textId="6F4C2697" w:rsidR="00313AC5" w:rsidRDefault="00313AC5" w:rsidP="002D3E45">
      <w:pPr>
        <w:spacing w:after="120" w:line="240" w:lineRule="auto"/>
        <w:ind w:firstLine="482"/>
        <w:jc w:val="both"/>
        <w:rPr>
          <w:lang w:eastAsia="zh-TW"/>
        </w:rPr>
      </w:pPr>
      <w:r>
        <w:rPr>
          <w:rFonts w:hint="eastAsia"/>
          <w:lang w:eastAsia="zh-TW"/>
        </w:rPr>
        <w:t>法律判決預測（</w:t>
      </w:r>
      <w:r>
        <w:rPr>
          <w:rFonts w:hint="eastAsia"/>
          <w:lang w:eastAsia="zh-TW"/>
        </w:rPr>
        <w:t>Legal Judgment Prediction, LJP</w:t>
      </w:r>
      <w:r>
        <w:rPr>
          <w:rFonts w:hint="eastAsia"/>
          <w:lang w:eastAsia="zh-TW"/>
        </w:rPr>
        <w:t>）是法律人工智慧的重要研究任務，其目的在於利用案件事實、法律文本、法院理由或其他案件資訊，預測或分類可能的法律結果。既有研究已涵蓋不同法院、法律領域及任務形式。例如，</w:t>
      </w:r>
      <w:r>
        <w:rPr>
          <w:rFonts w:hint="eastAsia"/>
          <w:lang w:eastAsia="zh-TW"/>
        </w:rPr>
        <w:t>Aletras et al.</w:t>
      </w:r>
      <w:r>
        <w:rPr>
          <w:rFonts w:hint="eastAsia"/>
          <w:lang w:eastAsia="zh-TW"/>
        </w:rPr>
        <w:t>（</w:t>
      </w:r>
      <w:r>
        <w:rPr>
          <w:rFonts w:hint="eastAsia"/>
          <w:lang w:eastAsia="zh-TW"/>
        </w:rPr>
        <w:t>2016</w:t>
      </w:r>
      <w:r>
        <w:rPr>
          <w:rFonts w:hint="eastAsia"/>
          <w:lang w:eastAsia="zh-TW"/>
        </w:rPr>
        <w:t>）利用歐洲人權法院案件文本預測是否違反公約條文；</w:t>
      </w:r>
      <w:r>
        <w:rPr>
          <w:rFonts w:hint="eastAsia"/>
          <w:lang w:eastAsia="zh-TW"/>
        </w:rPr>
        <w:t>Surdeanu et al.</w:t>
      </w:r>
      <w:r>
        <w:rPr>
          <w:rFonts w:hint="eastAsia"/>
          <w:lang w:eastAsia="zh-TW"/>
        </w:rPr>
        <w:t>（</w:t>
      </w:r>
      <w:r>
        <w:rPr>
          <w:rFonts w:hint="eastAsia"/>
          <w:lang w:eastAsia="zh-TW"/>
        </w:rPr>
        <w:t>2011</w:t>
      </w:r>
      <w:r>
        <w:rPr>
          <w:rFonts w:hint="eastAsia"/>
          <w:lang w:eastAsia="zh-TW"/>
        </w:rPr>
        <w:t>）則針對智慧財產權訴訟進行風險分析。</w:t>
      </w:r>
      <w:r w:rsidR="006C2E8B" w:rsidRPr="006C2E8B">
        <w:rPr>
          <w:lang w:eastAsia="zh-TW"/>
        </w:rPr>
        <w:t>既有研究顯示，法律判決預測並不限於二元勝敗分類。</w:t>
      </w:r>
      <w:r w:rsidR="006C2E8B" w:rsidRPr="006C2E8B">
        <w:rPr>
          <w:lang w:eastAsia="zh-TW"/>
        </w:rPr>
        <w:t>Chalkidis et al.</w:t>
      </w:r>
      <w:r w:rsidR="006C2E8B" w:rsidRPr="006C2E8B">
        <w:rPr>
          <w:lang w:eastAsia="zh-TW"/>
        </w:rPr>
        <w:t>（</w:t>
      </w:r>
      <w:r w:rsidR="006C2E8B" w:rsidRPr="006C2E8B">
        <w:rPr>
          <w:lang w:eastAsia="zh-TW"/>
        </w:rPr>
        <w:t>2019</w:t>
      </w:r>
      <w:r w:rsidR="006C2E8B" w:rsidRPr="006C2E8B">
        <w:rPr>
          <w:lang w:eastAsia="zh-TW"/>
        </w:rPr>
        <w:t>）以歐洲人權法院案件進行違反與否、多標籤及案件重要性分類；</w:t>
      </w:r>
      <w:r w:rsidR="006C2E8B" w:rsidRPr="006C2E8B">
        <w:rPr>
          <w:lang w:eastAsia="zh-TW"/>
        </w:rPr>
        <w:t>Feng et al.</w:t>
      </w:r>
      <w:r w:rsidR="006C2E8B" w:rsidRPr="006C2E8B">
        <w:rPr>
          <w:lang w:eastAsia="zh-TW"/>
        </w:rPr>
        <w:t>（</w:t>
      </w:r>
      <w:r w:rsidR="006C2E8B" w:rsidRPr="006C2E8B">
        <w:rPr>
          <w:lang w:eastAsia="zh-TW"/>
        </w:rPr>
        <w:t>2022</w:t>
      </w:r>
      <w:r w:rsidR="006C2E8B" w:rsidRPr="006C2E8B">
        <w:rPr>
          <w:lang w:eastAsia="zh-TW"/>
        </w:rPr>
        <w:t>）則整理指出，</w:t>
      </w:r>
      <w:r w:rsidR="006C2E8B" w:rsidRPr="006C2E8B">
        <w:rPr>
          <w:lang w:eastAsia="zh-TW"/>
        </w:rPr>
        <w:t>LJP</w:t>
      </w:r>
      <w:r w:rsidR="006C2E8B" w:rsidRPr="006C2E8B">
        <w:rPr>
          <w:lang w:eastAsia="zh-TW"/>
        </w:rPr>
        <w:t>研究亦涵蓋法條預測、罪名預測、刑期預測與多任務學習等不同形式</w:t>
      </w:r>
      <w:r>
        <w:rPr>
          <w:rFonts w:hint="eastAsia"/>
          <w:lang w:eastAsia="zh-TW"/>
        </w:rPr>
        <w:t>；</w:t>
      </w:r>
      <w:r>
        <w:rPr>
          <w:rFonts w:hint="eastAsia"/>
          <w:lang w:eastAsia="zh-TW"/>
        </w:rPr>
        <w:t>Yang et al.</w:t>
      </w:r>
      <w:r>
        <w:rPr>
          <w:rFonts w:hint="eastAsia"/>
          <w:lang w:eastAsia="zh-TW"/>
        </w:rPr>
        <w:t>（</w:t>
      </w:r>
      <w:r>
        <w:rPr>
          <w:rFonts w:hint="eastAsia"/>
          <w:lang w:eastAsia="zh-TW"/>
        </w:rPr>
        <w:t>2022</w:t>
      </w:r>
      <w:r>
        <w:rPr>
          <w:rFonts w:hint="eastAsia"/>
          <w:lang w:eastAsia="zh-TW"/>
        </w:rPr>
        <w:t>）則透過多任務架構整合法律關鍵詞與多視角資訊進行預測。近年深度學習與預訓練語言模型逐漸應用於法律文本分析。</w:t>
      </w:r>
      <w:r>
        <w:rPr>
          <w:rFonts w:hint="eastAsia"/>
          <w:lang w:eastAsia="zh-TW"/>
        </w:rPr>
        <w:t>Alghazzawi et al.</w:t>
      </w:r>
      <w:r>
        <w:rPr>
          <w:rFonts w:hint="eastAsia"/>
          <w:lang w:eastAsia="zh-TW"/>
        </w:rPr>
        <w:t>（</w:t>
      </w:r>
      <w:r>
        <w:rPr>
          <w:rFonts w:hint="eastAsia"/>
          <w:lang w:eastAsia="zh-TW"/>
        </w:rPr>
        <w:t>2022</w:t>
      </w:r>
      <w:r>
        <w:rPr>
          <w:rFonts w:hint="eastAsia"/>
          <w:lang w:eastAsia="zh-TW"/>
        </w:rPr>
        <w:t>）結合長短期記憶網路與卷積神經網路進行法院判決預測，顯示深度模型具有處理較複雜語意與上下文關係的潛力。然而，複雜模型通常需要較高</w:t>
      </w:r>
      <w:r>
        <w:rPr>
          <w:rFonts w:hint="eastAsia"/>
          <w:lang w:eastAsia="zh-TW"/>
        </w:rPr>
        <w:lastRenderedPageBreak/>
        <w:t>運算資源，其內部運算及預測依據亦較難直接追溯。司法應用涉及當事人權益與法律理由，因此模型評估不應只考量整體預測分數，也應檢視不同裁判結果類別之辨識能力，以及模型是否可能依賴表面文字線索（</w:t>
      </w:r>
      <w:r>
        <w:rPr>
          <w:rFonts w:hint="eastAsia"/>
          <w:lang w:eastAsia="zh-TW"/>
        </w:rPr>
        <w:t>Ariai, Mackenzie, &amp; Demartini, 2025</w:t>
      </w:r>
      <w:r>
        <w:rPr>
          <w:rFonts w:hint="eastAsia"/>
          <w:lang w:eastAsia="zh-TW"/>
        </w:rPr>
        <w:t>）。相較之下，傳統稀疏文字特徵與線性</w:t>
      </w:r>
      <w:r>
        <w:rPr>
          <w:rFonts w:hint="eastAsia"/>
          <w:lang w:eastAsia="zh-TW"/>
        </w:rPr>
        <w:t>SVM</w:t>
      </w:r>
      <w:r>
        <w:rPr>
          <w:rFonts w:hint="eastAsia"/>
          <w:lang w:eastAsia="zh-TW"/>
        </w:rPr>
        <w:t>具有較簡單的模型結構，且較容易搭配特徵權重、代表性詞彙及錯誤案例進行後續分析，因此適合作為相對透明且具可追溯性的基準流程。不過，較簡單的模型並不等同於已完成模型解釋，仍須進一步分析</w:t>
      </w:r>
      <w:r>
        <w:rPr>
          <w:rFonts w:hint="eastAsia"/>
          <w:lang w:eastAsia="zh-TW"/>
        </w:rPr>
        <w:t>SVM</w:t>
      </w:r>
      <w:r>
        <w:rPr>
          <w:rFonts w:hint="eastAsia"/>
          <w:lang w:eastAsia="zh-TW"/>
        </w:rPr>
        <w:t>權重、重要詞彙或錯誤案例，才能判斷模型實際依賴何種文字資訊。此外，本文使用裁判全文進行裁判結果分類，與利用裁判前可取得資訊進行事前勝敗預測有所不同。雖然本文已移除「駁回」、「有理由」、「准許」及「撤銷」等明顯裁判結果詞彙，但裁判全文仍可能保留間接結果線索。因此，本研究目的在於檢驗裁判文本中是否存在可供模型辨識之結果相關訊號，並比較不同文字特徵與模型流程之分類效果，而非建立可直接用於訴訟前勝敗預測或取代法律專業判斷之工具。</w:t>
      </w:r>
    </w:p>
    <w:p w14:paraId="3512FD4D" w14:textId="3B163651" w:rsidR="00313AC5" w:rsidRDefault="00313AC5" w:rsidP="00313AC5">
      <w:pPr>
        <w:spacing w:after="120" w:line="240" w:lineRule="auto"/>
        <w:ind w:firstLine="482"/>
        <w:jc w:val="both"/>
        <w:rPr>
          <w:lang w:eastAsia="zh-TW"/>
        </w:rPr>
      </w:pPr>
      <w:r>
        <w:rPr>
          <w:rFonts w:hint="eastAsia"/>
          <w:lang w:eastAsia="zh-TW"/>
        </w:rPr>
        <w:t>基於上述定位，本文未將</w:t>
      </w:r>
      <w:r>
        <w:rPr>
          <w:rFonts w:hint="eastAsia"/>
          <w:lang w:eastAsia="zh-TW"/>
        </w:rPr>
        <w:t>BERT</w:t>
      </w:r>
      <w:r>
        <w:rPr>
          <w:rFonts w:hint="eastAsia"/>
          <w:lang w:eastAsia="zh-TW"/>
        </w:rPr>
        <w:t>、</w:t>
      </w:r>
      <w:r>
        <w:rPr>
          <w:rFonts w:hint="eastAsia"/>
          <w:lang w:eastAsia="zh-TW"/>
        </w:rPr>
        <w:t>Transformer</w:t>
      </w:r>
      <w:r>
        <w:rPr>
          <w:rFonts w:hint="eastAsia"/>
          <w:lang w:eastAsia="zh-TW"/>
        </w:rPr>
        <w:t>或大型語言模型納入主要分類流程。本研究目的並非比較所有模型的最高預測效能，而是檢驗</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w:t>
      </w:r>
      <w:r>
        <w:rPr>
          <w:rFonts w:hint="eastAsia"/>
          <w:lang w:eastAsia="zh-TW"/>
        </w:rPr>
        <w:t>MNIR</w:t>
      </w:r>
      <w:r>
        <w:rPr>
          <w:rFonts w:hint="eastAsia"/>
          <w:lang w:eastAsia="zh-TW"/>
        </w:rPr>
        <w:t>與</w:t>
      </w:r>
      <w:r>
        <w:rPr>
          <w:rFonts w:hint="eastAsia"/>
          <w:lang w:eastAsia="zh-TW"/>
        </w:rPr>
        <w:t>SVM</w:t>
      </w:r>
      <w:r>
        <w:rPr>
          <w:rFonts w:hint="eastAsia"/>
          <w:lang w:eastAsia="zh-TW"/>
        </w:rPr>
        <w:t>在臺灣智慧財產權判決分類中的相對效果，並建立計算成本較低、容易重複實作且特徵來源較具可追溯性的基準流程。預訓練語言模型與大型語言模型雖具有較強的語意表徵能力，但仍涉及較高運算需求、長文本處理及模型結果解釋等問題（</w:t>
      </w:r>
      <w:r>
        <w:rPr>
          <w:rFonts w:hint="eastAsia"/>
          <w:lang w:eastAsia="zh-TW"/>
        </w:rPr>
        <w:t>Mamakas et al., 2022</w:t>
      </w:r>
      <w:r>
        <w:rPr>
          <w:rFonts w:hint="eastAsia"/>
          <w:lang w:eastAsia="zh-TW"/>
        </w:rPr>
        <w:t>；</w:t>
      </w:r>
      <w:r>
        <w:rPr>
          <w:rFonts w:hint="eastAsia"/>
          <w:lang w:eastAsia="zh-TW"/>
        </w:rPr>
        <w:t>Ariai et al., 2025</w:t>
      </w:r>
      <w:r>
        <w:rPr>
          <w:rFonts w:hint="eastAsia"/>
          <w:lang w:eastAsia="zh-TW"/>
        </w:rPr>
        <w:t>），其與本文基準流程之效能差異及適用情境，留待後續研究進一步比較。</w:t>
      </w:r>
    </w:p>
    <w:p w14:paraId="04324756" w14:textId="2C0E4913" w:rsidR="00313AC5" w:rsidRPr="00313AC5" w:rsidRDefault="00313AC5" w:rsidP="00313AC5">
      <w:pPr>
        <w:spacing w:before="120" w:after="80" w:line="240" w:lineRule="auto"/>
        <w:rPr>
          <w:b/>
          <w:sz w:val="28"/>
          <w:lang w:eastAsia="zh-TW"/>
        </w:rPr>
      </w:pPr>
      <w:r w:rsidRPr="00313AC5">
        <w:rPr>
          <w:rFonts w:hint="eastAsia"/>
          <w:b/>
          <w:sz w:val="28"/>
          <w:lang w:eastAsia="zh-TW"/>
        </w:rPr>
        <w:t>四、</w:t>
      </w:r>
      <w:r w:rsidRPr="00313AC5">
        <w:rPr>
          <w:rFonts w:hint="eastAsia"/>
          <w:b/>
          <w:sz w:val="28"/>
          <w:lang w:eastAsia="zh-TW"/>
        </w:rPr>
        <w:t>MNIR</w:t>
      </w:r>
      <w:r w:rsidRPr="00313AC5">
        <w:rPr>
          <w:rFonts w:hint="eastAsia"/>
          <w:b/>
          <w:sz w:val="28"/>
          <w:lang w:eastAsia="zh-TW"/>
        </w:rPr>
        <w:t>監督式特徵轉換與研究缺口</w:t>
      </w:r>
    </w:p>
    <w:p w14:paraId="20DF1590" w14:textId="17E0F471" w:rsidR="00313AC5" w:rsidRDefault="00313AC5" w:rsidP="00313AC5">
      <w:pPr>
        <w:spacing w:after="120" w:line="240" w:lineRule="auto"/>
        <w:ind w:firstLine="482"/>
        <w:jc w:val="both"/>
        <w:rPr>
          <w:lang w:eastAsia="zh-TW"/>
        </w:rPr>
      </w:pPr>
      <w:r>
        <w:rPr>
          <w:rFonts w:hint="eastAsia"/>
          <w:lang w:eastAsia="zh-TW"/>
        </w:rPr>
        <w:t>高維文字資料通常具有特徵數量多、資料稀疏及詞彙間高度相關等特性。若直接將大量文字特徵輸入分類器，可能增加運算成本、雜訊及過度擬合風險。因此，文字分類常透過特徵選擇或特徵轉換降低輸入維度。本文首先採用</w:t>
      </w:r>
      <w:r>
        <w:rPr>
          <w:rFonts w:hint="eastAsia"/>
          <w:lang w:eastAsia="zh-TW"/>
        </w:rPr>
        <w:t>Chi-square</w:t>
      </w:r>
      <w:r>
        <w:rPr>
          <w:rFonts w:hint="eastAsia"/>
          <w:lang w:eastAsia="zh-TW"/>
        </w:rPr>
        <w:t>特徵選擇，篩選在</w:t>
      </w:r>
      <w:r>
        <w:rPr>
          <w:rFonts w:hint="eastAsia"/>
          <w:lang w:eastAsia="zh-TW"/>
        </w:rPr>
        <w:t>Lose</w:t>
      </w:r>
      <w:r>
        <w:rPr>
          <w:rFonts w:hint="eastAsia"/>
          <w:lang w:eastAsia="zh-TW"/>
        </w:rPr>
        <w:t>、</w:t>
      </w:r>
      <w:r>
        <w:rPr>
          <w:rFonts w:hint="eastAsia"/>
          <w:lang w:eastAsia="zh-TW"/>
        </w:rPr>
        <w:t>Mixed</w:t>
      </w:r>
      <w:r>
        <w:rPr>
          <w:rFonts w:hint="eastAsia"/>
          <w:lang w:eastAsia="zh-TW"/>
        </w:rPr>
        <w:t>與</w:t>
      </w:r>
      <w:r>
        <w:rPr>
          <w:rFonts w:hint="eastAsia"/>
          <w:lang w:eastAsia="zh-TW"/>
        </w:rPr>
        <w:t>Win</w:t>
      </w:r>
      <w:r>
        <w:rPr>
          <w:rFonts w:hint="eastAsia"/>
          <w:lang w:eastAsia="zh-TW"/>
        </w:rPr>
        <w:t>三類結果間分布差異較大的詞彙，再比較是否進一步加入監督式特徵轉換。</w:t>
      </w:r>
    </w:p>
    <w:p w14:paraId="1895466C" w14:textId="5320CF92" w:rsidR="00313AC5" w:rsidRDefault="00313AC5" w:rsidP="002D3E45">
      <w:pPr>
        <w:spacing w:after="120" w:line="240" w:lineRule="auto"/>
        <w:ind w:firstLine="482"/>
        <w:jc w:val="both"/>
        <w:rPr>
          <w:lang w:eastAsia="zh-TW"/>
        </w:rPr>
      </w:pPr>
      <w:r>
        <w:rPr>
          <w:rFonts w:hint="eastAsia"/>
          <w:lang w:eastAsia="zh-TW"/>
        </w:rPr>
        <w:t>多項式逆迴歸（</w:t>
      </w:r>
      <w:r>
        <w:rPr>
          <w:rFonts w:hint="eastAsia"/>
          <w:lang w:eastAsia="zh-TW"/>
        </w:rPr>
        <w:t>Multinomial Inverse Regression, MNIR</w:t>
      </w:r>
      <w:r>
        <w:rPr>
          <w:rFonts w:hint="eastAsia"/>
          <w:lang w:eastAsia="zh-TW"/>
        </w:rPr>
        <w:t>）由</w:t>
      </w:r>
      <w:r>
        <w:rPr>
          <w:rFonts w:hint="eastAsia"/>
          <w:lang w:eastAsia="zh-TW"/>
        </w:rPr>
        <w:t>Taddy</w:t>
      </w:r>
      <w:r>
        <w:rPr>
          <w:rFonts w:hint="eastAsia"/>
          <w:lang w:eastAsia="zh-TW"/>
        </w:rPr>
        <w:t>（</w:t>
      </w:r>
      <w:r>
        <w:rPr>
          <w:rFonts w:hint="eastAsia"/>
          <w:lang w:eastAsia="zh-TW"/>
        </w:rPr>
        <w:t>2013</w:t>
      </w:r>
      <w:r>
        <w:rPr>
          <w:rFonts w:hint="eastAsia"/>
          <w:lang w:eastAsia="zh-TW"/>
        </w:rPr>
        <w:t>）提出，主要用於高維文字資料之監督式降維。一般分類模型係由文字特徵預測結果，而</w:t>
      </w:r>
      <w:r>
        <w:rPr>
          <w:rFonts w:hint="eastAsia"/>
          <w:lang w:eastAsia="zh-TW"/>
        </w:rPr>
        <w:t>MNIR</w:t>
      </w:r>
      <w:r>
        <w:rPr>
          <w:rFonts w:hint="eastAsia"/>
          <w:lang w:eastAsia="zh-TW"/>
        </w:rPr>
        <w:t>採取</w:t>
      </w:r>
      <w:r>
        <w:rPr>
          <w:rFonts w:hint="eastAsia"/>
          <w:lang w:eastAsia="zh-TW"/>
        </w:rPr>
        <w:t>inverse regression</w:t>
      </w:r>
      <w:r>
        <w:rPr>
          <w:rFonts w:hint="eastAsia"/>
          <w:lang w:eastAsia="zh-TW"/>
        </w:rPr>
        <w:t>的概念，分析不同目標類別條件下的詞彙分布，再將原始高維文字特徵轉換為低維的充分縮減分數（</w:t>
      </w:r>
      <w:r>
        <w:rPr>
          <w:rFonts w:hint="eastAsia"/>
          <w:lang w:eastAsia="zh-TW"/>
        </w:rPr>
        <w:t>sufficient reduction scores</w:t>
      </w:r>
      <w:r>
        <w:rPr>
          <w:rFonts w:hint="eastAsia"/>
          <w:lang w:eastAsia="zh-TW"/>
        </w:rPr>
        <w:t>）。與無監督式降維方法不同，</w:t>
      </w:r>
      <w:r>
        <w:rPr>
          <w:rFonts w:hint="eastAsia"/>
          <w:lang w:eastAsia="zh-TW"/>
        </w:rPr>
        <w:t>MNIR</w:t>
      </w:r>
      <w:r>
        <w:rPr>
          <w:rFonts w:hint="eastAsia"/>
          <w:lang w:eastAsia="zh-TW"/>
        </w:rPr>
        <w:t>的目的不僅是降低特徵數量，而是利用類別資訊萃取與分類目標較相關的文字方向。對法律文本而言，</w:t>
      </w:r>
      <w:r>
        <w:rPr>
          <w:rFonts w:hint="eastAsia"/>
          <w:lang w:eastAsia="zh-TW"/>
        </w:rPr>
        <w:t>MNIR</w:t>
      </w:r>
      <w:r>
        <w:rPr>
          <w:rFonts w:hint="eastAsia"/>
          <w:lang w:eastAsia="zh-TW"/>
        </w:rPr>
        <w:t>具有潛在優勢。裁判書通常具有高維、稀疏及專業詞彙密集等特性，若能將大量詞彙壓縮為少數監督式分數，理論上可降低模型複雜度，並保留與裁判結果較相關的文字訊號。然而，監督式降維亦可能造成資訊壓縮。特別是在裁判結果分布不均衡，或少數類別依賴細緻且低頻詞彙時，低維表示可能無法完整保留少數類別差異。此外，本文在</w:t>
      </w:r>
      <w:r>
        <w:rPr>
          <w:rFonts w:hint="eastAsia"/>
          <w:lang w:eastAsia="zh-TW"/>
        </w:rPr>
        <w:t>MNIR</w:t>
      </w:r>
      <w:r>
        <w:rPr>
          <w:rFonts w:hint="eastAsia"/>
          <w:lang w:eastAsia="zh-TW"/>
        </w:rPr>
        <w:t>之前已先透過</w:t>
      </w:r>
      <w:r>
        <w:rPr>
          <w:rFonts w:hint="eastAsia"/>
          <w:lang w:eastAsia="zh-TW"/>
        </w:rPr>
        <w:t>Chi-square</w:t>
      </w:r>
      <w:r>
        <w:rPr>
          <w:rFonts w:hint="eastAsia"/>
          <w:lang w:eastAsia="zh-TW"/>
        </w:rPr>
        <w:t>進行監督式特徵選擇，因此卡方篩選後的稀疏文字特徵可能已保留相當程度的分類資訊。在此情況下，進一步加入</w:t>
      </w:r>
      <w:r>
        <w:rPr>
          <w:rFonts w:hint="eastAsia"/>
          <w:lang w:eastAsia="zh-TW"/>
        </w:rPr>
        <w:t>MNIR</w:t>
      </w:r>
      <w:r>
        <w:rPr>
          <w:rFonts w:hint="eastAsia"/>
          <w:lang w:eastAsia="zh-TW"/>
        </w:rPr>
        <w:t>是否能產生額外分類增益，或反而壓縮部分細部詞彙與少數類別訊號，仍須透過實證比較檢驗。</w:t>
      </w:r>
    </w:p>
    <w:p w14:paraId="563F8B96" w14:textId="31BB567B" w:rsidR="00622347" w:rsidRPr="00796D4B" w:rsidRDefault="00313AC5" w:rsidP="00313AC5">
      <w:pPr>
        <w:spacing w:after="120" w:line="240" w:lineRule="auto"/>
        <w:ind w:firstLine="482"/>
        <w:jc w:val="both"/>
        <w:rPr>
          <w:lang w:eastAsia="zh-TW"/>
        </w:rPr>
      </w:pPr>
      <w:r>
        <w:rPr>
          <w:rFonts w:hint="eastAsia"/>
          <w:lang w:eastAsia="zh-TW"/>
        </w:rPr>
        <w:t>綜合而言，既有研究已證明司法資料可作為實證法律分析的重要來源，並發展出多種法律文本特徵與判決預測方法。然而，較少研究同時針對臺灣智慧財產權裁判全文，依行政、民事、刑事與刑事附帶民事案件分別建模，並比較三類裁判結果、</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三種稀疏文字特徵，以及</w:t>
      </w:r>
      <w:r>
        <w:rPr>
          <w:rFonts w:hint="eastAsia"/>
          <w:lang w:eastAsia="zh-TW"/>
        </w:rPr>
        <w:t>MNIR</w:t>
      </w:r>
      <w:r>
        <w:rPr>
          <w:rFonts w:hint="eastAsia"/>
          <w:lang w:eastAsia="zh-TW"/>
        </w:rPr>
        <w:t>監督式特徵轉換之差異。因此，本文建立</w:t>
      </w:r>
      <w:r>
        <w:rPr>
          <w:rFonts w:hint="eastAsia"/>
          <w:lang w:eastAsia="zh-TW"/>
        </w:rPr>
        <w:t>Chi-square + MNIR + SVM</w:t>
      </w:r>
      <w:r>
        <w:rPr>
          <w:rFonts w:hint="eastAsia"/>
          <w:lang w:eastAsia="zh-TW"/>
        </w:rPr>
        <w:t>與</w:t>
      </w:r>
      <w:r>
        <w:rPr>
          <w:rFonts w:hint="eastAsia"/>
          <w:lang w:eastAsia="zh-TW"/>
        </w:rPr>
        <w:t>Chi-square + SVM</w:t>
      </w:r>
      <w:r>
        <w:rPr>
          <w:rFonts w:hint="eastAsia"/>
          <w:lang w:eastAsia="zh-TW"/>
        </w:rPr>
        <w:t>兩條模型流程，檢驗不同案件類型、文字特徵表示及特徵轉換方式對裁判結果分類表現之影響。</w:t>
      </w:r>
    </w:p>
    <w:p w14:paraId="5EDAE0D1" w14:textId="77777777" w:rsidR="00622347" w:rsidRPr="00796D4B" w:rsidRDefault="003A42BC">
      <w:pPr>
        <w:spacing w:before="120" w:after="120" w:line="240" w:lineRule="auto"/>
        <w:jc w:val="center"/>
        <w:rPr>
          <w:lang w:eastAsia="zh-TW"/>
        </w:rPr>
      </w:pPr>
      <w:r w:rsidRPr="00796D4B">
        <w:rPr>
          <w:b/>
          <w:sz w:val="32"/>
          <w:lang w:eastAsia="zh-TW"/>
        </w:rPr>
        <w:lastRenderedPageBreak/>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Jieba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1 </w:t>
      </w:r>
      <w:r w:rsidRPr="00796D4B">
        <w:rPr>
          <w:b/>
          <w:lang w:eastAsia="zh-TW"/>
        </w:rPr>
        <w:t>案件類型與裁判結果分布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r w:rsidRPr="00796D4B">
              <w:rPr>
                <w:b/>
                <w:sz w:val="22"/>
              </w:rPr>
              <w:t>資料集</w:t>
            </w:r>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r w:rsidRPr="00796D4B">
              <w:rPr>
                <w:b/>
                <w:sz w:val="22"/>
              </w:rPr>
              <w:t>合計</w:t>
            </w:r>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r w:rsidRPr="00796D4B">
              <w:rPr>
                <w:sz w:val="22"/>
              </w:rPr>
              <w:t>行政</w:t>
            </w:r>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r w:rsidRPr="00796D4B">
              <w:rPr>
                <w:sz w:val="22"/>
              </w:rPr>
              <w:t>民事</w:t>
            </w:r>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r w:rsidRPr="00796D4B">
              <w:rPr>
                <w:sz w:val="22"/>
              </w:rPr>
              <w:t>刑事</w:t>
            </w:r>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r w:rsidRPr="00796D4B">
              <w:rPr>
                <w:sz w:val="22"/>
              </w:rPr>
              <w:t>刑事附帶民事</w:t>
            </w:r>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r w:rsidRPr="00796D4B">
              <w:rPr>
                <w:sz w:val="22"/>
              </w:rPr>
              <w:t>合計</w:t>
            </w:r>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r w:rsidRPr="00796D4B">
        <w:t>此一分布使</w:t>
      </w:r>
      <w:r w:rsidRPr="00796D4B">
        <w:t xml:space="preserve"> Macro F1 </w:t>
      </w:r>
      <w:r w:rsidRPr="00796D4B">
        <w:t>較</w:t>
      </w:r>
      <w:r w:rsidRPr="00796D4B">
        <w:t xml:space="preserve"> Accuracy </w:t>
      </w:r>
      <w:r w:rsidRPr="00796D4B">
        <w:t>更適合作為主要評估指標，因其能平均反映各類別之辨識能力。</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2 </w:t>
      </w:r>
      <w:r w:rsidRPr="00796D4B">
        <w:rPr>
          <w:b/>
          <w:lang w:eastAsia="zh-TW"/>
        </w:rPr>
        <w:t>裁判結果標籤整理原則</w:t>
      </w:r>
    </w:p>
    <w:tbl>
      <w:tblPr>
        <w:tblStyle w:val="aff3"/>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r w:rsidRPr="00796D4B">
              <w:rPr>
                <w:b/>
                <w:bCs/>
                <w:sz w:val="22"/>
              </w:rPr>
              <w:t>案件類型</w:t>
            </w:r>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r w:rsidRPr="00796D4B">
              <w:rPr>
                <w:sz w:val="22"/>
              </w:rPr>
              <w:t>民事</w:t>
            </w:r>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r w:rsidRPr="00796D4B">
              <w:rPr>
                <w:sz w:val="22"/>
              </w:rPr>
              <w:t>行政</w:t>
            </w:r>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r w:rsidRPr="00796D4B">
              <w:rPr>
                <w:sz w:val="22"/>
              </w:rPr>
              <w:t>刑事</w:t>
            </w:r>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r w:rsidRPr="00796D4B">
              <w:rPr>
                <w:sz w:val="22"/>
              </w:rPr>
              <w:t>部分有罪、部分無罪</w:t>
            </w:r>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r w:rsidRPr="00796D4B">
              <w:rPr>
                <w:sz w:val="22"/>
              </w:rPr>
              <w:t>刑事附帶民事</w:t>
            </w:r>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lastRenderedPageBreak/>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r w:rsidRPr="00796D4B">
              <w:rPr>
                <w:b/>
                <w:sz w:val="22"/>
              </w:rPr>
              <w:t>年度</w:t>
            </w:r>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r w:rsidRPr="00796D4B">
              <w:rPr>
                <w:b/>
                <w:sz w:val="22"/>
              </w:rPr>
              <w:t>行政</w:t>
            </w:r>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r w:rsidRPr="00796D4B">
              <w:rPr>
                <w:b/>
                <w:sz w:val="22"/>
              </w:rPr>
              <w:t>民事</w:t>
            </w:r>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r w:rsidRPr="00796D4B">
              <w:rPr>
                <w:b/>
                <w:sz w:val="22"/>
              </w:rPr>
              <w:t>刑事</w:t>
            </w:r>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r w:rsidRPr="00796D4B">
              <w:rPr>
                <w:b/>
                <w:sz w:val="22"/>
              </w:rPr>
              <w:t>刑事附帶民事</w:t>
            </w:r>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r w:rsidRPr="00796D4B">
              <w:rPr>
                <w:b/>
                <w:sz w:val="22"/>
              </w:rPr>
              <w:t>合計</w:t>
            </w:r>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r w:rsidRPr="00796D4B">
        <w:rPr>
          <w:lang w:eastAsia="zh-TW"/>
        </w:rPr>
        <w:t xml:space="preserve">BoW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LinearSVC</w:t>
      </w:r>
      <w:r w:rsidRPr="00796D4B">
        <w:rPr>
          <w:lang w:eastAsia="zh-TW"/>
        </w:rPr>
        <w:t>，適用於高維稀疏文字特徵。另以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4 </w:t>
      </w:r>
      <w:r w:rsidRPr="00796D4B">
        <w:rPr>
          <w:b/>
          <w:lang w:eastAsia="zh-TW"/>
        </w:rPr>
        <w:t>本研究各方法之功能與流程比較</w:t>
      </w:r>
    </w:p>
    <w:tbl>
      <w:tblPr>
        <w:tblStyle w:val="af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r w:rsidRPr="00796D4B">
              <w:rPr>
                <w:b/>
                <w:bCs/>
                <w:sz w:val="22"/>
              </w:rPr>
              <w:t>方法</w:t>
            </w:r>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r w:rsidRPr="00796D4B">
              <w:rPr>
                <w:b/>
                <w:bCs/>
                <w:sz w:val="22"/>
              </w:rPr>
              <w:t>流程角色</w:t>
            </w:r>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r w:rsidRPr="00796D4B">
              <w:rPr>
                <w:b/>
                <w:bCs/>
                <w:sz w:val="22"/>
              </w:rPr>
              <w:t>輸入資料</w:t>
            </w:r>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r w:rsidRPr="00796D4B">
              <w:rPr>
                <w:b/>
                <w:bCs/>
                <w:sz w:val="22"/>
              </w:rPr>
              <w:t>輸出與主要功能</w:t>
            </w:r>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r w:rsidRPr="00796D4B">
              <w:rPr>
                <w:sz w:val="22"/>
              </w:rPr>
              <w:t>BoW</w:t>
            </w:r>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r w:rsidRPr="00796D4B">
              <w:rPr>
                <w:sz w:val="22"/>
              </w:rPr>
              <w:t>斷詞後裁判文本</w:t>
            </w:r>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r w:rsidRPr="00796D4B">
              <w:rPr>
                <w:sz w:val="22"/>
              </w:rPr>
              <w:t>詞彙出現次數</w:t>
            </w:r>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r w:rsidRPr="00796D4B">
              <w:rPr>
                <w:sz w:val="22"/>
              </w:rPr>
              <w:t>詞頻與文件頻率</w:t>
            </w:r>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r w:rsidRPr="00796D4B">
              <w:rPr>
                <w:sz w:val="22"/>
              </w:rPr>
              <w:t>特徵選擇</w:t>
            </w:r>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r w:rsidRPr="00796D4B">
              <w:rPr>
                <w:sz w:val="22"/>
              </w:rPr>
              <w:t>監督式特徵轉換</w:t>
            </w:r>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r w:rsidRPr="00796D4B">
              <w:rPr>
                <w:sz w:val="22"/>
              </w:rPr>
              <w:t>透過</w:t>
            </w:r>
            <w:r w:rsidRPr="00796D4B">
              <w:rPr>
                <w:sz w:val="22"/>
              </w:rPr>
              <w:t xml:space="preserve"> inverse regression </w:t>
            </w:r>
            <w:r w:rsidRPr="00796D4B">
              <w:rPr>
                <w:sz w:val="22"/>
              </w:rPr>
              <w:t>將高維文字特徵轉換為充分縮減分數</w:t>
            </w:r>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r w:rsidRPr="00796D4B">
              <w:rPr>
                <w:sz w:val="22"/>
              </w:rPr>
              <w:t>估計機制</w:t>
            </w:r>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r w:rsidRPr="00796D4B">
              <w:rPr>
                <w:sz w:val="22"/>
              </w:rPr>
              <w:t>分類器</w:t>
            </w:r>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r w:rsidRPr="00796D4B">
              <w:rPr>
                <w:sz w:val="22"/>
              </w:rPr>
              <w:t>將裁判書分類為</w:t>
            </w:r>
            <w:r w:rsidRPr="00796D4B">
              <w:rPr>
                <w:sz w:val="22"/>
              </w:rPr>
              <w:t xml:space="preserve"> Lose</w:t>
            </w:r>
            <w:r w:rsidRPr="00796D4B">
              <w:rPr>
                <w:sz w:val="22"/>
              </w:rPr>
              <w:t>、</w:t>
            </w:r>
            <w:r w:rsidRPr="00796D4B">
              <w:rPr>
                <w:sz w:val="22"/>
              </w:rPr>
              <w:t>Mixed</w:t>
            </w:r>
            <w:r w:rsidRPr="00796D4B">
              <w:rPr>
                <w:sz w:val="22"/>
              </w:rPr>
              <w:t>、</w:t>
            </w:r>
            <w:r w:rsidRPr="00796D4B">
              <w:rPr>
                <w:sz w:val="22"/>
              </w:rPr>
              <w:t>Win</w:t>
            </w:r>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r w:rsidRPr="00796D4B">
              <w:rPr>
                <w:sz w:val="22"/>
              </w:rPr>
              <w:t>最低基準模型</w:t>
            </w:r>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r w:rsidRPr="00796D4B">
              <w:rPr>
                <w:sz w:val="22"/>
              </w:rPr>
              <w:t>訓練集類別分布</w:t>
            </w:r>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r w:rsidRPr="00796D4B">
        <w:rPr>
          <w:b/>
          <w:sz w:val="28"/>
        </w:rPr>
        <w:t>三、評估方式</w:t>
      </w:r>
    </w:p>
    <w:p w14:paraId="527A2117" w14:textId="77777777" w:rsidR="00622347" w:rsidRPr="00796D4B" w:rsidRDefault="003A42BC">
      <w:pPr>
        <w:spacing w:after="120" w:line="240" w:lineRule="auto"/>
        <w:ind w:firstLine="482"/>
        <w:jc w:val="both"/>
        <w:rPr>
          <w:lang w:eastAsia="zh-TW"/>
        </w:rPr>
      </w:pPr>
      <w:r w:rsidRPr="00796D4B">
        <w:t>本文同時使用</w:t>
      </w:r>
      <w:r w:rsidRPr="00796D4B">
        <w:t xml:space="preserve"> Accuracy</w:t>
      </w:r>
      <w:r w:rsidRPr="00796D4B">
        <w:t>、</w:t>
      </w:r>
      <w:r w:rsidRPr="00796D4B">
        <w:t>Macro F1</w:t>
      </w:r>
      <w:r w:rsidRPr="00796D4B">
        <w:t>、分類報告、混淆矩陣與</w:t>
      </w:r>
      <w:r w:rsidRPr="00796D4B">
        <w:t xml:space="preserve"> Majority Class baseline </w:t>
      </w:r>
      <w:r w:rsidRPr="00796D4B">
        <w:t>評估模型。</w:t>
      </w:r>
      <w:r w:rsidRPr="00796D4B">
        <w:t xml:space="preserve">Accuracy </w:t>
      </w:r>
      <w:r w:rsidRPr="00796D4B">
        <w:t>反映整體預測正確比例，但在類別不平衡資料中可能被多數類別主導。</w:t>
      </w:r>
      <w:r w:rsidRPr="00796D4B">
        <w:rPr>
          <w:lang w:eastAsia="zh-TW"/>
        </w:rPr>
        <w:t xml:space="preserve">Macro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lastRenderedPageBreak/>
        <w:t>表</w:t>
      </w:r>
      <w:r w:rsidRPr="00796D4B">
        <w:rPr>
          <w:b/>
        </w:rPr>
        <w:t xml:space="preserve"> 5 </w:t>
      </w:r>
      <w:r w:rsidRPr="00796D4B">
        <w:rPr>
          <w:b/>
        </w:rPr>
        <w:t>最佳</w:t>
      </w:r>
      <w:r w:rsidRPr="00796D4B">
        <w:rPr>
          <w:b/>
        </w:rPr>
        <w:t xml:space="preserve"> Chi-square + SVM </w:t>
      </w:r>
      <w:r w:rsidRPr="00796D4B">
        <w:rPr>
          <w:b/>
        </w:rPr>
        <w:t>模型之參數選擇摘要</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r w:rsidRPr="00796D4B">
              <w:rPr>
                <w:b/>
                <w:sz w:val="22"/>
              </w:rPr>
              <w:t>資料集</w:t>
            </w:r>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r w:rsidRPr="00796D4B">
              <w:rPr>
                <w:sz w:val="22"/>
              </w:rPr>
              <w:t>行政</w:t>
            </w:r>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r w:rsidRPr="00796D4B">
              <w:rPr>
                <w:sz w:val="22"/>
              </w:rPr>
              <w:t>民事</w:t>
            </w:r>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r w:rsidRPr="00796D4B">
              <w:rPr>
                <w:sz w:val="22"/>
              </w:rPr>
              <w:t>刑事</w:t>
            </w:r>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r w:rsidRPr="00796D4B">
              <w:rPr>
                <w:sz w:val="22"/>
              </w:rPr>
              <w:t>刑事附帶民事</w:t>
            </w:r>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r w:rsidRPr="00796D4B">
        <w:rPr>
          <w:lang w:eastAsia="zh-TW"/>
        </w:rPr>
        <w:t xml:space="preserve">BoW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r w:rsidRPr="00796D4B">
        <w:rPr>
          <w:b/>
        </w:rPr>
        <w:t>於各資料集之最佳表現</w:t>
      </w:r>
    </w:p>
    <w:tbl>
      <w:tblPr>
        <w:tblStyle w:val="af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r w:rsidRPr="00796D4B">
              <w:rPr>
                <w:b/>
                <w:sz w:val="22"/>
              </w:rPr>
              <w:t>資料集</w:t>
            </w:r>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r w:rsidRPr="00796D4B">
              <w:rPr>
                <w:b/>
                <w:sz w:val="22"/>
              </w:rPr>
              <w:t>最佳特徵</w:t>
            </w:r>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r w:rsidRPr="00796D4B">
              <w:rPr>
                <w:sz w:val="22"/>
              </w:rPr>
              <w:t>行政</w:t>
            </w:r>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r w:rsidRPr="00796D4B">
              <w:rPr>
                <w:sz w:val="22"/>
              </w:rPr>
              <w:t>BoW</w:t>
            </w:r>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r w:rsidRPr="00796D4B">
              <w:rPr>
                <w:sz w:val="22"/>
              </w:rPr>
              <w:t>民事</w:t>
            </w:r>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r w:rsidRPr="00796D4B">
              <w:rPr>
                <w:sz w:val="22"/>
              </w:rPr>
              <w:t>刑事</w:t>
            </w:r>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r w:rsidRPr="00796D4B">
              <w:rPr>
                <w:sz w:val="22"/>
              </w:rPr>
              <w:t>刑事附帶民事</w:t>
            </w:r>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r w:rsidRPr="00796D4B">
        <w:rPr>
          <w:b/>
        </w:rPr>
        <w:t>於各資料集之最佳表現</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r w:rsidRPr="00796D4B">
              <w:rPr>
                <w:b/>
                <w:sz w:val="22"/>
              </w:rPr>
              <w:t>資料集</w:t>
            </w:r>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r w:rsidRPr="00796D4B">
              <w:rPr>
                <w:b/>
                <w:sz w:val="22"/>
              </w:rPr>
              <w:t>最佳特徵</w:t>
            </w:r>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r w:rsidRPr="00796D4B">
              <w:rPr>
                <w:sz w:val="22"/>
              </w:rPr>
              <w:t>行政</w:t>
            </w:r>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r w:rsidRPr="00796D4B">
              <w:rPr>
                <w:sz w:val="22"/>
              </w:rPr>
              <w:t>BoW</w:t>
            </w:r>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r w:rsidRPr="00796D4B">
              <w:rPr>
                <w:sz w:val="22"/>
              </w:rPr>
              <w:t>民事</w:t>
            </w:r>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r w:rsidRPr="00796D4B">
              <w:rPr>
                <w:sz w:val="22"/>
              </w:rPr>
              <w:t>刑事</w:t>
            </w:r>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r w:rsidRPr="00796D4B">
              <w:rPr>
                <w:sz w:val="22"/>
              </w:rPr>
              <w:t>刑事附帶民事</w:t>
            </w:r>
          </w:p>
        </w:tc>
        <w:tc>
          <w:tcPr>
            <w:tcW w:w="1758" w:type="dxa"/>
            <w:vAlign w:val="center"/>
          </w:tcPr>
          <w:p w14:paraId="5F8033B5" w14:textId="77777777" w:rsidR="006A6DDB" w:rsidRPr="00796D4B" w:rsidRDefault="003A42BC" w:rsidP="004E0113">
            <w:pPr>
              <w:keepLines/>
              <w:spacing w:line="276" w:lineRule="auto"/>
              <w:jc w:val="both"/>
              <w:rPr>
                <w:sz w:val="22"/>
              </w:rPr>
            </w:pPr>
            <w:r w:rsidRPr="00796D4B">
              <w:rPr>
                <w:sz w:val="22"/>
              </w:rPr>
              <w:t>BoW</w:t>
            </w:r>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r w:rsidRPr="00796D4B">
        <w:t>與表</w:t>
      </w:r>
      <w:r w:rsidRPr="00796D4B">
        <w:t xml:space="preserve"> 7 </w:t>
      </w:r>
      <w:r w:rsidRPr="00796D4B">
        <w:t>顯示，在四類案件資料集中，</w:t>
      </w:r>
      <w:r w:rsidRPr="00796D4B">
        <w:t xml:space="preserve">Chi-square + SVM </w:t>
      </w:r>
      <w:r w:rsidRPr="00796D4B">
        <w:t>的</w:t>
      </w:r>
      <w:r w:rsidRPr="00796D4B">
        <w:t xml:space="preserve"> Macro F1 </w:t>
      </w:r>
      <w:r w:rsidRPr="00796D4B">
        <w:t>均高於</w:t>
      </w:r>
      <w:r w:rsidRPr="00796D4B">
        <w:t xml:space="preserve"> Chi-square + MNIR + SVM</w:t>
      </w:r>
      <w:r w:rsidRPr="00796D4B">
        <w:t>。此結果表示，在本研究資料、標籤設定、文本前處理與超參數範圍下，</w:t>
      </w:r>
      <w:r w:rsidRPr="00796D4B">
        <w:t xml:space="preserve">MNIR </w:t>
      </w:r>
      <w:r w:rsidRPr="00796D4B">
        <w:t>監督式特徵轉換未帶來額外分類增益。</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r w:rsidRPr="00796D4B">
        <w:rPr>
          <w:b/>
        </w:rPr>
        <w:t>比較</w:t>
      </w:r>
    </w:p>
    <w:tbl>
      <w:tblPr>
        <w:tblStyle w:val="af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5"/>
        <w:gridCol w:w="1108"/>
        <w:gridCol w:w="1112"/>
        <w:gridCol w:w="1111"/>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r w:rsidRPr="00796D4B">
              <w:rPr>
                <w:b/>
                <w:sz w:val="22"/>
              </w:rPr>
              <w:t>資料集</w:t>
            </w:r>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r w:rsidRPr="00796D4B">
              <w:rPr>
                <w:b/>
                <w:sz w:val="22"/>
              </w:rPr>
              <w:t>最佳特徵</w:t>
            </w:r>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r w:rsidRPr="00796D4B">
              <w:rPr>
                <w:b/>
                <w:sz w:val="22"/>
              </w:rPr>
              <w:t>最佳特徵</w:t>
            </w:r>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r w:rsidRPr="00796D4B">
              <w:rPr>
                <w:sz w:val="22"/>
              </w:rPr>
              <w:t>行政</w:t>
            </w:r>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r w:rsidRPr="00796D4B">
              <w:rPr>
                <w:sz w:val="22"/>
              </w:rPr>
              <w:t>BoW</w:t>
            </w:r>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r w:rsidRPr="00796D4B">
              <w:rPr>
                <w:sz w:val="22"/>
              </w:rPr>
              <w:t>BoW</w:t>
            </w:r>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r w:rsidRPr="00796D4B">
              <w:rPr>
                <w:sz w:val="22"/>
              </w:rPr>
              <w:t>民事</w:t>
            </w:r>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r w:rsidRPr="00796D4B">
              <w:rPr>
                <w:sz w:val="22"/>
              </w:rPr>
              <w:t>刑事</w:t>
            </w:r>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r w:rsidRPr="00796D4B">
              <w:rPr>
                <w:sz w:val="22"/>
              </w:rPr>
              <w:t>刑事附帶民事</w:t>
            </w:r>
          </w:p>
        </w:tc>
        <w:tc>
          <w:tcPr>
            <w:tcW w:w="1134" w:type="dxa"/>
            <w:vAlign w:val="center"/>
          </w:tcPr>
          <w:p w14:paraId="7C1E053F" w14:textId="77777777" w:rsidR="006A6DDB" w:rsidRPr="00796D4B" w:rsidRDefault="003A42BC" w:rsidP="004E0113">
            <w:pPr>
              <w:keepLines/>
              <w:spacing w:line="276" w:lineRule="auto"/>
              <w:jc w:val="both"/>
              <w:rPr>
                <w:sz w:val="22"/>
              </w:rPr>
            </w:pPr>
            <w:r w:rsidRPr="00796D4B">
              <w:rPr>
                <w:sz w:val="22"/>
              </w:rPr>
              <w:t>BoW</w:t>
            </w:r>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BoW</w:t>
      </w:r>
      <w:r w:rsidRPr="00796D4B">
        <w:rPr>
          <w:b/>
        </w:rPr>
        <w:t>、</w:t>
      </w:r>
      <w:r w:rsidRPr="00796D4B">
        <w:rPr>
          <w:b/>
        </w:rPr>
        <w:t>TF</w:t>
      </w:r>
      <w:r w:rsidRPr="00796D4B">
        <w:rPr>
          <w:b/>
        </w:rPr>
        <w:t>、</w:t>
      </w:r>
      <w:r w:rsidRPr="00796D4B">
        <w:rPr>
          <w:b/>
        </w:rPr>
        <w:t xml:space="preserve">TF-IDF </w:t>
      </w:r>
      <w:r w:rsidRPr="00796D4B">
        <w:rPr>
          <w:b/>
        </w:rPr>
        <w:t>之</w:t>
      </w:r>
      <w:r w:rsidRPr="00796D4B">
        <w:rPr>
          <w:b/>
        </w:rPr>
        <w:t xml:space="preserve"> Macro F1</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r w:rsidRPr="00796D4B">
              <w:rPr>
                <w:b/>
                <w:sz w:val="22"/>
              </w:rPr>
              <w:t>資料集</w:t>
            </w:r>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r w:rsidRPr="00796D4B">
              <w:rPr>
                <w:b/>
                <w:sz w:val="22"/>
              </w:rPr>
              <w:t>BoW</w:t>
            </w:r>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r w:rsidRPr="00796D4B">
              <w:rPr>
                <w:sz w:val="22"/>
              </w:rPr>
              <w:t>行政</w:t>
            </w:r>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r w:rsidRPr="00796D4B">
              <w:rPr>
                <w:sz w:val="22"/>
              </w:rPr>
              <w:t>民事</w:t>
            </w:r>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r w:rsidRPr="00796D4B">
              <w:rPr>
                <w:sz w:val="22"/>
              </w:rPr>
              <w:t>刑事</w:t>
            </w:r>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r w:rsidRPr="00796D4B">
              <w:rPr>
                <w:sz w:val="22"/>
              </w:rPr>
              <w:t>刑事附帶民事</w:t>
            </w:r>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r w:rsidRPr="00796D4B">
        <w:rPr>
          <w:lang w:eastAsia="zh-TW"/>
        </w:rPr>
        <w:t xml:space="preserve">BoW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r w:rsidRPr="00796D4B">
        <w:rPr>
          <w:lang w:eastAsia="zh-TW"/>
        </w:rPr>
        <w:t xml:space="preserve">BoW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BoW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BoW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BoW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r w:rsidRPr="00796D4B">
        <w:rPr>
          <w:lang w:eastAsia="zh-TW"/>
        </w:rPr>
        <w:t xml:space="preserve">BoW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r w:rsidRPr="00796D4B">
        <w:rPr>
          <w:b/>
        </w:rPr>
        <w:t>民事案件最佳</w:t>
      </w:r>
      <w:r w:rsidRPr="00796D4B">
        <w:rPr>
          <w:b/>
        </w:rPr>
        <w:t xml:space="preserve"> Chi-square + SVM </w:t>
      </w:r>
      <w:r w:rsidRPr="00796D4B">
        <w:rPr>
          <w:b/>
        </w:rPr>
        <w:t>模型之測試集混淆矩陣</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r w:rsidRPr="00796D4B">
              <w:rPr>
                <w:bCs/>
                <w:sz w:val="22"/>
              </w:rPr>
              <w:t>實際</w:t>
            </w:r>
            <w:r w:rsidRPr="00796D4B">
              <w:rPr>
                <w:bCs/>
                <w:sz w:val="22"/>
              </w:rPr>
              <w:t>\</w:t>
            </w:r>
            <w:r w:rsidRPr="00796D4B">
              <w:rPr>
                <w:bCs/>
                <w:sz w:val="22"/>
              </w:rPr>
              <w:t>預測</w:t>
            </w:r>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r w:rsidRPr="00796D4B">
        <w:rPr>
          <w:b/>
        </w:rPr>
        <w:t>各資料集最佳</w:t>
      </w:r>
      <w:r w:rsidRPr="00796D4B">
        <w:rPr>
          <w:b/>
        </w:rPr>
        <w:t xml:space="preserve"> Chi-square + SVM </w:t>
      </w:r>
      <w:r w:rsidRPr="00796D4B">
        <w:rPr>
          <w:b/>
        </w:rPr>
        <w:t>模型之類別</w:t>
      </w:r>
      <w:r w:rsidRPr="00796D4B">
        <w:rPr>
          <w:b/>
        </w:rPr>
        <w:t xml:space="preserve"> F1 </w:t>
      </w:r>
      <w:r w:rsidRPr="00796D4B">
        <w:rPr>
          <w:b/>
        </w:rPr>
        <w:t>摘要</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r w:rsidRPr="00796D4B">
              <w:rPr>
                <w:b/>
                <w:sz w:val="22"/>
              </w:rPr>
              <w:t>資料集</w:t>
            </w:r>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r w:rsidRPr="00796D4B">
              <w:rPr>
                <w:sz w:val="22"/>
              </w:rPr>
              <w:t>行政</w:t>
            </w:r>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r w:rsidRPr="00796D4B">
              <w:rPr>
                <w:sz w:val="22"/>
              </w:rPr>
              <w:t>民事</w:t>
            </w:r>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r w:rsidRPr="00796D4B">
              <w:rPr>
                <w:sz w:val="22"/>
              </w:rPr>
              <w:t>刑事</w:t>
            </w:r>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r w:rsidRPr="00796D4B">
              <w:rPr>
                <w:sz w:val="22"/>
              </w:rPr>
              <w:t>刑事附帶民事</w:t>
            </w:r>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r w:rsidRPr="00796D4B">
        <w:rPr>
          <w:b/>
        </w:rPr>
        <w:t>民事案件最佳</w:t>
      </w:r>
      <w:r w:rsidRPr="00796D4B">
        <w:rPr>
          <w:b/>
        </w:rPr>
        <w:t xml:space="preserve"> Chi-square + SVM </w:t>
      </w:r>
      <w:r w:rsidRPr="00796D4B">
        <w:rPr>
          <w:b/>
        </w:rPr>
        <w:t>模型之分類報告</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r w:rsidRPr="00796D4B">
              <w:rPr>
                <w:b/>
                <w:sz w:val="22"/>
              </w:rPr>
              <w:t>類別</w:t>
            </w:r>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r w:rsidRPr="00796D4B">
        <w:t>從模型評估角度來看，民事案件的</w:t>
      </w:r>
      <w:r w:rsidRPr="00796D4B">
        <w:t xml:space="preserve"> weighted avg F1 </w:t>
      </w:r>
      <w:r w:rsidRPr="00796D4B">
        <w:t>高於</w:t>
      </w:r>
      <w:r w:rsidRPr="00796D4B">
        <w:t xml:space="preserve"> macro avg F1</w:t>
      </w:r>
      <w:r w:rsidRPr="00796D4B">
        <w:t>，顯示整體表現受到</w:t>
      </w:r>
      <w:r w:rsidRPr="00796D4B">
        <w:t xml:space="preserve"> Lose </w:t>
      </w:r>
      <w:r w:rsidRPr="00796D4B">
        <w:t>類別支撐。若僅呈現</w:t>
      </w:r>
      <w:r w:rsidRPr="00796D4B">
        <w:t xml:space="preserve"> Accuracy </w:t>
      </w:r>
      <w:r w:rsidRPr="00796D4B">
        <w:t>或</w:t>
      </w:r>
      <w:r w:rsidRPr="00796D4B">
        <w:t xml:space="preserve"> weighted avg</w:t>
      </w:r>
      <w:r w:rsidRPr="00796D4B">
        <w:t>，容易忽略</w:t>
      </w:r>
      <w:r w:rsidRPr="00796D4B">
        <w:t xml:space="preserve"> Win </w:t>
      </w:r>
      <w:r w:rsidRPr="00796D4B">
        <w:t>類別</w:t>
      </w:r>
      <w:r w:rsidRPr="00796D4B">
        <w:t xml:space="preserve"> recall </w:t>
      </w:r>
      <w:r w:rsidRPr="00796D4B">
        <w:t>僅</w:t>
      </w:r>
      <w:r w:rsidRPr="00796D4B">
        <w:t xml:space="preserve"> 0.081 </w:t>
      </w:r>
      <w:r w:rsidRPr="00796D4B">
        <w:t>的問題。</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BoW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af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r w:rsidRPr="00796D4B">
              <w:rPr>
                <w:sz w:val="22"/>
              </w:rPr>
              <w:t>使用情境</w:t>
            </w:r>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r w:rsidRPr="00796D4B">
              <w:rPr>
                <w:sz w:val="22"/>
              </w:rPr>
              <w:t>建議方法</w:t>
            </w:r>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r w:rsidRPr="00796D4B">
              <w:rPr>
                <w:sz w:val="22"/>
              </w:rPr>
              <w:t>理由</w:t>
            </w:r>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r w:rsidRPr="00796D4B">
              <w:rPr>
                <w:sz w:val="22"/>
              </w:rPr>
              <w:t>行政案件分類</w:t>
            </w:r>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r w:rsidRPr="00796D4B">
              <w:rPr>
                <w:sz w:val="22"/>
              </w:rPr>
              <w:t>BoW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r w:rsidRPr="00796D4B">
              <w:rPr>
                <w:sz w:val="22"/>
              </w:rPr>
              <w:t>民事案件分類</w:t>
            </w:r>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r w:rsidRPr="00796D4B">
              <w:rPr>
                <w:sz w:val="22"/>
              </w:rPr>
              <w:t>刑事案件分類</w:t>
            </w:r>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r w:rsidRPr="00796D4B">
              <w:rPr>
                <w:sz w:val="22"/>
              </w:rPr>
              <w:t>BoW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39175B77" w:rsidR="00622347" w:rsidRPr="00796D4B" w:rsidRDefault="003A42BC">
      <w:pPr>
        <w:spacing w:after="120" w:line="240" w:lineRule="auto"/>
        <w:ind w:firstLine="482"/>
        <w:jc w:val="both"/>
        <w:rPr>
          <w:lang w:eastAsia="zh-TW"/>
        </w:rPr>
      </w:pPr>
      <w:r w:rsidRPr="00796D4B">
        <w:rPr>
          <w:lang w:eastAsia="zh-TW"/>
        </w:rPr>
        <w:t>整體而言，本研究</w:t>
      </w:r>
      <w:r w:rsidR="00280661">
        <w:rPr>
          <w:rFonts w:hint="eastAsia"/>
          <w:lang w:eastAsia="zh-TW"/>
        </w:rPr>
        <w:t>結果顯示</w:t>
      </w:r>
      <w:r w:rsidRPr="00796D4B">
        <w:rPr>
          <w:lang w:eastAsia="zh-TW"/>
        </w:rPr>
        <w:t>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2A90007B" w14:textId="77777777" w:rsidR="00622347" w:rsidRPr="00796D4B" w:rsidRDefault="003A42BC">
      <w:pPr>
        <w:spacing w:after="48" w:line="240" w:lineRule="auto"/>
        <w:ind w:left="482" w:hanging="482"/>
        <w:jc w:val="both"/>
        <w:rPr>
          <w:lang w:eastAsia="zh-TW"/>
        </w:rPr>
      </w:pPr>
      <w:r w:rsidRPr="00796D4B">
        <w:rPr>
          <w:lang w:eastAsia="zh-TW"/>
        </w:rPr>
        <w:t>司法院。</w:t>
      </w:r>
      <w:r w:rsidRPr="00796D4B">
        <w:rPr>
          <w:lang w:eastAsia="zh-TW"/>
        </w:rPr>
        <w:t>2026</w:t>
      </w:r>
      <w:r w:rsidRPr="00796D4B">
        <w:rPr>
          <w:lang w:eastAsia="zh-TW"/>
        </w:rPr>
        <w:t>。行政訴訟。司法院全球資訊網。</w:t>
      </w:r>
      <w:r w:rsidRPr="00796D4B">
        <w:rPr>
          <w:lang w:eastAsia="zh-TW"/>
        </w:rPr>
        <w:t>https://www.judicial.gov.tw/tw/np-85-1.html</w:t>
      </w:r>
      <w:r w:rsidRPr="00796D4B">
        <w:rPr>
          <w:lang w:eastAsia="zh-TW"/>
        </w:rPr>
        <w:t>。</w:t>
      </w:r>
    </w:p>
    <w:p w14:paraId="31D74572" w14:textId="77777777" w:rsidR="00622347" w:rsidRPr="00796D4B" w:rsidRDefault="003A42BC">
      <w:pPr>
        <w:spacing w:after="48" w:line="240" w:lineRule="auto"/>
        <w:ind w:left="482" w:hanging="482"/>
        <w:jc w:val="both"/>
        <w:rPr>
          <w:lang w:eastAsia="zh-TW"/>
        </w:rPr>
      </w:pPr>
      <w:r w:rsidRPr="00796D4B">
        <w:rPr>
          <w:lang w:eastAsia="zh-TW"/>
        </w:rPr>
        <w:t>法務部全國法規資料庫。</w:t>
      </w:r>
      <w:r w:rsidRPr="00796D4B">
        <w:rPr>
          <w:lang w:eastAsia="zh-TW"/>
        </w:rPr>
        <w:t>2023</w:t>
      </w:r>
      <w:r w:rsidRPr="00796D4B">
        <w:rPr>
          <w:lang w:eastAsia="zh-TW"/>
        </w:rPr>
        <w:t>。智慧財產及商業法院組織法。</w:t>
      </w:r>
      <w:r w:rsidRPr="00796D4B">
        <w:rPr>
          <w:lang w:eastAsia="zh-TW"/>
        </w:rPr>
        <w:t>https://law.moj.gov.tw/LawClass/LawAll.aspx?pcode=A0010090</w:t>
      </w:r>
      <w:r w:rsidRPr="00796D4B">
        <w:rPr>
          <w:lang w:eastAsia="zh-TW"/>
        </w:rPr>
        <w:t>。</w:t>
      </w:r>
    </w:p>
    <w:p w14:paraId="716F2EE5" w14:textId="77777777"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lastRenderedPageBreak/>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248130E0" w14:textId="77777777" w:rsidR="00622347" w:rsidRPr="00796D4B" w:rsidRDefault="003A42BC">
      <w:pPr>
        <w:spacing w:after="48" w:line="240" w:lineRule="auto"/>
        <w:ind w:left="482" w:hanging="482"/>
        <w:jc w:val="both"/>
        <w:rPr>
          <w:lang w:eastAsia="zh-TW"/>
        </w:rPr>
      </w:pPr>
      <w:r w:rsidRPr="00796D4B">
        <w:rPr>
          <w:lang w:eastAsia="zh-TW"/>
        </w:rPr>
        <w:t>郭建中、陳羿愷。</w:t>
      </w:r>
      <w:r w:rsidRPr="00796D4B">
        <w:rPr>
          <w:lang w:eastAsia="zh-TW"/>
        </w:rPr>
        <w:t>2020</w:t>
      </w:r>
      <w:r w:rsidRPr="00796D4B">
        <w:rPr>
          <w:lang w:eastAsia="zh-TW"/>
        </w:rPr>
        <w:t>。從數據一探智慧財產法院運作實況：專題三，民事訴訟。</w:t>
      </w:r>
      <w:r w:rsidRPr="00796D4B">
        <w:rPr>
          <w:lang w:eastAsia="zh-TW"/>
        </w:rPr>
        <w:t>Winkler Partners</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0B3CB5E7" w14:textId="77777777" w:rsidR="00622347" w:rsidRPr="00796D4B" w:rsidRDefault="003A42BC">
      <w:pPr>
        <w:spacing w:after="48" w:line="240" w:lineRule="auto"/>
        <w:ind w:left="482" w:hanging="482"/>
        <w:jc w:val="both"/>
      </w:pPr>
      <w:r w:rsidRPr="00796D4B">
        <w:rPr>
          <w:lang w:eastAsia="zh-TW"/>
        </w:rPr>
        <w:t xml:space="preserve">Aletras, N., Tsarapatsanis, D., Preotiuc-Pietro, D., &amp; Lampos, V. 2016. Predicting judicial decisions of the European Court of Human Rights: A natural language processing perspective. </w:t>
      </w:r>
      <w:r w:rsidRPr="00796D4B">
        <w:t>PeerJ Computer Science, 2: e93.</w:t>
      </w:r>
    </w:p>
    <w:p w14:paraId="331B1F0F" w14:textId="77777777" w:rsidR="00622347" w:rsidRPr="00796D4B" w:rsidRDefault="003A42BC">
      <w:pPr>
        <w:spacing w:after="48" w:line="240" w:lineRule="auto"/>
        <w:ind w:left="482" w:hanging="482"/>
        <w:jc w:val="both"/>
      </w:pPr>
      <w:r w:rsidRPr="00796D4B">
        <w:t>Alghazzawi, D., Bamasag, O., Albeshri, A., Sana, I., Ullah, H., &amp; Asghar, M. Z. 2022. Efficient prediction of court judgments using an LSTM+CNN neural network model with an optimal feature set. Mathematics, 10(5): 683.</w:t>
      </w:r>
    </w:p>
    <w:p w14:paraId="32834882" w14:textId="77777777" w:rsidR="00622347" w:rsidRPr="00796D4B" w:rsidRDefault="003A42BC">
      <w:pPr>
        <w:spacing w:after="48" w:line="240" w:lineRule="auto"/>
        <w:ind w:left="482" w:hanging="482"/>
        <w:jc w:val="both"/>
      </w:pPr>
      <w:r w:rsidRPr="00796D4B">
        <w:t>Ariai, F., Mackenzie, J., &amp; Demartini, G. 2025. Natural language processing for the legal domain: A survey of tasks, datasets, models, and challenges. ACM Computing Surveys, 58(6): 163.</w:t>
      </w:r>
    </w:p>
    <w:p w14:paraId="718176B2" w14:textId="77777777" w:rsidR="00622347" w:rsidRPr="00796D4B" w:rsidRDefault="003A42BC">
      <w:pPr>
        <w:spacing w:after="48" w:line="240" w:lineRule="auto"/>
        <w:ind w:left="482" w:hanging="482"/>
        <w:jc w:val="both"/>
      </w:pPr>
      <w:r w:rsidRPr="00796D4B">
        <w:t>Chalkidis, I., Androutsopoulos, I., &amp; Aletras,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Heyes, A., &amp; Saberian, S. 2019. Temperature and decisions: Evidence from 207,000 court cases. American Economic Journal: Applied Economics, 11(2): 238-265.</w:t>
      </w:r>
    </w:p>
    <w:p w14:paraId="55FB52E6" w14:textId="77777777" w:rsidR="00622347" w:rsidRPr="00796D4B" w:rsidRDefault="003A42BC">
      <w:pPr>
        <w:spacing w:after="48" w:line="240" w:lineRule="auto"/>
        <w:ind w:left="482" w:hanging="482"/>
        <w:jc w:val="both"/>
      </w:pPr>
      <w:r w:rsidRPr="00796D4B">
        <w:t>Hsieh, D., Chen, L., &amp; Sun, T. 2021. Legal judgment prediction based on machine learning: Predicting the discretionary damages of mental suffering in fatal car accident cases. Applied Sciences, 11(21): 10361.</w:t>
      </w:r>
    </w:p>
    <w:p w14:paraId="25A826C9" w14:textId="77777777" w:rsidR="00622347" w:rsidRPr="00796D4B" w:rsidRDefault="003A42BC">
      <w:pPr>
        <w:spacing w:after="48" w:line="240" w:lineRule="auto"/>
        <w:ind w:left="482" w:hanging="482"/>
        <w:jc w:val="both"/>
      </w:pPr>
      <w:r w:rsidRPr="00796D4B">
        <w:t>Mamakas, D., Tsotsi, P., Androutsopoulos, I., &amp; Chalkidis, I. 2022. Processing long legal documents with pre-trained transformers: Modding LegalBERT and Longformer. Proceedings of the Natural Legal Language Processing Workshop: 130-142.</w:t>
      </w:r>
    </w:p>
    <w:p w14:paraId="3EE4AFB5" w14:textId="77777777" w:rsidR="00622347" w:rsidRPr="00796D4B" w:rsidRDefault="003A42BC">
      <w:pPr>
        <w:spacing w:after="48" w:line="240" w:lineRule="auto"/>
        <w:ind w:left="482" w:hanging="482"/>
        <w:jc w:val="both"/>
      </w:pPr>
      <w:r w:rsidRPr="00796D4B">
        <w:t>Manning, C. D., Raghavan, P., &amp; Schutze, H. 2009. Introduction to information retrieval. Cambridge University Press.</w:t>
      </w:r>
    </w:p>
    <w:p w14:paraId="66357F8E" w14:textId="77777777" w:rsidR="00622347" w:rsidRPr="00796D4B" w:rsidRDefault="003A42BC">
      <w:pPr>
        <w:spacing w:after="48" w:line="240" w:lineRule="auto"/>
        <w:ind w:left="482" w:hanging="482"/>
        <w:jc w:val="both"/>
      </w:pPr>
      <w:r w:rsidRPr="00796D4B">
        <w:t>Surdeanu, M., Nallapati,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6C4C" w14:textId="77777777" w:rsidR="001C1637" w:rsidRPr="00796D4B" w:rsidRDefault="001C1637">
      <w:pPr>
        <w:spacing w:after="0" w:line="240" w:lineRule="auto"/>
      </w:pPr>
      <w:r w:rsidRPr="00796D4B">
        <w:separator/>
      </w:r>
    </w:p>
  </w:endnote>
  <w:endnote w:type="continuationSeparator" w:id="0">
    <w:p w14:paraId="0259514F" w14:textId="77777777" w:rsidR="001C1637" w:rsidRPr="00796D4B" w:rsidRDefault="001C1637">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標楷體">
    <w:altName w:val="Cambria"/>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D6770" w14:textId="77777777" w:rsidR="00622347" w:rsidRPr="00796D4B" w:rsidRDefault="00622347">
    <w:pPr>
      <w:pStyle w:val="a8"/>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52C3" w14:textId="77777777" w:rsidR="00622347" w:rsidRPr="00796D4B" w:rsidRDefault="003A42BC">
    <w:pPr>
      <w:pStyle w:val="a8"/>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9820" w14:textId="77777777" w:rsidR="00622347" w:rsidRPr="00796D4B" w:rsidRDefault="00622347">
    <w:pPr>
      <w:pStyle w:val="a8"/>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578F3" w14:textId="77777777" w:rsidR="001C1637" w:rsidRPr="00796D4B" w:rsidRDefault="001C1637">
      <w:pPr>
        <w:spacing w:after="0" w:line="240" w:lineRule="auto"/>
      </w:pPr>
      <w:r w:rsidRPr="00796D4B">
        <w:separator/>
      </w:r>
    </w:p>
  </w:footnote>
  <w:footnote w:type="continuationSeparator" w:id="0">
    <w:p w14:paraId="78EB5CCF" w14:textId="77777777" w:rsidR="001C1637" w:rsidRPr="00796D4B" w:rsidRDefault="001C1637">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D106" w14:textId="77777777" w:rsidR="00622347" w:rsidRPr="00796D4B" w:rsidRDefault="00622347">
    <w:pPr>
      <w:pStyle w:val="a6"/>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CA0" w14:textId="77777777" w:rsidR="00622347" w:rsidRPr="00796D4B" w:rsidRDefault="003A42BC">
    <w:pPr>
      <w:pStyle w:val="a6"/>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6720" w14:textId="77777777" w:rsidR="00622347" w:rsidRPr="00796D4B" w:rsidRDefault="00622347">
    <w:pPr>
      <w:pStyle w:val="a6"/>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6A04C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1"/>
    <w:lvl w:ilvl="0">
      <w:start w:val="1"/>
      <w:numFmt w:val="ideographTraditional"/>
      <w:suff w:val="nothing"/>
      <w:lvlText w:val="%1、"/>
      <w:lvlJc w:val="left"/>
      <w:pPr>
        <w:ind w:left="425" w:hanging="425"/>
      </w:pPr>
      <w:rPr>
        <w:rFonts w:ascii="Times New Roman" w:eastAsia="標楷體"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637"/>
    <w:rsid w:val="00224462"/>
    <w:rsid w:val="00280661"/>
    <w:rsid w:val="0029639D"/>
    <w:rsid w:val="002D3E45"/>
    <w:rsid w:val="00313AC5"/>
    <w:rsid w:val="00326F90"/>
    <w:rsid w:val="003723E6"/>
    <w:rsid w:val="003A42BC"/>
    <w:rsid w:val="004A7BB8"/>
    <w:rsid w:val="004E0113"/>
    <w:rsid w:val="004E2827"/>
    <w:rsid w:val="005227C7"/>
    <w:rsid w:val="00601061"/>
    <w:rsid w:val="00622347"/>
    <w:rsid w:val="006A5429"/>
    <w:rsid w:val="006A6DDB"/>
    <w:rsid w:val="006C2E8B"/>
    <w:rsid w:val="006E546B"/>
    <w:rsid w:val="00727429"/>
    <w:rsid w:val="00740F39"/>
    <w:rsid w:val="00796D4B"/>
    <w:rsid w:val="007F28FF"/>
    <w:rsid w:val="007F35F1"/>
    <w:rsid w:val="00A51AE3"/>
    <w:rsid w:val="00A842CE"/>
    <w:rsid w:val="00AA1D8D"/>
    <w:rsid w:val="00B15E43"/>
    <w:rsid w:val="00B47730"/>
    <w:rsid w:val="00CB0664"/>
    <w:rsid w:val="00F415E1"/>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rPr>
      <w:rFonts w:ascii="Times New Roman" w:eastAsia="標楷體" w:hAnsi="Times New Roman" w:cs="Times New Roman"/>
      <w:sz w:val="24"/>
    </w:rPr>
  </w:style>
  <w:style w:type="paragraph" w:styleId="1">
    <w:name w:val="heading 1"/>
    <w:basedOn w:val="a2"/>
    <w:next w:val="a2"/>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2"/>
    <w:next w:val="a2"/>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2"/>
    <w:next w:val="a2"/>
    <w:link w:val="32"/>
    <w:uiPriority w:val="9"/>
    <w:unhideWhenUsed/>
    <w:qFormat/>
    <w:rsid w:val="00FC693F"/>
    <w:pPr>
      <w:keepNext/>
      <w:keepLines/>
      <w:spacing w:before="200" w:after="0"/>
      <w:outlineLvl w:val="2"/>
    </w:pPr>
    <w:rPr>
      <w:b/>
      <w:bCs/>
      <w:color w:val="4F81BD" w:themeColor="accent1"/>
    </w:rPr>
  </w:style>
  <w:style w:type="paragraph" w:styleId="41">
    <w:name w:val="heading 4"/>
    <w:basedOn w:val="a2"/>
    <w:next w:val="a2"/>
    <w:link w:val="42"/>
    <w:uiPriority w:val="9"/>
    <w:semiHidden/>
    <w:unhideWhenUsed/>
    <w:qFormat/>
    <w:rsid w:val="00FC693F"/>
    <w:pPr>
      <w:keepNext/>
      <w:keepLines/>
      <w:spacing w:before="200" w:after="0"/>
      <w:outlineLvl w:val="3"/>
    </w:pPr>
    <w:rPr>
      <w:b/>
      <w:bCs/>
      <w:i/>
      <w:iCs/>
      <w:color w:val="4F81BD" w:themeColor="accent1"/>
    </w:rPr>
  </w:style>
  <w:style w:type="paragraph" w:styleId="51">
    <w:name w:val="heading 5"/>
    <w:basedOn w:val="a2"/>
    <w:next w:val="a2"/>
    <w:link w:val="52"/>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2"/>
    <w:next w:val="a2"/>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2"/>
    <w:next w:val="a2"/>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2"/>
    <w:next w:val="a2"/>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after="0" w:line="240" w:lineRule="auto"/>
    </w:pPr>
    <w:rPr>
      <w:rFonts w:hint="eastAsia"/>
    </w:rPr>
  </w:style>
  <w:style w:type="character" w:customStyle="1" w:styleId="a7">
    <w:name w:val="頁首 字元"/>
    <w:basedOn w:val="a3"/>
    <w:link w:val="a6"/>
    <w:uiPriority w:val="99"/>
    <w:rsid w:val="00E618BF"/>
    <w:rPr>
      <w:rFonts w:ascii="Times New Roman" w:eastAsia="標楷體" w:hAnsi="Times New Roman" w:cs="Times New Roman"/>
      <w:sz w:val="24"/>
    </w:rPr>
  </w:style>
  <w:style w:type="paragraph" w:styleId="a8">
    <w:name w:val="footer"/>
    <w:basedOn w:val="a2"/>
    <w:link w:val="a9"/>
    <w:uiPriority w:val="99"/>
    <w:unhideWhenUsed/>
    <w:rsid w:val="00E618BF"/>
    <w:pPr>
      <w:tabs>
        <w:tab w:val="center" w:pos="4680"/>
        <w:tab w:val="right" w:pos="9360"/>
      </w:tabs>
      <w:spacing w:after="0" w:line="240" w:lineRule="auto"/>
    </w:pPr>
    <w:rPr>
      <w:rFonts w:hint="eastAsia"/>
    </w:rPr>
  </w:style>
  <w:style w:type="character" w:customStyle="1" w:styleId="a9">
    <w:name w:val="頁尾 字元"/>
    <w:basedOn w:val="a3"/>
    <w:link w:val="a8"/>
    <w:uiPriority w:val="99"/>
    <w:rsid w:val="00E618BF"/>
    <w:rPr>
      <w:rFonts w:ascii="Times New Roman" w:eastAsia="標楷體" w:hAnsi="Times New Roman" w:cs="Times New Roman"/>
      <w:sz w:val="24"/>
    </w:rPr>
  </w:style>
  <w:style w:type="paragraph" w:styleId="aa">
    <w:name w:val="No Spacing"/>
    <w:uiPriority w:val="1"/>
    <w:qFormat/>
    <w:rsid w:val="00FC693F"/>
    <w:pPr>
      <w:spacing w:after="0" w:line="240" w:lineRule="auto"/>
    </w:pPr>
    <w:rPr>
      <w:rFonts w:ascii="Times New Roman" w:eastAsia="標楷體" w:hAnsi="Times New Roman" w:cs="Times New Roman"/>
    </w:rPr>
  </w:style>
  <w:style w:type="character" w:customStyle="1" w:styleId="10">
    <w:name w:val="標題 1 字元"/>
    <w:basedOn w:val="a3"/>
    <w:link w:val="1"/>
    <w:uiPriority w:val="9"/>
    <w:rsid w:val="00FC693F"/>
    <w:rPr>
      <w:rFonts w:ascii="Times New Roman" w:eastAsia="標楷體" w:hAnsi="Times New Roman" w:cs="Times New Roman"/>
      <w:b/>
      <w:bCs/>
      <w:color w:val="365F91" w:themeColor="accent1" w:themeShade="BF"/>
      <w:sz w:val="28"/>
      <w:szCs w:val="28"/>
    </w:rPr>
  </w:style>
  <w:style w:type="character" w:customStyle="1" w:styleId="22">
    <w:name w:val="標題 2 字元"/>
    <w:basedOn w:val="a3"/>
    <w:link w:val="21"/>
    <w:uiPriority w:val="9"/>
    <w:rsid w:val="00FC693F"/>
    <w:rPr>
      <w:rFonts w:ascii="Times New Roman" w:eastAsia="標楷體" w:hAnsi="Times New Roman" w:cs="Times New Roman"/>
      <w:b/>
      <w:bCs/>
      <w:color w:val="4F81BD" w:themeColor="accent1"/>
      <w:sz w:val="26"/>
      <w:szCs w:val="26"/>
    </w:rPr>
  </w:style>
  <w:style w:type="character" w:customStyle="1" w:styleId="32">
    <w:name w:val="標題 3 字元"/>
    <w:basedOn w:val="a3"/>
    <w:link w:val="31"/>
    <w:uiPriority w:val="9"/>
    <w:rsid w:val="00FC693F"/>
    <w:rPr>
      <w:rFonts w:ascii="Times New Roman" w:eastAsia="標楷體" w:hAnsi="Times New Roman" w:cs="Times New Roman"/>
      <w:b/>
      <w:bCs/>
      <w:color w:val="4F81BD" w:themeColor="accent1"/>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c">
    <w:name w:val="標題 字元"/>
    <w:basedOn w:val="a3"/>
    <w:link w:val="ab"/>
    <w:uiPriority w:val="10"/>
    <w:rsid w:val="00FC693F"/>
    <w:rPr>
      <w:rFonts w:ascii="Times New Roman" w:eastAsia="標楷體" w:hAnsi="Times New Roman" w:cs="Times New Roman"/>
      <w:color w:val="17365D" w:themeColor="text2" w:themeShade="BF"/>
      <w:spacing w:val="5"/>
      <w:kern w:val="28"/>
      <w:sz w:val="52"/>
      <w:szCs w:val="52"/>
    </w:rPr>
  </w:style>
  <w:style w:type="paragraph" w:styleId="ad">
    <w:name w:val="Subtitle"/>
    <w:basedOn w:val="a2"/>
    <w:next w:val="a2"/>
    <w:link w:val="ae"/>
    <w:uiPriority w:val="11"/>
    <w:qFormat/>
    <w:rsid w:val="00FC693F"/>
    <w:pPr>
      <w:numPr>
        <w:ilvl w:val="1"/>
      </w:numPr>
    </w:pPr>
    <w:rPr>
      <w:i/>
      <w:iCs/>
      <w:color w:val="4F81BD" w:themeColor="accent1"/>
      <w:spacing w:val="15"/>
      <w:szCs w:val="24"/>
    </w:rPr>
  </w:style>
  <w:style w:type="character" w:customStyle="1" w:styleId="ae">
    <w:name w:val="副標題 字元"/>
    <w:basedOn w:val="a3"/>
    <w:link w:val="ad"/>
    <w:uiPriority w:val="11"/>
    <w:rsid w:val="00FC693F"/>
    <w:rPr>
      <w:rFonts w:ascii="Times New Roman" w:eastAsia="標楷體" w:hAnsi="Times New Roman" w:cs="Times New Roman"/>
      <w:i/>
      <w:iCs/>
      <w:color w:val="4F81BD" w:themeColor="accent1"/>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本文 字元"/>
    <w:basedOn w:val="a3"/>
    <w:link w:val="af0"/>
    <w:uiPriority w:val="99"/>
    <w:rsid w:val="00AA1D8D"/>
    <w:rPr>
      <w:rFonts w:ascii="Times New Roman" w:eastAsia="標楷體" w:hAnsi="Times New Roman" w:cs="Times New Roman"/>
      <w:sz w:val="24"/>
    </w:rPr>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rPr>
      <w:rFonts w:ascii="Times New Roman" w:eastAsia="標楷體" w:hAnsi="Times New Roman" w:cs="Times New Roman"/>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rFonts w:ascii="Times New Roman" w:eastAsia="標楷體" w:hAnsi="Times New Roman" w:cs="Times New Roman"/>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標楷體" w:hAnsi="Times New Roman" w:cs="Times New Roman"/>
      <w:sz w:val="20"/>
      <w:szCs w:val="20"/>
    </w:rPr>
  </w:style>
  <w:style w:type="character" w:customStyle="1" w:styleId="af5">
    <w:name w:val="巨集文字 字元"/>
    <w:basedOn w:val="a3"/>
    <w:link w:val="af4"/>
    <w:uiPriority w:val="99"/>
    <w:rsid w:val="0029639D"/>
    <w:rPr>
      <w:rFonts w:ascii="Times New Roman" w:eastAsia="標楷體" w:hAnsi="Times New Roman" w:cs="Times New Roman"/>
      <w:sz w:val="20"/>
      <w:szCs w:val="20"/>
    </w:rPr>
  </w:style>
  <w:style w:type="paragraph" w:styleId="af6">
    <w:name w:val="Quote"/>
    <w:basedOn w:val="a2"/>
    <w:next w:val="a2"/>
    <w:link w:val="af7"/>
    <w:uiPriority w:val="29"/>
    <w:qFormat/>
    <w:rsid w:val="00FC693F"/>
    <w:rPr>
      <w:i/>
      <w:iCs/>
      <w:color w:val="000000" w:themeColor="text1"/>
    </w:rPr>
  </w:style>
  <w:style w:type="character" w:customStyle="1" w:styleId="af7">
    <w:name w:val="引文 字元"/>
    <w:basedOn w:val="a3"/>
    <w:link w:val="af6"/>
    <w:uiPriority w:val="29"/>
    <w:rsid w:val="00FC693F"/>
    <w:rPr>
      <w:rFonts w:ascii="Times New Roman" w:eastAsia="標楷體" w:hAnsi="Times New Roman" w:cs="Times New Roman"/>
      <w:i/>
      <w:iCs/>
      <w:color w:val="000000" w:themeColor="text1"/>
      <w:sz w:val="24"/>
    </w:rPr>
  </w:style>
  <w:style w:type="character" w:customStyle="1" w:styleId="42">
    <w:name w:val="標題 4 字元"/>
    <w:basedOn w:val="a3"/>
    <w:link w:val="41"/>
    <w:uiPriority w:val="9"/>
    <w:semiHidden/>
    <w:rsid w:val="00FC693F"/>
    <w:rPr>
      <w:rFonts w:ascii="Times New Roman" w:eastAsia="標楷體" w:hAnsi="Times New Roman" w:cs="Times New Roman"/>
      <w:b/>
      <w:bCs/>
      <w:i/>
      <w:iCs/>
      <w:color w:val="4F81BD" w:themeColor="accent1"/>
      <w:sz w:val="24"/>
    </w:rPr>
  </w:style>
  <w:style w:type="character" w:customStyle="1" w:styleId="52">
    <w:name w:val="標題 5 字元"/>
    <w:basedOn w:val="a3"/>
    <w:link w:val="51"/>
    <w:uiPriority w:val="9"/>
    <w:semiHidden/>
    <w:rsid w:val="00FC693F"/>
    <w:rPr>
      <w:rFonts w:ascii="Times New Roman" w:eastAsia="標楷體" w:hAnsi="Times New Roman" w:cs="Times New Roman"/>
      <w:color w:val="243F60" w:themeColor="accent1" w:themeShade="7F"/>
      <w:sz w:val="24"/>
    </w:rPr>
  </w:style>
  <w:style w:type="character" w:customStyle="1" w:styleId="60">
    <w:name w:val="標題 6 字元"/>
    <w:basedOn w:val="a3"/>
    <w:link w:val="6"/>
    <w:uiPriority w:val="9"/>
    <w:semiHidden/>
    <w:rsid w:val="00FC693F"/>
    <w:rPr>
      <w:rFonts w:ascii="Times New Roman" w:eastAsia="標楷體" w:hAnsi="Times New Roman" w:cs="Times New Roman"/>
      <w:i/>
      <w:iCs/>
      <w:color w:val="243F60" w:themeColor="accent1" w:themeShade="7F"/>
      <w:sz w:val="24"/>
    </w:rPr>
  </w:style>
  <w:style w:type="character" w:customStyle="1" w:styleId="70">
    <w:name w:val="標題 7 字元"/>
    <w:basedOn w:val="a3"/>
    <w:link w:val="7"/>
    <w:uiPriority w:val="9"/>
    <w:semiHidden/>
    <w:rsid w:val="00FC693F"/>
    <w:rPr>
      <w:rFonts w:ascii="Times New Roman" w:eastAsia="標楷體" w:hAnsi="Times New Roman" w:cs="Times New Roman"/>
      <w:i/>
      <w:iCs/>
      <w:color w:val="404040" w:themeColor="text1" w:themeTint="BF"/>
      <w:sz w:val="24"/>
    </w:rPr>
  </w:style>
  <w:style w:type="character" w:customStyle="1" w:styleId="80">
    <w:name w:val="標題 8 字元"/>
    <w:basedOn w:val="a3"/>
    <w:link w:val="8"/>
    <w:uiPriority w:val="9"/>
    <w:semiHidden/>
    <w:rsid w:val="00FC693F"/>
    <w:rPr>
      <w:rFonts w:ascii="Times New Roman" w:eastAsia="標楷體" w:hAnsi="Times New Roman" w:cs="Times New Roman"/>
      <w:color w:val="4F81BD" w:themeColor="accent1"/>
      <w:sz w:val="20"/>
      <w:szCs w:val="20"/>
    </w:rPr>
  </w:style>
  <w:style w:type="character" w:customStyle="1" w:styleId="90">
    <w:name w:val="標題 9 字元"/>
    <w:basedOn w:val="a3"/>
    <w:link w:val="9"/>
    <w:uiPriority w:val="9"/>
    <w:semiHidden/>
    <w:rsid w:val="00FC693F"/>
    <w:rPr>
      <w:rFonts w:ascii="Times New Roman" w:eastAsia="標楷體" w:hAnsi="Times New Roman" w:cs="Times New Roman"/>
      <w:i/>
      <w:iCs/>
      <w:color w:val="404040" w:themeColor="text1" w:themeTint="BF"/>
      <w:sz w:val="20"/>
      <w:szCs w:val="20"/>
    </w:rPr>
  </w:style>
  <w:style w:type="paragraph" w:styleId="af8">
    <w:name w:val="caption"/>
    <w:basedOn w:val="a2"/>
    <w:next w:val="a2"/>
    <w:uiPriority w:val="35"/>
    <w:semiHidden/>
    <w:unhideWhenUsed/>
    <w:qFormat/>
    <w:rsid w:val="00FC693F"/>
    <w:pPr>
      <w:spacing w:line="240" w:lineRule="auto"/>
    </w:pPr>
    <w:rPr>
      <w:b/>
      <w:bCs/>
      <w:color w:val="4F81BD" w:themeColor="accent1"/>
      <w:sz w:val="18"/>
      <w:szCs w:val="18"/>
    </w:rPr>
  </w:style>
  <w:style w:type="character" w:styleId="af9">
    <w:name w:val="Strong"/>
    <w:basedOn w:val="a3"/>
    <w:uiPriority w:val="22"/>
    <w:qFormat/>
    <w:rsid w:val="00FC693F"/>
    <w:rPr>
      <w:rFonts w:ascii="Times New Roman" w:eastAsia="標楷體" w:hAnsi="Times New Roman" w:cs="Times New Roman"/>
      <w:b/>
      <w:bCs/>
    </w:rPr>
  </w:style>
  <w:style w:type="character" w:styleId="afa">
    <w:name w:val="Emphasis"/>
    <w:basedOn w:val="a3"/>
    <w:uiPriority w:val="20"/>
    <w:qFormat/>
    <w:rsid w:val="00FC693F"/>
    <w:rPr>
      <w:rFonts w:ascii="Times New Roman" w:eastAsia="標楷體" w:hAnsi="Times New Roman" w:cs="Times New Roman"/>
      <w:i/>
      <w:iCs/>
    </w:rPr>
  </w:style>
  <w:style w:type="paragraph" w:styleId="afb">
    <w:name w:val="Intense Quote"/>
    <w:basedOn w:val="a2"/>
    <w:next w:val="a2"/>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鮮明引文 字元"/>
    <w:basedOn w:val="a3"/>
    <w:link w:val="afb"/>
    <w:uiPriority w:val="30"/>
    <w:rsid w:val="00FC693F"/>
    <w:rPr>
      <w:rFonts w:ascii="Times New Roman" w:eastAsia="標楷體" w:hAnsi="Times New Roman" w:cs="Times New Roman"/>
      <w:b/>
      <w:bCs/>
      <w:i/>
      <w:iCs/>
      <w:color w:val="4F81BD" w:themeColor="accent1"/>
      <w:sz w:val="24"/>
    </w:rPr>
  </w:style>
  <w:style w:type="character" w:styleId="afd">
    <w:name w:val="Subtle Emphasis"/>
    <w:basedOn w:val="a3"/>
    <w:uiPriority w:val="19"/>
    <w:qFormat/>
    <w:rsid w:val="00FC693F"/>
    <w:rPr>
      <w:rFonts w:ascii="Times New Roman" w:eastAsia="標楷體" w:hAnsi="Times New Roman" w:cs="Times New Roman"/>
      <w:i/>
      <w:iCs/>
      <w:color w:val="808080" w:themeColor="text1" w:themeTint="7F"/>
    </w:rPr>
  </w:style>
  <w:style w:type="character" w:styleId="afe">
    <w:name w:val="Intense Emphasis"/>
    <w:basedOn w:val="a3"/>
    <w:uiPriority w:val="21"/>
    <w:qFormat/>
    <w:rsid w:val="00FC693F"/>
    <w:rPr>
      <w:rFonts w:ascii="Times New Roman" w:eastAsia="標楷體" w:hAnsi="Times New Roman" w:cs="Times New Roman"/>
      <w:b/>
      <w:bCs/>
      <w:i/>
      <w:iCs/>
      <w:color w:val="4F81BD" w:themeColor="accent1"/>
    </w:rPr>
  </w:style>
  <w:style w:type="character" w:styleId="aff">
    <w:name w:val="Subtle Reference"/>
    <w:basedOn w:val="a3"/>
    <w:uiPriority w:val="31"/>
    <w:qFormat/>
    <w:rsid w:val="00FC693F"/>
    <w:rPr>
      <w:rFonts w:ascii="Times New Roman" w:eastAsia="標楷體" w:hAnsi="Times New Roman" w:cs="Times New Roman"/>
      <w:smallCaps/>
      <w:color w:val="C0504D" w:themeColor="accent2"/>
      <w:u w:val="single"/>
    </w:rPr>
  </w:style>
  <w:style w:type="character" w:styleId="aff0">
    <w:name w:val="Intense Reference"/>
    <w:basedOn w:val="a3"/>
    <w:uiPriority w:val="32"/>
    <w:qFormat/>
    <w:rsid w:val="00FC693F"/>
    <w:rPr>
      <w:rFonts w:ascii="Times New Roman" w:eastAsia="標楷體" w:hAnsi="Times New Roman" w:cs="Times New Roman"/>
      <w:b/>
      <w:bCs/>
      <w:smallCaps/>
      <w:color w:val="C0504D" w:themeColor="accent2"/>
      <w:spacing w:val="5"/>
      <w:u w:val="single"/>
    </w:rPr>
  </w:style>
  <w:style w:type="character" w:styleId="aff1">
    <w:name w:val="Book Title"/>
    <w:basedOn w:val="a3"/>
    <w:uiPriority w:val="33"/>
    <w:qFormat/>
    <w:rsid w:val="00FC693F"/>
    <w:rPr>
      <w:rFonts w:ascii="Times New Roman" w:eastAsia="標楷體" w:hAnsi="Times New Roman" w:cs="Times New Roman"/>
      <w:b/>
      <w:bCs/>
      <w:smallCaps/>
      <w:spacing w:val="5"/>
    </w:rPr>
  </w:style>
  <w:style w:type="paragraph" w:styleId="aff2">
    <w:name w:val="TOC Heading"/>
    <w:basedOn w:val="1"/>
    <w:next w:val="a2"/>
    <w:uiPriority w:val="39"/>
    <w:semiHidden/>
    <w:unhideWhenUsed/>
    <w:qFormat/>
    <w:rsid w:val="00FC693F"/>
    <w:pPr>
      <w:outlineLvl w:val="9"/>
    </w:pPr>
  </w:style>
  <w:style w:type="table" w:styleId="aff3">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4"/>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4"/>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a5"/>
    <w:uiPriority w:val="99"/>
    <w:semiHidden/>
    <w:unhideWhenUsed/>
    <w:rsid w:val="00796D4B"/>
    <w:pPr>
      <w:numPr>
        <w:numId w:val="10"/>
      </w:numPr>
    </w:pPr>
  </w:style>
  <w:style w:type="numbering" w:styleId="1ai">
    <w:name w:val="Outline List 1"/>
    <w:basedOn w:val="a5"/>
    <w:uiPriority w:val="99"/>
    <w:semiHidden/>
    <w:unhideWhenUsed/>
    <w:rsid w:val="00796D4B"/>
    <w:pPr>
      <w:numPr>
        <w:numId w:val="11"/>
      </w:numPr>
    </w:pPr>
  </w:style>
  <w:style w:type="character" w:styleId="HTML">
    <w:name w:val="HTML Cite"/>
    <w:basedOn w:val="a3"/>
    <w:uiPriority w:val="99"/>
    <w:semiHidden/>
    <w:unhideWhenUsed/>
    <w:rsid w:val="00796D4B"/>
    <w:rPr>
      <w:rFonts w:ascii="Times New Roman" w:eastAsia="標楷體" w:hAnsi="Times New Roman" w:cs="Times New Roman"/>
      <w:i/>
      <w:iCs/>
    </w:rPr>
  </w:style>
  <w:style w:type="character" w:styleId="HTML0">
    <w:name w:val="HTML Typewriter"/>
    <w:basedOn w:val="a3"/>
    <w:uiPriority w:val="99"/>
    <w:semiHidden/>
    <w:unhideWhenUsed/>
    <w:rsid w:val="00796D4B"/>
    <w:rPr>
      <w:rFonts w:ascii="Times New Roman" w:eastAsia="標楷體" w:hAnsi="Times New Roman" w:cs="Times New Roman"/>
      <w:sz w:val="20"/>
      <w:szCs w:val="20"/>
    </w:rPr>
  </w:style>
  <w:style w:type="paragraph" w:styleId="HTML1">
    <w:name w:val="HTML Address"/>
    <w:basedOn w:val="a2"/>
    <w:link w:val="HTML2"/>
    <w:uiPriority w:val="99"/>
    <w:semiHidden/>
    <w:unhideWhenUsed/>
    <w:rsid w:val="00796D4B"/>
    <w:rPr>
      <w:i/>
      <w:iCs/>
    </w:rPr>
  </w:style>
  <w:style w:type="character" w:customStyle="1" w:styleId="HTML2">
    <w:name w:val="HTML 位址 字元"/>
    <w:basedOn w:val="a3"/>
    <w:link w:val="HTML1"/>
    <w:uiPriority w:val="99"/>
    <w:semiHidden/>
    <w:rsid w:val="00796D4B"/>
    <w:rPr>
      <w:rFonts w:ascii="Times New Roman" w:eastAsia="標楷體" w:hAnsi="Times New Roman" w:cs="Times New Roman"/>
      <w:i/>
      <w:iCs/>
      <w:sz w:val="24"/>
    </w:rPr>
  </w:style>
  <w:style w:type="character" w:styleId="HTML3">
    <w:name w:val="HTML Definition"/>
    <w:basedOn w:val="a3"/>
    <w:uiPriority w:val="99"/>
    <w:semiHidden/>
    <w:unhideWhenUsed/>
    <w:rsid w:val="00796D4B"/>
    <w:rPr>
      <w:rFonts w:ascii="Times New Roman" w:eastAsia="標楷體" w:hAnsi="Times New Roman" w:cs="Times New Roman"/>
      <w:i/>
      <w:iCs/>
    </w:rPr>
  </w:style>
  <w:style w:type="character" w:styleId="HTML4">
    <w:name w:val="HTML Code"/>
    <w:basedOn w:val="a3"/>
    <w:uiPriority w:val="99"/>
    <w:semiHidden/>
    <w:unhideWhenUsed/>
    <w:rsid w:val="00796D4B"/>
    <w:rPr>
      <w:rFonts w:ascii="Times New Roman" w:eastAsia="標楷體" w:hAnsi="Times New Roman" w:cs="Times New Roman"/>
      <w:sz w:val="20"/>
      <w:szCs w:val="20"/>
    </w:rPr>
  </w:style>
  <w:style w:type="paragraph" w:styleId="HTML5">
    <w:name w:val="HTML Preformatted"/>
    <w:basedOn w:val="a2"/>
    <w:link w:val="HTML6"/>
    <w:uiPriority w:val="99"/>
    <w:semiHidden/>
    <w:unhideWhenUsed/>
    <w:rsid w:val="00796D4B"/>
    <w:rPr>
      <w:sz w:val="20"/>
      <w:szCs w:val="20"/>
    </w:rPr>
  </w:style>
  <w:style w:type="character" w:customStyle="1" w:styleId="HTML6">
    <w:name w:val="HTML 預設格式 字元"/>
    <w:basedOn w:val="a3"/>
    <w:link w:val="HTML5"/>
    <w:uiPriority w:val="99"/>
    <w:semiHidden/>
    <w:rsid w:val="00796D4B"/>
    <w:rPr>
      <w:rFonts w:ascii="Times New Roman" w:eastAsia="標楷體" w:hAnsi="Times New Roman" w:cs="Times New Roman"/>
      <w:sz w:val="20"/>
      <w:szCs w:val="20"/>
    </w:rPr>
  </w:style>
  <w:style w:type="character" w:styleId="HTML7">
    <w:name w:val="HTML Sample"/>
    <w:basedOn w:val="a3"/>
    <w:uiPriority w:val="99"/>
    <w:semiHidden/>
    <w:unhideWhenUsed/>
    <w:rsid w:val="00796D4B"/>
    <w:rPr>
      <w:rFonts w:ascii="Times New Roman" w:eastAsia="標楷體" w:hAnsi="Times New Roman" w:cs="Times New Roman"/>
    </w:rPr>
  </w:style>
  <w:style w:type="character" w:styleId="HTML8">
    <w:name w:val="HTML Acronym"/>
    <w:basedOn w:val="a3"/>
    <w:uiPriority w:val="99"/>
    <w:semiHidden/>
    <w:unhideWhenUsed/>
    <w:rsid w:val="00796D4B"/>
    <w:rPr>
      <w:rFonts w:ascii="Times New Roman" w:eastAsia="標楷體" w:hAnsi="Times New Roman" w:cs="Times New Roman"/>
    </w:rPr>
  </w:style>
  <w:style w:type="character" w:styleId="HTML9">
    <w:name w:val="HTML Keyboard"/>
    <w:basedOn w:val="a3"/>
    <w:uiPriority w:val="99"/>
    <w:semiHidden/>
    <w:unhideWhenUsed/>
    <w:rsid w:val="00796D4B"/>
    <w:rPr>
      <w:rFonts w:ascii="Times New Roman" w:eastAsia="標楷體" w:hAnsi="Times New Roman" w:cs="Times New Roman"/>
      <w:sz w:val="20"/>
      <w:szCs w:val="20"/>
    </w:rPr>
  </w:style>
  <w:style w:type="character" w:styleId="HTMLa">
    <w:name w:val="HTML Variable"/>
    <w:basedOn w:val="a3"/>
    <w:uiPriority w:val="99"/>
    <w:semiHidden/>
    <w:unhideWhenUsed/>
    <w:rsid w:val="00796D4B"/>
    <w:rPr>
      <w:rFonts w:ascii="Times New Roman" w:eastAsia="標楷體" w:hAnsi="Times New Roman" w:cs="Times New Roman"/>
      <w:i/>
      <w:iCs/>
    </w:rPr>
  </w:style>
  <w:style w:type="character" w:styleId="affb">
    <w:name w:val="FollowedHyperlink"/>
    <w:basedOn w:val="a3"/>
    <w:uiPriority w:val="99"/>
    <w:semiHidden/>
    <w:unhideWhenUsed/>
    <w:rsid w:val="00796D4B"/>
    <w:rPr>
      <w:rFonts w:ascii="Times New Roman" w:eastAsia="標楷體" w:hAnsi="Times New Roman" w:cs="Times New Roman"/>
      <w:color w:val="800080" w:themeColor="followedHyperlink"/>
      <w:u w:val="single"/>
    </w:rPr>
  </w:style>
  <w:style w:type="paragraph" w:styleId="Web">
    <w:name w:val="Normal (Web)"/>
    <w:basedOn w:val="a2"/>
    <w:uiPriority w:val="99"/>
    <w:semiHidden/>
    <w:unhideWhenUsed/>
    <w:rsid w:val="00796D4B"/>
    <w:rPr>
      <w:szCs w:val="24"/>
    </w:rPr>
  </w:style>
  <w:style w:type="paragraph" w:styleId="affc">
    <w:name w:val="Normal Indent"/>
    <w:basedOn w:val="a2"/>
    <w:uiPriority w:val="99"/>
    <w:semiHidden/>
    <w:unhideWhenUsed/>
    <w:rsid w:val="00796D4B"/>
    <w:pPr>
      <w:ind w:leftChars="200" w:left="480"/>
    </w:pPr>
  </w:style>
  <w:style w:type="paragraph" w:styleId="affd">
    <w:name w:val="Document Map"/>
    <w:basedOn w:val="a2"/>
    <w:link w:val="affe"/>
    <w:uiPriority w:val="99"/>
    <w:semiHidden/>
    <w:unhideWhenUsed/>
    <w:rsid w:val="00796D4B"/>
    <w:rPr>
      <w:sz w:val="18"/>
      <w:szCs w:val="18"/>
    </w:rPr>
  </w:style>
  <w:style w:type="character" w:customStyle="1" w:styleId="affe">
    <w:name w:val="文件引導模式 字元"/>
    <w:basedOn w:val="a3"/>
    <w:link w:val="affd"/>
    <w:uiPriority w:val="99"/>
    <w:semiHidden/>
    <w:rsid w:val="00796D4B"/>
    <w:rPr>
      <w:rFonts w:ascii="Times New Roman" w:eastAsia="標楷體" w:hAnsi="Times New Roman" w:cs="Times New Roman"/>
      <w:sz w:val="18"/>
      <w:szCs w:val="18"/>
    </w:rPr>
  </w:style>
  <w:style w:type="numbering" w:styleId="a1">
    <w:name w:val="Outline List 3"/>
    <w:basedOn w:val="a5"/>
    <w:uiPriority w:val="99"/>
    <w:semiHidden/>
    <w:unhideWhenUsed/>
    <w:rsid w:val="00796D4B"/>
    <w:pPr>
      <w:numPr>
        <w:numId w:val="12"/>
      </w:numPr>
    </w:pPr>
  </w:style>
  <w:style w:type="paragraph" w:styleId="afff">
    <w:name w:val="Date"/>
    <w:basedOn w:val="a2"/>
    <w:next w:val="a2"/>
    <w:link w:val="afff0"/>
    <w:uiPriority w:val="99"/>
    <w:semiHidden/>
    <w:unhideWhenUsed/>
    <w:rsid w:val="00796D4B"/>
    <w:pPr>
      <w:jc w:val="right"/>
    </w:pPr>
  </w:style>
  <w:style w:type="character" w:customStyle="1" w:styleId="afff0">
    <w:name w:val="日期 字元"/>
    <w:basedOn w:val="a3"/>
    <w:link w:val="afff"/>
    <w:uiPriority w:val="99"/>
    <w:semiHidden/>
    <w:rsid w:val="00796D4B"/>
    <w:rPr>
      <w:rFonts w:ascii="Times New Roman" w:eastAsia="標楷體" w:hAnsi="Times New Roman" w:cs="Times New Roman"/>
      <w:sz w:val="24"/>
    </w:rPr>
  </w:style>
  <w:style w:type="character" w:styleId="afff1">
    <w:name w:val="Unresolved Mention"/>
    <w:basedOn w:val="a3"/>
    <w:uiPriority w:val="99"/>
    <w:semiHidden/>
    <w:unhideWhenUsed/>
    <w:rsid w:val="00796D4B"/>
    <w:rPr>
      <w:rFonts w:ascii="Times New Roman" w:eastAsia="標楷體" w:hAnsi="Times New Roman" w:cs="Times New Roman"/>
      <w:color w:val="605E5C"/>
      <w:shd w:val="clear" w:color="auto" w:fill="E1DFDD"/>
    </w:rPr>
  </w:style>
  <w:style w:type="paragraph" w:styleId="afff2">
    <w:name w:val="Body Text First Indent"/>
    <w:basedOn w:val="af0"/>
    <w:link w:val="afff3"/>
    <w:uiPriority w:val="99"/>
    <w:semiHidden/>
    <w:unhideWhenUsed/>
    <w:rsid w:val="00796D4B"/>
    <w:pPr>
      <w:ind w:firstLineChars="100" w:firstLine="210"/>
    </w:pPr>
  </w:style>
  <w:style w:type="character" w:customStyle="1" w:styleId="afff3">
    <w:name w:val="本文第一層縮排 字元"/>
    <w:basedOn w:val="af1"/>
    <w:link w:val="afff2"/>
    <w:uiPriority w:val="99"/>
    <w:semiHidden/>
    <w:rsid w:val="00796D4B"/>
    <w:rPr>
      <w:rFonts w:ascii="Times New Roman" w:eastAsia="標楷體" w:hAnsi="Times New Roman" w:cs="Times New Roman"/>
      <w:sz w:val="24"/>
    </w:rPr>
  </w:style>
  <w:style w:type="paragraph" w:styleId="afff4">
    <w:name w:val="Body Text Indent"/>
    <w:basedOn w:val="a2"/>
    <w:link w:val="afff5"/>
    <w:uiPriority w:val="99"/>
    <w:semiHidden/>
    <w:unhideWhenUsed/>
    <w:rsid w:val="00796D4B"/>
    <w:pPr>
      <w:spacing w:after="120"/>
      <w:ind w:leftChars="200" w:left="480"/>
    </w:pPr>
  </w:style>
  <w:style w:type="character" w:customStyle="1" w:styleId="afff5">
    <w:name w:val="本文縮排 字元"/>
    <w:basedOn w:val="a3"/>
    <w:link w:val="afff4"/>
    <w:uiPriority w:val="99"/>
    <w:semiHidden/>
    <w:rsid w:val="00796D4B"/>
    <w:rPr>
      <w:rFonts w:ascii="Times New Roman" w:eastAsia="標楷體" w:hAnsi="Times New Roman" w:cs="Times New Roman"/>
      <w:sz w:val="24"/>
    </w:rPr>
  </w:style>
  <w:style w:type="paragraph" w:styleId="2a">
    <w:name w:val="Body Text First Indent 2"/>
    <w:basedOn w:val="afff4"/>
    <w:link w:val="2b"/>
    <w:uiPriority w:val="99"/>
    <w:semiHidden/>
    <w:unhideWhenUsed/>
    <w:rsid w:val="00796D4B"/>
    <w:pPr>
      <w:ind w:firstLineChars="100" w:firstLine="210"/>
    </w:pPr>
  </w:style>
  <w:style w:type="character" w:customStyle="1" w:styleId="2b">
    <w:name w:val="本文第一層縮排 2 字元"/>
    <w:basedOn w:val="afff5"/>
    <w:link w:val="2a"/>
    <w:uiPriority w:val="99"/>
    <w:semiHidden/>
    <w:rsid w:val="00796D4B"/>
    <w:rPr>
      <w:rFonts w:ascii="Times New Roman" w:eastAsia="標楷體" w:hAnsi="Times New Roman" w:cs="Times New Roman"/>
      <w:sz w:val="24"/>
    </w:rPr>
  </w:style>
  <w:style w:type="paragraph" w:styleId="2c">
    <w:name w:val="Body Text Indent 2"/>
    <w:basedOn w:val="a2"/>
    <w:link w:val="2d"/>
    <w:uiPriority w:val="99"/>
    <w:semiHidden/>
    <w:unhideWhenUsed/>
    <w:rsid w:val="00796D4B"/>
    <w:pPr>
      <w:spacing w:after="120" w:line="480" w:lineRule="auto"/>
      <w:ind w:leftChars="200" w:left="480"/>
    </w:pPr>
  </w:style>
  <w:style w:type="character" w:customStyle="1" w:styleId="2d">
    <w:name w:val="本文縮排 2 字元"/>
    <w:basedOn w:val="a3"/>
    <w:link w:val="2c"/>
    <w:uiPriority w:val="99"/>
    <w:semiHidden/>
    <w:rsid w:val="00796D4B"/>
    <w:rPr>
      <w:rFonts w:ascii="Times New Roman" w:eastAsia="標楷體" w:hAnsi="Times New Roman" w:cs="Times New Roman"/>
      <w:sz w:val="24"/>
    </w:rPr>
  </w:style>
  <w:style w:type="paragraph" w:styleId="38">
    <w:name w:val="Body Text Indent 3"/>
    <w:basedOn w:val="a2"/>
    <w:link w:val="39"/>
    <w:uiPriority w:val="99"/>
    <w:semiHidden/>
    <w:unhideWhenUsed/>
    <w:rsid w:val="00796D4B"/>
    <w:pPr>
      <w:spacing w:after="120"/>
      <w:ind w:leftChars="200" w:left="480"/>
    </w:pPr>
    <w:rPr>
      <w:sz w:val="16"/>
      <w:szCs w:val="16"/>
    </w:rPr>
  </w:style>
  <w:style w:type="character" w:customStyle="1" w:styleId="39">
    <w:name w:val="本文縮排 3 字元"/>
    <w:basedOn w:val="a3"/>
    <w:link w:val="38"/>
    <w:uiPriority w:val="99"/>
    <w:semiHidden/>
    <w:rsid w:val="00796D4B"/>
    <w:rPr>
      <w:rFonts w:ascii="Times New Roman" w:eastAsia="標楷體" w:hAnsi="Times New Roman" w:cs="Times New Roman"/>
      <w:sz w:val="16"/>
      <w:szCs w:val="16"/>
    </w:rPr>
  </w:style>
  <w:style w:type="paragraph" w:styleId="14">
    <w:name w:val="toc 1"/>
    <w:basedOn w:val="a2"/>
    <w:next w:val="a2"/>
    <w:autoRedefine/>
    <w:uiPriority w:val="39"/>
    <w:semiHidden/>
    <w:unhideWhenUsed/>
    <w:rsid w:val="00796D4B"/>
  </w:style>
  <w:style w:type="paragraph" w:styleId="2e">
    <w:name w:val="toc 2"/>
    <w:basedOn w:val="a2"/>
    <w:next w:val="a2"/>
    <w:autoRedefine/>
    <w:uiPriority w:val="39"/>
    <w:semiHidden/>
    <w:unhideWhenUsed/>
    <w:rsid w:val="00796D4B"/>
    <w:pPr>
      <w:ind w:leftChars="200" w:left="480"/>
    </w:pPr>
  </w:style>
  <w:style w:type="paragraph" w:styleId="3a">
    <w:name w:val="toc 3"/>
    <w:basedOn w:val="a2"/>
    <w:next w:val="a2"/>
    <w:autoRedefine/>
    <w:uiPriority w:val="39"/>
    <w:semiHidden/>
    <w:unhideWhenUsed/>
    <w:rsid w:val="00796D4B"/>
    <w:pPr>
      <w:ind w:leftChars="400" w:left="960"/>
    </w:pPr>
  </w:style>
  <w:style w:type="paragraph" w:styleId="43">
    <w:name w:val="toc 4"/>
    <w:basedOn w:val="a2"/>
    <w:next w:val="a2"/>
    <w:autoRedefine/>
    <w:uiPriority w:val="39"/>
    <w:semiHidden/>
    <w:unhideWhenUsed/>
    <w:rsid w:val="00796D4B"/>
    <w:pPr>
      <w:ind w:leftChars="600" w:left="1440"/>
    </w:pPr>
  </w:style>
  <w:style w:type="paragraph" w:styleId="53">
    <w:name w:val="toc 5"/>
    <w:basedOn w:val="a2"/>
    <w:next w:val="a2"/>
    <w:autoRedefine/>
    <w:uiPriority w:val="39"/>
    <w:semiHidden/>
    <w:unhideWhenUsed/>
    <w:rsid w:val="00796D4B"/>
    <w:pPr>
      <w:ind w:leftChars="800" w:left="1920"/>
    </w:pPr>
  </w:style>
  <w:style w:type="paragraph" w:styleId="61">
    <w:name w:val="toc 6"/>
    <w:basedOn w:val="a2"/>
    <w:next w:val="a2"/>
    <w:autoRedefine/>
    <w:uiPriority w:val="39"/>
    <w:semiHidden/>
    <w:unhideWhenUsed/>
    <w:rsid w:val="00796D4B"/>
    <w:pPr>
      <w:ind w:leftChars="1000" w:left="2400"/>
    </w:pPr>
  </w:style>
  <w:style w:type="paragraph" w:styleId="71">
    <w:name w:val="toc 7"/>
    <w:basedOn w:val="a2"/>
    <w:next w:val="a2"/>
    <w:autoRedefine/>
    <w:uiPriority w:val="39"/>
    <w:semiHidden/>
    <w:unhideWhenUsed/>
    <w:rsid w:val="00796D4B"/>
    <w:pPr>
      <w:ind w:leftChars="1200" w:left="2880"/>
    </w:pPr>
  </w:style>
  <w:style w:type="paragraph" w:styleId="81">
    <w:name w:val="toc 8"/>
    <w:basedOn w:val="a2"/>
    <w:next w:val="a2"/>
    <w:autoRedefine/>
    <w:uiPriority w:val="39"/>
    <w:semiHidden/>
    <w:unhideWhenUsed/>
    <w:rsid w:val="00796D4B"/>
    <w:pPr>
      <w:ind w:leftChars="1400" w:left="3360"/>
    </w:pPr>
  </w:style>
  <w:style w:type="paragraph" w:styleId="91">
    <w:name w:val="toc 9"/>
    <w:basedOn w:val="a2"/>
    <w:next w:val="a2"/>
    <w:autoRedefine/>
    <w:uiPriority w:val="39"/>
    <w:semiHidden/>
    <w:unhideWhenUsed/>
    <w:rsid w:val="00796D4B"/>
    <w:pPr>
      <w:ind w:leftChars="1600" w:left="3840"/>
    </w:pPr>
  </w:style>
  <w:style w:type="paragraph" w:styleId="afff6">
    <w:name w:val="envelope address"/>
    <w:basedOn w:val="a2"/>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afff7">
    <w:name w:val="line number"/>
    <w:basedOn w:val="a3"/>
    <w:uiPriority w:val="99"/>
    <w:semiHidden/>
    <w:unhideWhenUsed/>
    <w:rsid w:val="00796D4B"/>
    <w:rPr>
      <w:rFonts w:ascii="Times New Roman" w:eastAsia="標楷體" w:hAnsi="Times New Roman" w:cs="Times New Roman"/>
    </w:rPr>
  </w:style>
  <w:style w:type="paragraph" w:styleId="afff8">
    <w:name w:val="table of authorities"/>
    <w:basedOn w:val="a2"/>
    <w:next w:val="a2"/>
    <w:uiPriority w:val="99"/>
    <w:semiHidden/>
    <w:unhideWhenUsed/>
    <w:rsid w:val="00796D4B"/>
    <w:pPr>
      <w:ind w:leftChars="200" w:left="480"/>
    </w:pPr>
  </w:style>
  <w:style w:type="paragraph" w:styleId="afff9">
    <w:name w:val="toa heading"/>
    <w:basedOn w:val="a2"/>
    <w:next w:val="a2"/>
    <w:uiPriority w:val="99"/>
    <w:semiHidden/>
    <w:unhideWhenUsed/>
    <w:rsid w:val="00796D4B"/>
    <w:pPr>
      <w:spacing w:before="120"/>
    </w:pPr>
    <w:rPr>
      <w:szCs w:val="24"/>
    </w:rPr>
  </w:style>
  <w:style w:type="table" w:styleId="3D1">
    <w:name w:val="Table 3D effects 1"/>
    <w:basedOn w:val="a4"/>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Classic 1"/>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
    <w:name w:val="Table Classic 2"/>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4"/>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0">
    <w:name w:val="Table Colorful 2"/>
    <w:basedOn w:val="a4"/>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a">
    <w:name w:val="Table Elegant"/>
    <w:basedOn w:val="a4"/>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7">
    <w:name w:val="Table Grid 1"/>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1">
    <w:name w:val="Table Grid 2"/>
    <w:basedOn w:val="a4"/>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5">
    <w:name w:val="Table Grid 4"/>
    <w:basedOn w:val="a4"/>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8">
    <w:name w:val="Table Subtle 1"/>
    <w:basedOn w:val="a4"/>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4"/>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b">
    <w:name w:val="Table Professional"/>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9">
    <w:name w:val="Table List 1"/>
    <w:basedOn w:val="a4"/>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6">
    <w:name w:val="Table List 4"/>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4"/>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c">
    <w:name w:val="Table Contemporary"/>
    <w:basedOn w:val="a4"/>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a">
    <w:name w:val="Table Simple 1"/>
    <w:basedOn w:val="a4"/>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4">
    <w:name w:val="Table Simple 2"/>
    <w:basedOn w:val="a4"/>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
    <w:name w:val="Table Simple 3"/>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Columns 1"/>
    <w:basedOn w:val="a4"/>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4"/>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d">
    <w:name w:val="Table Theme"/>
    <w:basedOn w:val="a4"/>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Grid Table Light"/>
    <w:basedOn w:val="a4"/>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
    <w:name w:val="page number"/>
    <w:basedOn w:val="a3"/>
    <w:uiPriority w:val="99"/>
    <w:semiHidden/>
    <w:unhideWhenUsed/>
    <w:rsid w:val="00796D4B"/>
    <w:rPr>
      <w:rFonts w:ascii="Times New Roman" w:eastAsia="標楷體" w:hAnsi="Times New Roman" w:cs="Times New Roman"/>
    </w:rPr>
  </w:style>
  <w:style w:type="paragraph" w:styleId="affff0">
    <w:name w:val="Bibliography"/>
    <w:basedOn w:val="a2"/>
    <w:next w:val="a2"/>
    <w:uiPriority w:val="37"/>
    <w:semiHidden/>
    <w:unhideWhenUsed/>
    <w:rsid w:val="00796D4B"/>
  </w:style>
  <w:style w:type="table" w:styleId="1c">
    <w:name w:val="Grid Table 1 Light"/>
    <w:basedOn w:val="a4"/>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2">
    <w:name w:val="Grid Table 1 Light Accent 1"/>
    <w:basedOn w:val="a4"/>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2">
    <w:name w:val="Grid Table 1 Light Accent 2"/>
    <w:basedOn w:val="a4"/>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2">
    <w:name w:val="Grid Table 1 Light Accent 3"/>
    <w:basedOn w:val="a4"/>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2">
    <w:name w:val="Grid Table 1 Light Accent 4"/>
    <w:basedOn w:val="a4"/>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2">
    <w:name w:val="Grid Table 1 Light Accent 5"/>
    <w:basedOn w:val="a4"/>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2">
    <w:name w:val="Grid Table 1 Light Accent 6"/>
    <w:basedOn w:val="a4"/>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f6">
    <w:name w:val="Grid Table 2"/>
    <w:basedOn w:val="a4"/>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Grid Table 2 Accent 1"/>
    <w:basedOn w:val="a4"/>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2">
    <w:name w:val="Grid Table 2 Accent 2"/>
    <w:basedOn w:val="a4"/>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2">
    <w:name w:val="Grid Table 2 Accent 3"/>
    <w:basedOn w:val="a4"/>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2">
    <w:name w:val="Grid Table 2 Accent 4"/>
    <w:basedOn w:val="a4"/>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2">
    <w:name w:val="Grid Table 2 Accent 5"/>
    <w:basedOn w:val="a4"/>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2">
    <w:name w:val="Grid Table 2 Accent 6"/>
    <w:basedOn w:val="a4"/>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1">
    <w:name w:val="Grid Table 3"/>
    <w:basedOn w:val="a4"/>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0">
    <w:name w:val="Grid Table 3 Accent 2"/>
    <w:basedOn w:val="a4"/>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0">
    <w:name w:val="Grid Table 3 Accent 3"/>
    <w:basedOn w:val="a4"/>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0">
    <w:name w:val="Grid Table 3 Accent 4"/>
    <w:basedOn w:val="a4"/>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0">
    <w:name w:val="Grid Table 3 Accent 5"/>
    <w:basedOn w:val="a4"/>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0">
    <w:name w:val="Grid Table 3 Accent 6"/>
    <w:basedOn w:val="a4"/>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8">
    <w:name w:val="Grid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4">
    <w:name w:val="Grid Table 6 Colorful"/>
    <w:basedOn w:val="a4"/>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4">
    <w:name w:val="Grid Table 7 Colorful"/>
    <w:basedOn w:val="a4"/>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4"/>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4"/>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4"/>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4"/>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4"/>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affff1">
    <w:name w:val="Plain Text"/>
    <w:basedOn w:val="a2"/>
    <w:link w:val="affff2"/>
    <w:uiPriority w:val="99"/>
    <w:semiHidden/>
    <w:unhideWhenUsed/>
    <w:rsid w:val="00796D4B"/>
  </w:style>
  <w:style w:type="character" w:customStyle="1" w:styleId="affff2">
    <w:name w:val="純文字 字元"/>
    <w:basedOn w:val="a3"/>
    <w:link w:val="affff1"/>
    <w:uiPriority w:val="99"/>
    <w:semiHidden/>
    <w:rsid w:val="00796D4B"/>
    <w:rPr>
      <w:rFonts w:ascii="Times New Roman" w:eastAsia="標楷體" w:hAnsi="Times New Roman" w:cs="Times New Roman"/>
      <w:sz w:val="24"/>
    </w:rPr>
  </w:style>
  <w:style w:type="table" w:styleId="1d">
    <w:name w:val="Plain Table 1"/>
    <w:basedOn w:val="a4"/>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7">
    <w:name w:val="Plain Table 2"/>
    <w:basedOn w:val="a4"/>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2">
    <w:name w:val="Plain Table 3"/>
    <w:basedOn w:val="a4"/>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1e">
    <w:name w:val="index 1"/>
    <w:basedOn w:val="a2"/>
    <w:next w:val="a2"/>
    <w:autoRedefine/>
    <w:uiPriority w:val="99"/>
    <w:semiHidden/>
    <w:unhideWhenUsed/>
    <w:rsid w:val="00796D4B"/>
  </w:style>
  <w:style w:type="paragraph" w:styleId="2f8">
    <w:name w:val="index 2"/>
    <w:basedOn w:val="a2"/>
    <w:next w:val="a2"/>
    <w:autoRedefine/>
    <w:uiPriority w:val="99"/>
    <w:semiHidden/>
    <w:unhideWhenUsed/>
    <w:rsid w:val="00796D4B"/>
    <w:pPr>
      <w:ind w:leftChars="200" w:left="200"/>
    </w:pPr>
  </w:style>
  <w:style w:type="paragraph" w:styleId="3f3">
    <w:name w:val="index 3"/>
    <w:basedOn w:val="a2"/>
    <w:next w:val="a2"/>
    <w:autoRedefine/>
    <w:uiPriority w:val="99"/>
    <w:semiHidden/>
    <w:unhideWhenUsed/>
    <w:rsid w:val="00796D4B"/>
    <w:pPr>
      <w:ind w:leftChars="400" w:left="400"/>
    </w:pPr>
  </w:style>
  <w:style w:type="paragraph" w:styleId="4a">
    <w:name w:val="index 4"/>
    <w:basedOn w:val="a2"/>
    <w:next w:val="a2"/>
    <w:autoRedefine/>
    <w:uiPriority w:val="99"/>
    <w:semiHidden/>
    <w:unhideWhenUsed/>
    <w:rsid w:val="00796D4B"/>
    <w:pPr>
      <w:ind w:leftChars="600" w:left="600"/>
    </w:pPr>
  </w:style>
  <w:style w:type="paragraph" w:styleId="59">
    <w:name w:val="index 5"/>
    <w:basedOn w:val="a2"/>
    <w:next w:val="a2"/>
    <w:autoRedefine/>
    <w:uiPriority w:val="99"/>
    <w:semiHidden/>
    <w:unhideWhenUsed/>
    <w:rsid w:val="00796D4B"/>
    <w:pPr>
      <w:ind w:leftChars="800" w:left="800"/>
    </w:pPr>
  </w:style>
  <w:style w:type="paragraph" w:styleId="65">
    <w:name w:val="index 6"/>
    <w:basedOn w:val="a2"/>
    <w:next w:val="a2"/>
    <w:autoRedefine/>
    <w:uiPriority w:val="99"/>
    <w:semiHidden/>
    <w:unhideWhenUsed/>
    <w:rsid w:val="00796D4B"/>
    <w:pPr>
      <w:ind w:leftChars="1000" w:left="1000"/>
    </w:pPr>
  </w:style>
  <w:style w:type="paragraph" w:styleId="75">
    <w:name w:val="index 7"/>
    <w:basedOn w:val="a2"/>
    <w:next w:val="a2"/>
    <w:autoRedefine/>
    <w:uiPriority w:val="99"/>
    <w:semiHidden/>
    <w:unhideWhenUsed/>
    <w:rsid w:val="00796D4B"/>
    <w:pPr>
      <w:ind w:leftChars="1200" w:left="1200"/>
    </w:pPr>
  </w:style>
  <w:style w:type="paragraph" w:styleId="84">
    <w:name w:val="index 8"/>
    <w:basedOn w:val="a2"/>
    <w:next w:val="a2"/>
    <w:autoRedefine/>
    <w:uiPriority w:val="99"/>
    <w:semiHidden/>
    <w:unhideWhenUsed/>
    <w:rsid w:val="00796D4B"/>
    <w:pPr>
      <w:ind w:leftChars="1400" w:left="1400"/>
    </w:pPr>
  </w:style>
  <w:style w:type="paragraph" w:styleId="92">
    <w:name w:val="index 9"/>
    <w:basedOn w:val="a2"/>
    <w:next w:val="a2"/>
    <w:autoRedefine/>
    <w:uiPriority w:val="99"/>
    <w:semiHidden/>
    <w:unhideWhenUsed/>
    <w:rsid w:val="00796D4B"/>
    <w:pPr>
      <w:ind w:leftChars="1600" w:left="1600"/>
    </w:pPr>
  </w:style>
  <w:style w:type="paragraph" w:styleId="affff3">
    <w:name w:val="index heading"/>
    <w:basedOn w:val="a2"/>
    <w:next w:val="1e"/>
    <w:uiPriority w:val="99"/>
    <w:semiHidden/>
    <w:unhideWhenUsed/>
    <w:rsid w:val="00796D4B"/>
    <w:rPr>
      <w:b/>
      <w:bCs/>
    </w:rPr>
  </w:style>
  <w:style w:type="paragraph" w:styleId="affff4">
    <w:name w:val="Message Header"/>
    <w:basedOn w:val="a2"/>
    <w:link w:val="affff5"/>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affff5">
    <w:name w:val="訊息欄位名稱 字元"/>
    <w:basedOn w:val="a3"/>
    <w:link w:val="affff4"/>
    <w:uiPriority w:val="99"/>
    <w:semiHidden/>
    <w:rsid w:val="00796D4B"/>
    <w:rPr>
      <w:rFonts w:ascii="Times New Roman" w:eastAsia="標楷體" w:hAnsi="Times New Roman" w:cs="Times New Roman"/>
      <w:sz w:val="24"/>
      <w:szCs w:val="24"/>
      <w:shd w:val="pct20" w:color="auto" w:fill="auto"/>
    </w:rPr>
  </w:style>
  <w:style w:type="paragraph" w:styleId="affff6">
    <w:name w:val="Block Text"/>
    <w:basedOn w:val="a2"/>
    <w:uiPriority w:val="99"/>
    <w:semiHidden/>
    <w:unhideWhenUsed/>
    <w:rsid w:val="00796D4B"/>
    <w:pPr>
      <w:spacing w:after="120"/>
      <w:ind w:leftChars="600" w:left="1440" w:rightChars="600" w:right="1440"/>
    </w:pPr>
  </w:style>
  <w:style w:type="paragraph" w:styleId="affff7">
    <w:name w:val="Salutation"/>
    <w:basedOn w:val="a2"/>
    <w:next w:val="a2"/>
    <w:link w:val="affff8"/>
    <w:uiPriority w:val="99"/>
    <w:semiHidden/>
    <w:unhideWhenUsed/>
    <w:rsid w:val="00796D4B"/>
  </w:style>
  <w:style w:type="character" w:customStyle="1" w:styleId="affff8">
    <w:name w:val="問候 字元"/>
    <w:basedOn w:val="a3"/>
    <w:link w:val="affff7"/>
    <w:uiPriority w:val="99"/>
    <w:semiHidden/>
    <w:rsid w:val="00796D4B"/>
    <w:rPr>
      <w:rFonts w:ascii="Times New Roman" w:eastAsia="標楷體" w:hAnsi="Times New Roman" w:cs="Times New Roman"/>
      <w:sz w:val="24"/>
    </w:rPr>
  </w:style>
  <w:style w:type="paragraph" w:styleId="affff9">
    <w:name w:val="envelope return"/>
    <w:basedOn w:val="a2"/>
    <w:uiPriority w:val="99"/>
    <w:semiHidden/>
    <w:unhideWhenUsed/>
    <w:rsid w:val="00796D4B"/>
    <w:pPr>
      <w:snapToGrid w:val="0"/>
    </w:pPr>
  </w:style>
  <w:style w:type="paragraph" w:styleId="4b">
    <w:name w:val="List Continue 4"/>
    <w:basedOn w:val="a2"/>
    <w:uiPriority w:val="99"/>
    <w:semiHidden/>
    <w:unhideWhenUsed/>
    <w:rsid w:val="00796D4B"/>
    <w:pPr>
      <w:spacing w:after="120"/>
      <w:ind w:leftChars="800" w:left="1920"/>
      <w:contextualSpacing/>
    </w:pPr>
  </w:style>
  <w:style w:type="paragraph" w:styleId="5a">
    <w:name w:val="List Continue 5"/>
    <w:basedOn w:val="a2"/>
    <w:uiPriority w:val="99"/>
    <w:semiHidden/>
    <w:unhideWhenUsed/>
    <w:rsid w:val="00796D4B"/>
    <w:pPr>
      <w:spacing w:after="120"/>
      <w:ind w:leftChars="1000" w:left="2400"/>
      <w:contextualSpacing/>
    </w:pPr>
  </w:style>
  <w:style w:type="paragraph" w:styleId="4c">
    <w:name w:val="List 4"/>
    <w:basedOn w:val="a2"/>
    <w:uiPriority w:val="99"/>
    <w:semiHidden/>
    <w:unhideWhenUsed/>
    <w:rsid w:val="00796D4B"/>
    <w:pPr>
      <w:ind w:leftChars="800" w:left="100" w:hangingChars="200" w:hanging="200"/>
      <w:contextualSpacing/>
    </w:pPr>
  </w:style>
  <w:style w:type="paragraph" w:styleId="5b">
    <w:name w:val="List 5"/>
    <w:basedOn w:val="a2"/>
    <w:uiPriority w:val="99"/>
    <w:semiHidden/>
    <w:unhideWhenUsed/>
    <w:rsid w:val="00796D4B"/>
    <w:pPr>
      <w:ind w:leftChars="1000" w:left="100" w:hangingChars="200" w:hanging="200"/>
      <w:contextualSpacing/>
    </w:pPr>
  </w:style>
  <w:style w:type="table" w:styleId="1f">
    <w:name w:val="List Table 1 Light"/>
    <w:basedOn w:val="a4"/>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3">
    <w:name w:val="List Table 1 Light Accent 1"/>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3">
    <w:name w:val="List Table 1 Light Accent 2"/>
    <w:basedOn w:val="a4"/>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3">
    <w:name w:val="List Table 1 Light Accent 3"/>
    <w:basedOn w:val="a4"/>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3">
    <w:name w:val="List Table 1 Light Accent 4"/>
    <w:basedOn w:val="a4"/>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3">
    <w:name w:val="List Table 1 Light Accent 5"/>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3">
    <w:name w:val="List Table 1 Light Accent 6"/>
    <w:basedOn w:val="a4"/>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f9">
    <w:name w:val="List Table 2"/>
    <w:basedOn w:val="a4"/>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List Table 2 Accent 1"/>
    <w:basedOn w:val="a4"/>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3">
    <w:name w:val="List Table 2 Accent 2"/>
    <w:basedOn w:val="a4"/>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3">
    <w:name w:val="List Table 2 Accent 3"/>
    <w:basedOn w:val="a4"/>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3">
    <w:name w:val="List Table 2 Accent 4"/>
    <w:basedOn w:val="a4"/>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3">
    <w:name w:val="List Table 2 Accent 5"/>
    <w:basedOn w:val="a4"/>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3">
    <w:name w:val="List Table 2 Accent 6"/>
    <w:basedOn w:val="a4"/>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4">
    <w:name w:val="List Table 3"/>
    <w:basedOn w:val="a4"/>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1">
    <w:name w:val="List Table 3 Accent 1"/>
    <w:basedOn w:val="a4"/>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1">
    <w:name w:val="List Table 3 Accent 2"/>
    <w:basedOn w:val="a4"/>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1">
    <w:name w:val="List Table 3 Accent 3"/>
    <w:basedOn w:val="a4"/>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1">
    <w:name w:val="List Table 3 Accent 4"/>
    <w:basedOn w:val="a4"/>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1">
    <w:name w:val="List Table 3 Accent 5"/>
    <w:basedOn w:val="a4"/>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1">
    <w:name w:val="List Table 3 Accent 6"/>
    <w:basedOn w:val="a4"/>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d">
    <w:name w:val="List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c">
    <w:name w:val="List Table 5 Dark"/>
    <w:basedOn w:val="a4"/>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6">
    <w:name w:val="List Table 7 Colorful"/>
    <w:basedOn w:val="a4"/>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4">
    <w:name w:val="List Number 4"/>
    <w:basedOn w:val="a2"/>
    <w:uiPriority w:val="99"/>
    <w:semiHidden/>
    <w:unhideWhenUsed/>
    <w:rsid w:val="00796D4B"/>
    <w:pPr>
      <w:numPr>
        <w:numId w:val="13"/>
      </w:numPr>
      <w:contextualSpacing/>
    </w:pPr>
  </w:style>
  <w:style w:type="paragraph" w:styleId="5">
    <w:name w:val="List Number 5"/>
    <w:basedOn w:val="a2"/>
    <w:uiPriority w:val="99"/>
    <w:semiHidden/>
    <w:unhideWhenUsed/>
    <w:rsid w:val="00796D4B"/>
    <w:pPr>
      <w:numPr>
        <w:numId w:val="14"/>
      </w:numPr>
      <w:contextualSpacing/>
    </w:pPr>
  </w:style>
  <w:style w:type="paragraph" w:styleId="affffa">
    <w:name w:val="endnote text"/>
    <w:basedOn w:val="a2"/>
    <w:link w:val="affffb"/>
    <w:uiPriority w:val="99"/>
    <w:semiHidden/>
    <w:unhideWhenUsed/>
    <w:rsid w:val="00796D4B"/>
    <w:pPr>
      <w:snapToGrid w:val="0"/>
    </w:pPr>
  </w:style>
  <w:style w:type="character" w:customStyle="1" w:styleId="affffb">
    <w:name w:val="章節附註文字 字元"/>
    <w:basedOn w:val="a3"/>
    <w:link w:val="affffa"/>
    <w:uiPriority w:val="99"/>
    <w:semiHidden/>
    <w:rsid w:val="00796D4B"/>
    <w:rPr>
      <w:rFonts w:ascii="Times New Roman" w:eastAsia="標楷體" w:hAnsi="Times New Roman" w:cs="Times New Roman"/>
      <w:sz w:val="24"/>
    </w:rPr>
  </w:style>
  <w:style w:type="character" w:styleId="affffc">
    <w:name w:val="endnote reference"/>
    <w:basedOn w:val="a3"/>
    <w:uiPriority w:val="99"/>
    <w:semiHidden/>
    <w:unhideWhenUsed/>
    <w:rsid w:val="00796D4B"/>
    <w:rPr>
      <w:rFonts w:ascii="Times New Roman" w:eastAsia="標楷體" w:hAnsi="Times New Roman" w:cs="Times New Roman"/>
      <w:vertAlign w:val="superscript"/>
    </w:rPr>
  </w:style>
  <w:style w:type="character" w:styleId="affffd">
    <w:name w:val="Mention"/>
    <w:basedOn w:val="a3"/>
    <w:uiPriority w:val="99"/>
    <w:semiHidden/>
    <w:unhideWhenUsed/>
    <w:rsid w:val="00796D4B"/>
    <w:rPr>
      <w:rFonts w:ascii="Times New Roman" w:eastAsia="標楷體" w:hAnsi="Times New Roman" w:cs="Times New Roman"/>
      <w:color w:val="2B579A"/>
      <w:shd w:val="clear" w:color="auto" w:fill="E1DFDD"/>
    </w:rPr>
  </w:style>
  <w:style w:type="character" w:styleId="affffe">
    <w:name w:val="Smart Link"/>
    <w:basedOn w:val="a3"/>
    <w:uiPriority w:val="99"/>
    <w:semiHidden/>
    <w:unhideWhenUsed/>
    <w:rsid w:val="00796D4B"/>
    <w:rPr>
      <w:rFonts w:ascii="Times New Roman" w:eastAsia="標楷體" w:hAnsi="Times New Roman" w:cs="Times New Roman"/>
      <w:color w:val="0000FF"/>
      <w:u w:val="single"/>
      <w:shd w:val="clear" w:color="auto" w:fill="F3F2F1"/>
    </w:rPr>
  </w:style>
  <w:style w:type="character" w:styleId="afffff">
    <w:name w:val="Smart Hyperlink"/>
    <w:basedOn w:val="a3"/>
    <w:uiPriority w:val="99"/>
    <w:semiHidden/>
    <w:unhideWhenUsed/>
    <w:rsid w:val="00796D4B"/>
    <w:rPr>
      <w:rFonts w:ascii="Times New Roman" w:eastAsia="標楷體" w:hAnsi="Times New Roman" w:cs="Times New Roman"/>
      <w:u w:val="dotted"/>
    </w:rPr>
  </w:style>
  <w:style w:type="paragraph" w:styleId="afffff0">
    <w:name w:val="Closing"/>
    <w:basedOn w:val="a2"/>
    <w:link w:val="afffff1"/>
    <w:uiPriority w:val="99"/>
    <w:semiHidden/>
    <w:unhideWhenUsed/>
    <w:rsid w:val="00796D4B"/>
    <w:pPr>
      <w:ind w:leftChars="1800" w:left="100"/>
    </w:pPr>
  </w:style>
  <w:style w:type="character" w:customStyle="1" w:styleId="afffff1">
    <w:name w:val="結語 字元"/>
    <w:basedOn w:val="a3"/>
    <w:link w:val="afffff0"/>
    <w:uiPriority w:val="99"/>
    <w:semiHidden/>
    <w:rsid w:val="00796D4B"/>
    <w:rPr>
      <w:rFonts w:ascii="Times New Roman" w:eastAsia="標楷體" w:hAnsi="Times New Roman" w:cs="Times New Roman"/>
      <w:sz w:val="24"/>
    </w:rPr>
  </w:style>
  <w:style w:type="paragraph" w:styleId="afffff2">
    <w:name w:val="footnote text"/>
    <w:basedOn w:val="a2"/>
    <w:link w:val="afffff3"/>
    <w:uiPriority w:val="99"/>
    <w:semiHidden/>
    <w:unhideWhenUsed/>
    <w:rsid w:val="00796D4B"/>
    <w:pPr>
      <w:snapToGrid w:val="0"/>
    </w:pPr>
    <w:rPr>
      <w:sz w:val="20"/>
      <w:szCs w:val="20"/>
    </w:rPr>
  </w:style>
  <w:style w:type="character" w:customStyle="1" w:styleId="afffff3">
    <w:name w:val="註腳文字 字元"/>
    <w:basedOn w:val="a3"/>
    <w:link w:val="afffff2"/>
    <w:uiPriority w:val="99"/>
    <w:semiHidden/>
    <w:rsid w:val="00796D4B"/>
    <w:rPr>
      <w:rFonts w:ascii="Times New Roman" w:eastAsia="標楷體" w:hAnsi="Times New Roman" w:cs="Times New Roman"/>
      <w:sz w:val="20"/>
      <w:szCs w:val="20"/>
    </w:rPr>
  </w:style>
  <w:style w:type="character" w:styleId="afffff4">
    <w:name w:val="footnote reference"/>
    <w:basedOn w:val="a3"/>
    <w:uiPriority w:val="99"/>
    <w:semiHidden/>
    <w:unhideWhenUsed/>
    <w:rsid w:val="00796D4B"/>
    <w:rPr>
      <w:rFonts w:ascii="Times New Roman" w:eastAsia="標楷體" w:hAnsi="Times New Roman" w:cs="Times New Roman"/>
      <w:vertAlign w:val="superscript"/>
    </w:rPr>
  </w:style>
  <w:style w:type="paragraph" w:styleId="afffff5">
    <w:name w:val="annotation text"/>
    <w:basedOn w:val="a2"/>
    <w:link w:val="afffff6"/>
    <w:uiPriority w:val="99"/>
    <w:semiHidden/>
    <w:unhideWhenUsed/>
    <w:rsid w:val="00796D4B"/>
  </w:style>
  <w:style w:type="character" w:customStyle="1" w:styleId="afffff6">
    <w:name w:val="註解文字 字元"/>
    <w:basedOn w:val="a3"/>
    <w:link w:val="afffff5"/>
    <w:uiPriority w:val="99"/>
    <w:semiHidden/>
    <w:rsid w:val="00796D4B"/>
    <w:rPr>
      <w:rFonts w:ascii="Times New Roman" w:eastAsia="標楷體" w:hAnsi="Times New Roman" w:cs="Times New Roman"/>
      <w:sz w:val="24"/>
    </w:rPr>
  </w:style>
  <w:style w:type="paragraph" w:styleId="afffff7">
    <w:name w:val="Balloon Text"/>
    <w:basedOn w:val="a2"/>
    <w:link w:val="afffff8"/>
    <w:uiPriority w:val="99"/>
    <w:semiHidden/>
    <w:unhideWhenUsed/>
    <w:rsid w:val="00796D4B"/>
    <w:pPr>
      <w:spacing w:after="0" w:line="240" w:lineRule="auto"/>
    </w:pPr>
    <w:rPr>
      <w:sz w:val="18"/>
      <w:szCs w:val="18"/>
    </w:rPr>
  </w:style>
  <w:style w:type="character" w:customStyle="1" w:styleId="afffff8">
    <w:name w:val="註解方塊文字 字元"/>
    <w:basedOn w:val="a3"/>
    <w:link w:val="afffff7"/>
    <w:uiPriority w:val="99"/>
    <w:semiHidden/>
    <w:rsid w:val="00796D4B"/>
    <w:rPr>
      <w:rFonts w:ascii="Times New Roman" w:eastAsia="標楷體" w:hAnsi="Times New Roman" w:cs="Times New Roman"/>
      <w:sz w:val="18"/>
      <w:szCs w:val="18"/>
    </w:rPr>
  </w:style>
  <w:style w:type="paragraph" w:styleId="afffff9">
    <w:name w:val="annotation subject"/>
    <w:basedOn w:val="afffff5"/>
    <w:next w:val="afffff5"/>
    <w:link w:val="afffffa"/>
    <w:uiPriority w:val="99"/>
    <w:semiHidden/>
    <w:unhideWhenUsed/>
    <w:rsid w:val="00796D4B"/>
    <w:rPr>
      <w:b/>
      <w:bCs/>
    </w:rPr>
  </w:style>
  <w:style w:type="character" w:customStyle="1" w:styleId="afffffa">
    <w:name w:val="註解主旨 字元"/>
    <w:basedOn w:val="afffff6"/>
    <w:link w:val="afffff9"/>
    <w:uiPriority w:val="99"/>
    <w:semiHidden/>
    <w:rsid w:val="00796D4B"/>
    <w:rPr>
      <w:rFonts w:ascii="Times New Roman" w:eastAsia="標楷體" w:hAnsi="Times New Roman" w:cs="Times New Roman"/>
      <w:b/>
      <w:bCs/>
      <w:sz w:val="24"/>
    </w:rPr>
  </w:style>
  <w:style w:type="character" w:styleId="afffffb">
    <w:name w:val="annotation reference"/>
    <w:basedOn w:val="a3"/>
    <w:uiPriority w:val="99"/>
    <w:semiHidden/>
    <w:unhideWhenUsed/>
    <w:rsid w:val="00796D4B"/>
    <w:rPr>
      <w:rFonts w:ascii="Times New Roman" w:eastAsia="標楷體" w:hAnsi="Times New Roman" w:cs="Times New Roman"/>
      <w:sz w:val="18"/>
      <w:szCs w:val="18"/>
    </w:rPr>
  </w:style>
  <w:style w:type="paragraph" w:styleId="afffffc">
    <w:name w:val="Note Heading"/>
    <w:basedOn w:val="a2"/>
    <w:next w:val="a2"/>
    <w:link w:val="afffffd"/>
    <w:uiPriority w:val="99"/>
    <w:semiHidden/>
    <w:unhideWhenUsed/>
    <w:rsid w:val="00796D4B"/>
    <w:pPr>
      <w:jc w:val="center"/>
    </w:pPr>
  </w:style>
  <w:style w:type="character" w:customStyle="1" w:styleId="afffffd">
    <w:name w:val="註釋標題 字元"/>
    <w:basedOn w:val="a3"/>
    <w:link w:val="afffffc"/>
    <w:uiPriority w:val="99"/>
    <w:semiHidden/>
    <w:rsid w:val="00796D4B"/>
    <w:rPr>
      <w:rFonts w:ascii="Times New Roman" w:eastAsia="標楷體" w:hAnsi="Times New Roman" w:cs="Times New Roman"/>
      <w:sz w:val="24"/>
    </w:rPr>
  </w:style>
  <w:style w:type="character" w:styleId="afffffe">
    <w:name w:val="Hyperlink"/>
    <w:basedOn w:val="a3"/>
    <w:uiPriority w:val="99"/>
    <w:semiHidden/>
    <w:unhideWhenUsed/>
    <w:rsid w:val="00796D4B"/>
    <w:rPr>
      <w:rFonts w:ascii="Times New Roman" w:eastAsia="標楷體" w:hAnsi="Times New Roman" w:cs="Times New Roman"/>
      <w:color w:val="0000FF" w:themeColor="hyperlink"/>
      <w:u w:val="single"/>
    </w:rPr>
  </w:style>
  <w:style w:type="paragraph" w:styleId="40">
    <w:name w:val="List Bullet 4"/>
    <w:basedOn w:val="a2"/>
    <w:uiPriority w:val="99"/>
    <w:semiHidden/>
    <w:unhideWhenUsed/>
    <w:rsid w:val="00796D4B"/>
    <w:pPr>
      <w:numPr>
        <w:numId w:val="4"/>
      </w:numPr>
      <w:contextualSpacing/>
    </w:pPr>
  </w:style>
  <w:style w:type="paragraph" w:styleId="50">
    <w:name w:val="List Bullet 5"/>
    <w:basedOn w:val="a2"/>
    <w:uiPriority w:val="99"/>
    <w:semiHidden/>
    <w:unhideWhenUsed/>
    <w:rsid w:val="00796D4B"/>
    <w:pPr>
      <w:numPr>
        <w:numId w:val="15"/>
      </w:numPr>
      <w:contextualSpacing/>
    </w:pPr>
  </w:style>
  <w:style w:type="paragraph" w:styleId="affffff">
    <w:name w:val="E-mail Signature"/>
    <w:basedOn w:val="a2"/>
    <w:link w:val="affffff0"/>
    <w:uiPriority w:val="99"/>
    <w:semiHidden/>
    <w:unhideWhenUsed/>
    <w:rsid w:val="00796D4B"/>
  </w:style>
  <w:style w:type="character" w:customStyle="1" w:styleId="affffff0">
    <w:name w:val="電子郵件簽名 字元"/>
    <w:basedOn w:val="a3"/>
    <w:link w:val="affffff"/>
    <w:uiPriority w:val="99"/>
    <w:semiHidden/>
    <w:rsid w:val="00796D4B"/>
    <w:rPr>
      <w:rFonts w:ascii="Times New Roman" w:eastAsia="標楷體" w:hAnsi="Times New Roman" w:cs="Times New Roman"/>
      <w:sz w:val="24"/>
    </w:rPr>
  </w:style>
  <w:style w:type="character" w:styleId="affffff1">
    <w:name w:val="Placeholder Text"/>
    <w:basedOn w:val="a3"/>
    <w:uiPriority w:val="99"/>
    <w:semiHidden/>
    <w:rsid w:val="00796D4B"/>
    <w:rPr>
      <w:rFonts w:ascii="Times New Roman" w:eastAsia="標楷體" w:hAnsi="Times New Roman" w:cs="Times New Roman"/>
      <w:color w:val="666666"/>
    </w:rPr>
  </w:style>
  <w:style w:type="paragraph" w:styleId="affffff2">
    <w:name w:val="table of figures"/>
    <w:basedOn w:val="a2"/>
    <w:next w:val="a2"/>
    <w:uiPriority w:val="99"/>
    <w:semiHidden/>
    <w:unhideWhenUsed/>
    <w:rsid w:val="00796D4B"/>
    <w:pPr>
      <w:ind w:leftChars="400" w:left="400" w:hangingChars="200" w:hanging="200"/>
    </w:pPr>
  </w:style>
  <w:style w:type="character" w:styleId="affffff3">
    <w:name w:val="Hashtag"/>
    <w:basedOn w:val="a3"/>
    <w:uiPriority w:val="99"/>
    <w:semiHidden/>
    <w:unhideWhenUsed/>
    <w:rsid w:val="00796D4B"/>
    <w:rPr>
      <w:rFonts w:ascii="Times New Roman" w:eastAsia="標楷體" w:hAnsi="Times New Roman" w:cs="Times New Roman"/>
      <w:color w:val="2B579A"/>
      <w:shd w:val="clear" w:color="auto" w:fill="E1DFDD"/>
    </w:rPr>
  </w:style>
  <w:style w:type="paragraph" w:styleId="affffff4">
    <w:name w:val="Signature"/>
    <w:basedOn w:val="a2"/>
    <w:link w:val="affffff5"/>
    <w:uiPriority w:val="99"/>
    <w:semiHidden/>
    <w:unhideWhenUsed/>
    <w:rsid w:val="00796D4B"/>
    <w:pPr>
      <w:ind w:leftChars="1800" w:left="100"/>
    </w:pPr>
  </w:style>
  <w:style w:type="character" w:customStyle="1" w:styleId="affffff5">
    <w:name w:val="簽名 字元"/>
    <w:basedOn w:val="a3"/>
    <w:link w:val="affffff4"/>
    <w:uiPriority w:val="99"/>
    <w:semiHidden/>
    <w:rsid w:val="00796D4B"/>
    <w:rPr>
      <w:rFonts w:ascii="Times New Roman" w:eastAsia="標楷體"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3026</Words>
  <Characters>17250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信全 陳</cp:lastModifiedBy>
  <cp:revision>13</cp:revision>
  <dcterms:created xsi:type="dcterms:W3CDTF">2013-12-23T23:15:00Z</dcterms:created>
  <dcterms:modified xsi:type="dcterms:W3CDTF">2026-07-13T06:26:00Z</dcterms:modified>
  <cp:category/>
</cp:coreProperties>
</file>