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114AEDBA" w:rsidR="00523799" w:rsidRDefault="00AA522B">
      <w:pPr>
        <w:widowControl/>
        <w:spacing w:before="3600"/>
        <w:jc w:val="center"/>
        <w:rPr>
          <w:rFonts w:cs="Times New Roman"/>
          <w:sz w:val="28"/>
          <w:szCs w:val="28"/>
        </w:rPr>
      </w:pPr>
      <w:r w:rsidRPr="00AA522B">
        <w:rPr>
          <w:rFonts w:cs="Times New Roman"/>
          <w:b/>
          <w:sz w:val="36"/>
          <w:szCs w:val="28"/>
        </w:rPr>
        <w:t>判決文本會說話嗎？</w:t>
      </w:r>
      <w:r>
        <w:rPr>
          <w:rFonts w:cs="Times New Roman"/>
          <w:b/>
          <w:sz w:val="36"/>
          <w:szCs w:val="28"/>
        </w:rPr>
        <w:br/>
      </w:r>
      <w:r w:rsidRPr="00AA522B">
        <w:rPr>
          <w:rFonts w:cs="Times New Roman"/>
          <w:b/>
          <w:sz w:val="36"/>
          <w:szCs w:val="28"/>
        </w:rPr>
        <w:t>台灣智慧財產權裁判結果之文字探勘與分類研究</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777777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法律科技（</w:t>
      </w:r>
      <w:r w:rsidRPr="00E04535">
        <w:rPr>
          <w:rFonts w:cs="Times New Roman"/>
          <w:szCs w:val="28"/>
        </w:rPr>
        <w:t>LegalTech</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77777777"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77777777" w:rsidR="00E04535" w:rsidRPr="00E04535" w:rsidRDefault="00E04535" w:rsidP="00E04535">
      <w:pPr>
        <w:widowControl/>
        <w:rPr>
          <w:rFonts w:cs="Times New Roman"/>
          <w:sz w:val="28"/>
          <w:szCs w:val="28"/>
        </w:rPr>
      </w:pPr>
      <w:r w:rsidRPr="00E04535">
        <w:rPr>
          <w:rFonts w:cs="Times New Roman"/>
          <w:szCs w:val="28"/>
        </w:rPr>
        <w:t>基於上述背景，本研究以台灣智慧財產權相關判決為研究對象，運用文字探勘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Chi-square + MNIR + SVM </w:t>
      </w:r>
      <w:r w:rsidRPr="00E04535">
        <w:rPr>
          <w:rFonts w:cs="Times New Roman"/>
          <w:szCs w:val="28"/>
        </w:rPr>
        <w:t>與</w:t>
      </w:r>
      <w:r w:rsidRPr="00E04535">
        <w:rPr>
          <w:rFonts w:cs="Times New Roman"/>
          <w:szCs w:val="28"/>
        </w:rPr>
        <w:t xml:space="preserve"> Chi-square + Direct SVM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77777777" w:rsidR="00BE0F2F" w:rsidRPr="00BE0F2F" w:rsidRDefault="00BE0F2F" w:rsidP="00BE0F2F">
      <w:pPr>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Pr="00BE0F2F">
        <w:rPr>
          <w:rFonts w:cs="Times New Roman"/>
          <w:szCs w:val="28"/>
        </w:rPr>
        <w:t xml:space="preserve"> Macro F1</w:t>
      </w:r>
      <w:r w:rsidRPr="00BE0F2F">
        <w:rPr>
          <w:rFonts w:cs="Times New Roman"/>
          <w:szCs w:val="28"/>
        </w:rPr>
        <w:t>、</w:t>
      </w:r>
      <w:r w:rsidRPr="00BE0F2F">
        <w:rPr>
          <w:rFonts w:cs="Times New Roman"/>
          <w:szCs w:val="28"/>
        </w:rPr>
        <w:t>Accuracy</w:t>
      </w:r>
      <w:r w:rsidRPr="00BE0F2F">
        <w:rPr>
          <w:rFonts w:cs="Times New Roman"/>
          <w:szCs w:val="28"/>
        </w:rPr>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Pr="00BE0F2F">
        <w:rPr>
          <w:rFonts w:cs="Times New Roman"/>
          <w:szCs w:val="28"/>
        </w:rPr>
        <w:t xml:space="preserve"> Accuracy </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w:t>
      </w:r>
      <w:r w:rsidRPr="00BE0F2F">
        <w:rPr>
          <w:rFonts w:cs="Times New Roman"/>
          <w:szCs w:val="28"/>
        </w:rPr>
        <w:lastRenderedPageBreak/>
        <w:t>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r>
        <w:t>本研究共分為五章。第一章說明研究背景、動機與研究目的；第二章回顧實證法律研究、法律文本特徵表示、判決預測模型與</w:t>
      </w:r>
      <w:r>
        <w:t xml:space="preserve"> MNIR </w:t>
      </w:r>
      <w:r>
        <w:t>相關文獻；第三章說明資料來源、資料處理、特徵建構、模型流程與評估指標；第四章呈現模型實驗結果，並比較</w:t>
      </w:r>
      <w:r>
        <w:t xml:space="preserve"> MNIR+SVM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77777777" w:rsidR="00564795" w:rsidRPr="00564795" w:rsidRDefault="00564795" w:rsidP="00564795">
      <w:pPr>
        <w:outlineLvl w:val="0"/>
        <w:rPr>
          <w:rFonts w:cs="Times New Roman"/>
          <w:sz w:val="28"/>
          <w:szCs w:val="28"/>
        </w:rPr>
      </w:pPr>
      <w:r w:rsidRPr="00564795">
        <w:rPr>
          <w:rFonts w:cs="Times New Roman"/>
          <w:szCs w:val="28"/>
        </w:rPr>
        <w:t>法律判決書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77777777"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則進一步考量詞彙在單一文本中的出現頻率。由於判決書篇幅差異可能很大，單純使用原始詞頻可能使長文本產生較高詞彙計數，因此透過詞頻正規化，可降低文本長度差異對模型的影響。對於長篇判決書而言，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77777777"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Pr="00564795">
        <w:rPr>
          <w:rFonts w:cs="Times New Roman"/>
          <w:szCs w:val="28"/>
        </w:rPr>
        <w:t xml:space="preserve"> sufficient reduction scores</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1BA076D5" w:rsidR="000E77F6" w:rsidRPr="00E81A55" w:rsidRDefault="00E81A55" w:rsidP="00E81A55">
      <w:pPr>
        <w:outlineLvl w:val="0"/>
        <w:rPr>
          <w:rFonts w:cs="Times New Roman"/>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Pr="00E81A55">
        <w:rPr>
          <w:rFonts w:cs="Times New Roman"/>
          <w:szCs w:val="28"/>
        </w:rPr>
        <w:t>特徵選擇</w:t>
      </w:r>
      <w:r w:rsidRPr="00E81A55">
        <w:rPr>
          <w:rFonts w:cs="Times New Roman"/>
          <w:szCs w:val="28"/>
        </w:rPr>
        <w:t xml:space="preserve"> → MNIR+SVM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77777777"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lastRenderedPageBreak/>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進行解壓縮，取得裁判書</w:t>
      </w:r>
      <w:r w:rsidRPr="00E81A55">
        <w:rPr>
          <w:rFonts w:cs="Times New Roman"/>
          <w:szCs w:val="28"/>
        </w:rPr>
        <w:t xml:space="preserve"> JSON </w:t>
      </w:r>
      <w:r w:rsidRPr="00E81A55">
        <w:rPr>
          <w:rFonts w:cs="Times New Roman"/>
          <w:szCs w:val="28"/>
        </w:rPr>
        <w:t>檔。原始資料共包含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spacing w:before="120" w:after="60"/>
        <w:jc w:val="center"/>
      </w:pPr>
      <w:r>
        <w:rPr>
          <w:b/>
        </w:rPr>
        <w:t>表</w:t>
      </w:r>
      <w:r>
        <w:rPr>
          <w:b/>
        </w:rPr>
        <w:t xml:space="preserve"> 3-1 </w:t>
      </w:r>
      <w:r>
        <w:rPr>
          <w:b/>
        </w:rPr>
        <w:t>原始資料欄位說明</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4553"/>
        <w:gridCol w:w="4473"/>
      </w:tblGrid>
      <w:tr w:rsidR="00B66EDF" w14:paraId="18FF9032" w14:textId="77777777" w:rsidTr="00AB194A">
        <w:trPr>
          <w:jc w:val="center"/>
        </w:trPr>
        <w:tc>
          <w:tcPr>
            <w:tcW w:w="5228" w:type="dxa"/>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原始欄位</w:t>
            </w:r>
          </w:p>
        </w:tc>
        <w:tc>
          <w:tcPr>
            <w:tcW w:w="5228" w:type="dxa"/>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JFULL</w:t>
            </w:r>
          </w:p>
        </w:tc>
        <w:tc>
          <w:tcPr>
            <w:tcW w:w="5228" w:type="dxa"/>
            <w:vAlign w:val="center"/>
          </w:tcPr>
          <w:p w14:paraId="7FEB5DF6"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2F146100" w:rsidR="00E81A55" w:rsidRPr="00E81A55" w:rsidRDefault="00E81A55" w:rsidP="00E81A55">
      <w:pPr>
        <w:outlineLvl w:val="0"/>
        <w:rPr>
          <w:szCs w:val="28"/>
        </w:rPr>
      </w:pPr>
      <w:r w:rsidRPr="00E81A55">
        <w:rPr>
          <w:szCs w:val="28"/>
        </w:rPr>
        <w:t>本研究首先透過</w:t>
      </w:r>
      <w:r w:rsidRPr="00E81A55">
        <w:rPr>
          <w:szCs w:val="28"/>
        </w:rPr>
        <w:t xml:space="preserve"> regular expression </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77777777" w:rsidR="00E81A55" w:rsidRPr="00E81A55" w:rsidRDefault="00E81A55" w:rsidP="00E81A55">
      <w:pPr>
        <w:outlineLvl w:val="0"/>
        <w:rPr>
          <w:rFonts w:cs="Times New Roman"/>
          <w:szCs w:val="28"/>
        </w:rPr>
      </w:pPr>
      <w:r w:rsidRPr="00E81A55">
        <w:rPr>
          <w:rFonts w:cs="Times New Roman"/>
          <w:szCs w:val="28"/>
        </w:rPr>
        <w:t>在文本清理方面，本研究主要針對判決書全文進行以下處理：第一，移除文本中的</w:t>
      </w:r>
      <w:r w:rsidRPr="00E81A55">
        <w:rPr>
          <w:rFonts w:cs="Times New Roman"/>
          <w:szCs w:val="28"/>
        </w:rPr>
        <w:lastRenderedPageBreak/>
        <w:t>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outlineLvl w:val="0"/>
        <w:rPr>
          <w:rFonts w:cs="Times New Roman"/>
          <w:szCs w:val="28"/>
        </w:rPr>
      </w:pPr>
      <w:r w:rsidRPr="00E81A55">
        <w:rPr>
          <w:rFonts w:cs="Times New Roman"/>
          <w:szCs w:val="28"/>
        </w:rPr>
        <w:t>在斷詞方面，本研究結合司法院裁判書用語辭典資料庫與中研院中文詞知識庫小組開發之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61BE0FE1" w14:textId="13EC6AEA" w:rsidR="00E81A55" w:rsidRDefault="00E81A55" w:rsidP="00E81A55">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2F506D22" w14:textId="77777777" w:rsidR="003240CC" w:rsidRPr="003240CC" w:rsidRDefault="003240CC" w:rsidP="003240CC">
      <w:pPr>
        <w:outlineLvl w:val="0"/>
      </w:pPr>
      <w:r w:rsidRPr="003240CC">
        <w:t>本研究並非將所有原始智慧財產權相關裁判書皆納入模型分析，而是保留最終實際進入模型流程之有效樣本。篩選原則主要包含兩項：第一，案件類型必須能明確歸入本研究設定之四類案件；第二，裁判結果必須能整理為本研究設定之三類結果。</w:t>
      </w:r>
    </w:p>
    <w:p w14:paraId="3B776AD2" w14:textId="77777777" w:rsidR="003240CC" w:rsidRPr="003240CC" w:rsidRDefault="003240CC" w:rsidP="003240CC">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、不重要案件，以及其他無法明確分類之案件，皆未納入後續模型分析。此一篩選方式可使分類任務聚焦於案件類型較為明確，且具備足夠樣本數可供模型訓練與比較之資料。</w:t>
      </w:r>
    </w:p>
    <w:p w14:paraId="6F49E057" w14:textId="77777777" w:rsidR="003240CC" w:rsidRPr="003240CC" w:rsidRDefault="003240CC" w:rsidP="003240CC">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w:t>
      </w:r>
      <w:r w:rsidRPr="003240CC">
        <w:lastRenderedPageBreak/>
        <w:t>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00305296" w14:textId="77777777" w:rsidR="003240CC" w:rsidRPr="003240CC" w:rsidRDefault="003240CC" w:rsidP="003240CC">
      <w:pPr>
        <w:outlineLvl w:val="0"/>
      </w:pPr>
      <w:r w:rsidRPr="003240CC">
        <w:t>表</w:t>
      </w:r>
      <w:r w:rsidRPr="003240CC">
        <w:t xml:space="preserve"> 3-2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ind w:left="720"/>
        <w:jc w:val="center"/>
        <w:outlineLvl w:val="0"/>
        <w:rPr>
          <w:rFonts w:cs="Times New Roman"/>
          <w:sz w:val="28"/>
          <w:szCs w:val="28"/>
        </w:rPr>
      </w:pPr>
      <w:r>
        <w:rPr>
          <w:rFonts w:cs="Times New Roman"/>
          <w:noProof/>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ED2DB1" w14:textId="77777777" w:rsidR="00925402" w:rsidRDefault="00000000">
      <w:pPr>
        <w:spacing w:before="120" w:after="60"/>
        <w:jc w:val="center"/>
      </w:pPr>
      <w:r>
        <w:rPr>
          <w:b/>
        </w:rPr>
        <w:t>表</w:t>
      </w:r>
      <w:r>
        <w:rPr>
          <w:b/>
        </w:rPr>
        <w:t xml:space="preserve"> 3-2 </w:t>
      </w:r>
      <w:r>
        <w:rPr>
          <w:b/>
        </w:rPr>
        <w:t>案件類型與裁判結果分布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27"/>
        <w:gridCol w:w="1451"/>
        <w:gridCol w:w="1859"/>
        <w:gridCol w:w="1799"/>
        <w:gridCol w:w="1790"/>
      </w:tblGrid>
      <w:tr w:rsidR="00B66EDF" w14:paraId="5BAC3042" w14:textId="77777777" w:rsidTr="003240CC">
        <w:trPr>
          <w:jc w:val="center"/>
        </w:trPr>
        <w:tc>
          <w:tcPr>
            <w:tcW w:w="2127" w:type="dxa"/>
            <w:vAlign w:val="center"/>
          </w:tcPr>
          <w:p w14:paraId="60FED16A" w14:textId="77777777" w:rsidR="00B66EDF" w:rsidRPr="00204DC5" w:rsidRDefault="00B66EDF" w:rsidP="00AB194A">
            <w:pPr>
              <w:spacing w:after="0" w:line="276" w:lineRule="auto"/>
              <w:jc w:val="center"/>
              <w:outlineLvl w:val="0"/>
            </w:pPr>
            <w:r w:rsidRPr="0098108F">
              <w:rPr>
                <w:b/>
                <w:sz w:val="21"/>
              </w:rPr>
              <w:t>資料集</w:t>
            </w:r>
          </w:p>
        </w:tc>
        <w:tc>
          <w:tcPr>
            <w:tcW w:w="1451" w:type="dxa"/>
            <w:vAlign w:val="center"/>
          </w:tcPr>
          <w:p w14:paraId="2AB4C1ED" w14:textId="77777777" w:rsidR="00B66EDF" w:rsidRPr="0098108F" w:rsidRDefault="00B66EDF" w:rsidP="00AB194A">
            <w:pPr>
              <w:spacing w:after="0" w:line="276" w:lineRule="auto"/>
              <w:jc w:val="center"/>
              <w:outlineLvl w:val="0"/>
            </w:pPr>
            <w:r w:rsidRPr="0098108F">
              <w:rPr>
                <w:b/>
                <w:sz w:val="21"/>
              </w:rPr>
              <w:t>Lose</w:t>
            </w:r>
          </w:p>
        </w:tc>
        <w:tc>
          <w:tcPr>
            <w:tcW w:w="1859" w:type="dxa"/>
            <w:vAlign w:val="center"/>
          </w:tcPr>
          <w:p w14:paraId="73806295" w14:textId="77777777" w:rsidR="00B66EDF" w:rsidRPr="0098108F" w:rsidRDefault="00B66EDF" w:rsidP="00AB194A">
            <w:pPr>
              <w:spacing w:after="0" w:line="276" w:lineRule="auto"/>
              <w:jc w:val="center"/>
              <w:outlineLvl w:val="0"/>
            </w:pPr>
            <w:r w:rsidRPr="0098108F">
              <w:rPr>
                <w:b/>
                <w:sz w:val="21"/>
              </w:rPr>
              <w:t>Mixed</w:t>
            </w:r>
          </w:p>
        </w:tc>
        <w:tc>
          <w:tcPr>
            <w:tcW w:w="1799" w:type="dxa"/>
            <w:vAlign w:val="center"/>
          </w:tcPr>
          <w:p w14:paraId="1F52E4E4" w14:textId="77777777" w:rsidR="00B66EDF" w:rsidRPr="0098108F" w:rsidRDefault="00B66EDF" w:rsidP="00AB194A">
            <w:pPr>
              <w:spacing w:after="0" w:line="276" w:lineRule="auto"/>
              <w:jc w:val="center"/>
              <w:outlineLvl w:val="0"/>
            </w:pPr>
            <w:r w:rsidRPr="0098108F">
              <w:rPr>
                <w:b/>
                <w:sz w:val="21"/>
              </w:rPr>
              <w:t>Win</w:t>
            </w:r>
          </w:p>
        </w:tc>
        <w:tc>
          <w:tcPr>
            <w:tcW w:w="1790" w:type="dxa"/>
            <w:vAlign w:val="center"/>
          </w:tcPr>
          <w:p w14:paraId="4A23D4EC" w14:textId="77777777" w:rsidR="00B66EDF" w:rsidRPr="0098108F" w:rsidRDefault="00B66EDF" w:rsidP="00AB194A">
            <w:pPr>
              <w:spacing w:after="0" w:line="276" w:lineRule="auto"/>
              <w:jc w:val="center"/>
              <w:outlineLvl w:val="0"/>
            </w:pPr>
            <w:r w:rsidRPr="0098108F">
              <w:rPr>
                <w:b/>
                <w:sz w:val="21"/>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left"/>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right"/>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right"/>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right"/>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right"/>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left"/>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right"/>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right"/>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right"/>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right"/>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left"/>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right"/>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right"/>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right"/>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right"/>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left"/>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right"/>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right"/>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right"/>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right"/>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left"/>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right"/>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right"/>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right"/>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right"/>
              <w:outlineLvl w:val="0"/>
            </w:pPr>
            <w:r>
              <w:rPr>
                <w:sz w:val="21"/>
              </w:rPr>
              <w:t>45344</w:t>
            </w:r>
          </w:p>
        </w:tc>
      </w:tr>
    </w:tbl>
    <w:p w14:paraId="3554FB4A" w14:textId="262E9191" w:rsidR="00411048" w:rsidRDefault="003240CC" w:rsidP="00411048">
      <w:pPr>
        <w:outlineLvl w:val="0"/>
        <w:rPr>
          <w:rFonts w:cs="Times New Roman"/>
          <w:sz w:val="28"/>
          <w:szCs w:val="28"/>
        </w:rPr>
      </w:pPr>
      <w:r w:rsidRPr="003240CC">
        <w:rPr>
          <w:rFonts w:cs="Times New Roman"/>
          <w:szCs w:val="28"/>
        </w:rPr>
        <w:lastRenderedPageBreak/>
        <w:t>表</w:t>
      </w:r>
      <w:r w:rsidRPr="003240CC">
        <w:rPr>
          <w:rFonts w:cs="Times New Roman"/>
          <w:szCs w:val="28"/>
        </w:rPr>
        <w:t xml:space="preserve"> 3-3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spacing w:before="120" w:after="60"/>
        <w:jc w:val="center"/>
      </w:pPr>
      <w:r>
        <w:rPr>
          <w:b/>
        </w:rPr>
        <w:t>表</w:t>
      </w:r>
      <w:r>
        <w:rPr>
          <w:b/>
        </w:rPr>
        <w:t xml:space="preserve"> 3-3 </w:t>
      </w:r>
      <w:r>
        <w:rPr>
          <w:b/>
        </w:rPr>
        <w:t>年度區間與案件類型分布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069"/>
        <w:gridCol w:w="1119"/>
        <w:gridCol w:w="1459"/>
        <w:gridCol w:w="1165"/>
        <w:gridCol w:w="1984"/>
        <w:gridCol w:w="1230"/>
      </w:tblGrid>
      <w:tr w:rsidR="00411048" w14:paraId="73481E95" w14:textId="77777777" w:rsidTr="003240CC">
        <w:trPr>
          <w:jc w:val="center"/>
        </w:trPr>
        <w:tc>
          <w:tcPr>
            <w:tcW w:w="2069" w:type="dxa"/>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行政</w:t>
            </w:r>
          </w:p>
        </w:tc>
        <w:tc>
          <w:tcPr>
            <w:tcW w:w="1459" w:type="dxa"/>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民事</w:t>
            </w:r>
          </w:p>
        </w:tc>
        <w:tc>
          <w:tcPr>
            <w:tcW w:w="1165" w:type="dxa"/>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w:t>
            </w:r>
          </w:p>
        </w:tc>
        <w:tc>
          <w:tcPr>
            <w:tcW w:w="1984" w:type="dxa"/>
            <w:vAlign w:val="center"/>
          </w:tcPr>
          <w:p w14:paraId="2FD35D8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刑事附民事</w:t>
            </w:r>
          </w:p>
        </w:tc>
        <w:tc>
          <w:tcPr>
            <w:tcW w:w="1230" w:type="dxa"/>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1"/>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right"/>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right"/>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right"/>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right"/>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right"/>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right"/>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right"/>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right"/>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right"/>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right"/>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right"/>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right"/>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right"/>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right"/>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right"/>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right"/>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right"/>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right"/>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right"/>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right"/>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right"/>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right"/>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right"/>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right"/>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right"/>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right"/>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right"/>
              <w:outlineLvl w:val="0"/>
            </w:pPr>
            <w:r>
              <w:rPr>
                <w:rFonts w:hint="eastAsia"/>
                <w:sz w:val="21"/>
              </w:rPr>
              <w:t>8439</w:t>
            </w:r>
          </w:p>
        </w:tc>
      </w:tr>
    </w:tbl>
    <w:p w14:paraId="4E07D92D" w14:textId="4309BDBF" w:rsidR="00411048" w:rsidRDefault="003240CC" w:rsidP="008E5AB0">
      <w:pPr>
        <w:spacing w:before="60"/>
        <w:jc w:val="center"/>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r w:rsidR="008E5AB0" w:rsidRPr="008E5AB0">
        <w:rPr>
          <w:rFonts w:cs="Times New Roman"/>
          <w:szCs w:val="28"/>
        </w:rPr>
        <w:t>。</w:t>
      </w:r>
    </w:p>
    <w:p w14:paraId="1E237A4D" w14:textId="77777777" w:rsidR="00A70B7A" w:rsidRDefault="00A70B7A" w:rsidP="00A70B7A">
      <w:pPr>
        <w:ind w:left="720"/>
        <w:jc w:val="center"/>
        <w:outlineLvl w:val="0"/>
        <w:rPr>
          <w:rFonts w:cs="Times New Roman"/>
          <w:sz w:val="28"/>
          <w:szCs w:val="28"/>
        </w:rPr>
      </w:pPr>
      <w:r>
        <w:rPr>
          <w:rFonts w:cs="Times New Roman"/>
          <w:noProof/>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217A57A" w14:textId="77777777" w:rsidR="00925402" w:rsidRDefault="00000000">
      <w:pPr>
        <w:spacing w:before="120" w:after="60"/>
        <w:jc w:val="center"/>
      </w:pPr>
      <w:r>
        <w:rPr>
          <w:b/>
        </w:rPr>
        <w:t>表</w:t>
      </w:r>
      <w:r>
        <w:rPr>
          <w:b/>
        </w:rPr>
        <w:t xml:space="preserve"> 3-4 </w:t>
      </w:r>
      <w:r>
        <w:rPr>
          <w:b/>
        </w:rPr>
        <w:t>年度區間與裁判結果比例</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54"/>
        <w:gridCol w:w="1983"/>
        <w:gridCol w:w="1983"/>
        <w:gridCol w:w="1955"/>
      </w:tblGrid>
      <w:tr w:rsidR="00144B2A" w14:paraId="716576DA" w14:textId="77777777" w:rsidTr="00240C57">
        <w:trPr>
          <w:jc w:val="center"/>
        </w:trPr>
        <w:tc>
          <w:tcPr>
            <w:tcW w:w="1954" w:type="dxa"/>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1"/>
              </w:rPr>
              <w:t>年度區間</w:t>
            </w:r>
          </w:p>
        </w:tc>
        <w:tc>
          <w:tcPr>
            <w:tcW w:w="1983" w:type="dxa"/>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敗訴</w:t>
            </w:r>
          </w:p>
        </w:tc>
        <w:tc>
          <w:tcPr>
            <w:tcW w:w="1983" w:type="dxa"/>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部分勝訴</w:t>
            </w:r>
          </w:p>
        </w:tc>
        <w:tc>
          <w:tcPr>
            <w:tcW w:w="1955" w:type="dxa"/>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left"/>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right"/>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right"/>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right"/>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left"/>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right"/>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right"/>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right"/>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left"/>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right"/>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right"/>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right"/>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left"/>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right"/>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right"/>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right"/>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left"/>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right"/>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right"/>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right"/>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left"/>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right"/>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right"/>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right"/>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5F21032E" w:rsidR="00523799" w:rsidRDefault="003240CC" w:rsidP="008613E4">
      <w:pPr>
        <w:outlineLvl w:val="0"/>
        <w:rPr>
          <w:rFonts w:cs="Times New Roman"/>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Accuracy</w:t>
      </w:r>
      <w:r w:rsidRPr="003240CC">
        <w:rPr>
          <w:rFonts w:cs="Times New Roman"/>
          <w:szCs w:val="28"/>
        </w:rPr>
        <w:t>、各類別</w:t>
      </w:r>
      <w:r w:rsidRPr="003240CC">
        <w:rPr>
          <w:rFonts w:cs="Times New Roman"/>
          <w:szCs w:val="28"/>
        </w:rPr>
        <w:t xml:space="preserve"> Precision</w:t>
      </w:r>
      <w:r w:rsidRPr="003240CC">
        <w:rPr>
          <w:rFonts w:cs="Times New Roman"/>
          <w:szCs w:val="28"/>
        </w:rPr>
        <w:t>、</w:t>
      </w:r>
      <w:r w:rsidRPr="003240CC">
        <w:rPr>
          <w:rFonts w:cs="Times New Roman"/>
          <w:szCs w:val="28"/>
        </w:rPr>
        <w:t>Recall</w:t>
      </w:r>
      <w:r w:rsidRPr="003240CC">
        <w:rPr>
          <w:rFonts w:cs="Times New Roman"/>
          <w:szCs w:val="28"/>
        </w:rPr>
        <w:t>、</w:t>
      </w:r>
      <w:r w:rsidRPr="003240CC">
        <w:rPr>
          <w:rFonts w:cs="Times New Roman"/>
          <w:szCs w:val="28"/>
        </w:rPr>
        <w:t xml:space="preserve">F1-score </w:t>
      </w:r>
      <w:r w:rsidRPr="003240CC">
        <w:rPr>
          <w:rFonts w:cs="Times New Roman"/>
          <w:szCs w:val="28"/>
        </w:rPr>
        <w:t>與混淆矩陣進行分析。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lastRenderedPageBreak/>
        <w:t xml:space="preserve">3.5 </w:t>
      </w:r>
      <w:r w:rsidRPr="003240CC">
        <w:rPr>
          <w:rFonts w:ascii="Times New Roman" w:eastAsia="標楷體" w:hAnsi="Times New Roman"/>
        </w:rPr>
        <w:t>文字特徵建構</w:t>
      </w:r>
    </w:p>
    <w:p w14:paraId="26B02A07" w14:textId="2F001752" w:rsidR="003240CC" w:rsidRPr="003240CC" w:rsidRDefault="003240CC" w:rsidP="003240CC">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三種文字特徵表示。由於法院判決書屬於非結構化長文本，若未先轉換為數值特徵，機器學習模型無法直接進行分類。因此，文字特徵建構是本研究模型流程中的重要步驟。</w:t>
      </w:r>
    </w:p>
    <w:p w14:paraId="4F490577" w14:textId="77777777" w:rsidR="003240CC" w:rsidRPr="003240CC" w:rsidRDefault="003240CC" w:rsidP="003240CC">
      <w:pPr>
        <w:outlineLvl w:val="0"/>
        <w:rPr>
          <w:rFonts w:cs="Times New Roman"/>
          <w:szCs w:val="28"/>
        </w:rPr>
      </w:pPr>
      <w:r w:rsidRPr="003240CC">
        <w:rPr>
          <w:rFonts w:cs="Times New Roman"/>
          <w:szCs w:val="28"/>
        </w:rPr>
        <w:t>第一，</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將每篇判決書視為詞彙集合，並依詞項出現與否或出現次數建立文件－詞彙矩陣。此方法忽略詞序與語法結構，但能保留法律詞彙於不同判決文本中的分布情形。對法律判決而言，許多詞彙本身即可能具有分類訊號，例如特定請求類型、程序用語、侵權判斷用語或裁判理由用語，因此</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可作為基本文字特徵表示。</w:t>
      </w:r>
    </w:p>
    <w:p w14:paraId="3F63858A" w14:textId="77777777" w:rsidR="003240CC" w:rsidRPr="003240CC" w:rsidRDefault="003240CC" w:rsidP="003240CC">
      <w:pPr>
        <w:outlineLvl w:val="0"/>
        <w:rPr>
          <w:rFonts w:cs="Times New Roman"/>
          <w:szCs w:val="28"/>
        </w:rPr>
      </w:pPr>
      <w:r w:rsidRPr="003240CC">
        <w:rPr>
          <w:rFonts w:cs="Times New Roman"/>
          <w:szCs w:val="28"/>
        </w:rPr>
        <w:t>第二，</w:t>
      </w:r>
      <w:r w:rsidRPr="003240CC">
        <w:rPr>
          <w:rFonts w:cs="Times New Roman"/>
          <w:szCs w:val="28"/>
        </w:rPr>
        <w:t xml:space="preserve">TF </w:t>
      </w:r>
      <w:r w:rsidRPr="003240CC">
        <w:rPr>
          <w:rFonts w:cs="Times New Roman"/>
          <w:szCs w:val="28"/>
        </w:rPr>
        <w:t>進一步考量詞彙在單一文件中的相對出現頻率。由於判決書篇幅差異可能較大，若僅使用原始詞頻，長文本可能因詞彙總數較多而產生較高計數。</w:t>
      </w:r>
      <w:r w:rsidRPr="003240CC">
        <w:rPr>
          <w:rFonts w:cs="Times New Roman"/>
          <w:szCs w:val="28"/>
        </w:rPr>
        <w:t xml:space="preserve">TF </w:t>
      </w:r>
      <w:r w:rsidRPr="003240CC">
        <w:rPr>
          <w:rFonts w:cs="Times New Roman"/>
          <w:szCs w:val="28"/>
        </w:rPr>
        <w:t>透過詞頻正規化降低文本長度差異之影響，使不同長度判決書之詞彙使用情形更具可比性。</w:t>
      </w:r>
    </w:p>
    <w:p w14:paraId="6806DAC5" w14:textId="77777777" w:rsidR="003240CC" w:rsidRPr="003240CC" w:rsidRDefault="003240CC" w:rsidP="003240CC">
      <w:pPr>
        <w:outlineLvl w:val="0"/>
        <w:rPr>
          <w:rFonts w:cs="Times New Roman"/>
          <w:szCs w:val="28"/>
        </w:rPr>
      </w:pPr>
      <w:r w:rsidRPr="003240CC">
        <w:rPr>
          <w:rFonts w:cs="Times New Roman"/>
          <w:szCs w:val="28"/>
        </w:rPr>
        <w:t>第三，</w:t>
      </w:r>
      <w:r w:rsidRPr="003240CC">
        <w:rPr>
          <w:rFonts w:cs="Times New Roman"/>
          <w:szCs w:val="28"/>
        </w:rPr>
        <w:t xml:space="preserve">TF-IDF </w:t>
      </w:r>
      <w:r w:rsidRPr="003240CC">
        <w:rPr>
          <w:rFonts w:cs="Times New Roman"/>
          <w:szCs w:val="28"/>
        </w:rPr>
        <w:t>同時考量詞彙在個別文件中的出現頻率，以及該詞彙在整體語料中的稀有程度。若某詞彙在單一判決中頻繁出現，但在整體語料中並不常見，</w:t>
      </w:r>
      <w:r w:rsidRPr="003240CC">
        <w:rPr>
          <w:rFonts w:cs="Times New Roman"/>
          <w:szCs w:val="28"/>
        </w:rPr>
        <w:t xml:space="preserve">TF-IDF </w:t>
      </w:r>
      <w:r w:rsidRPr="003240CC">
        <w:rPr>
          <w:rFonts w:cs="Times New Roman"/>
          <w:szCs w:val="28"/>
        </w:rPr>
        <w:t>會給予較高權重。此方法可降低一般高頻詞彙的影響，並強化較具區辨力之專門詞彙。對智慧財產權案件而言，部分特定權利主張、技術爭點或請求類型詞彙，可能不一定在所有案件中頻繁出現，但對裁判結果分類具有判別意義。</w:t>
      </w:r>
    </w:p>
    <w:p w14:paraId="72B61DBC" w14:textId="33932506" w:rsidR="00523799" w:rsidRPr="003240CC" w:rsidRDefault="003240CC" w:rsidP="003240CC">
      <w:pPr>
        <w:outlineLvl w:val="0"/>
        <w:rPr>
          <w:rFonts w:cs="Times New Roman"/>
          <w:szCs w:val="28"/>
        </w:rPr>
      </w:pPr>
      <w:r w:rsidRPr="003240CC">
        <w:rPr>
          <w:rFonts w:cs="Times New Roman"/>
          <w:szCs w:val="28"/>
        </w:rPr>
        <w:t>本研究不預設單一特徵表示必然最佳，而是在後續模型中分別檢驗</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w:t>
      </w:r>
      <w:r w:rsidRPr="003240CC">
        <w:rPr>
          <w:rFonts w:cs="Times New Roman"/>
          <w:szCs w:val="28"/>
        </w:rPr>
        <w:t xml:space="preserve">TF </w:t>
      </w:r>
      <w:r w:rsidRPr="003240CC">
        <w:rPr>
          <w:rFonts w:cs="Times New Roman"/>
          <w:szCs w:val="28"/>
        </w:rPr>
        <w:t>與</w:t>
      </w:r>
      <w:r w:rsidRPr="003240CC">
        <w:rPr>
          <w:rFonts w:cs="Times New Roman"/>
          <w:szCs w:val="28"/>
        </w:rPr>
        <w:t xml:space="preserve"> TF-IDF </w:t>
      </w:r>
      <w:r w:rsidRPr="003240CC">
        <w:rPr>
          <w:rFonts w:cs="Times New Roman"/>
          <w:szCs w:val="28"/>
        </w:rPr>
        <w:t>於不同案件類型下之分類效果。</w:t>
      </w:r>
    </w:p>
    <w:p w14:paraId="4F9FB041" w14:textId="4C8EDA4D" w:rsidR="00925402" w:rsidRDefault="00000000">
      <w:pPr>
        <w:pStyle w:val="2"/>
      </w:pPr>
      <w:r>
        <w:rPr>
          <w:rFonts w:ascii="Times New Roman" w:eastAsia="標楷體" w:hAnsi="Times New Roman"/>
        </w:rPr>
        <w:t>3.</w:t>
      </w:r>
      <w:r w:rsidR="003240CC">
        <w:rPr>
          <w:rFonts w:ascii="Times New Roman" w:eastAsia="標楷體" w:hAnsi="Times New Roman" w:hint="eastAsia"/>
        </w:rPr>
        <w:t>6</w:t>
      </w:r>
      <w:r>
        <w:rPr>
          <w:rFonts w:ascii="Times New Roman" w:eastAsia="標楷體" w:hAnsi="Times New Roman"/>
        </w:rPr>
        <w:t xml:space="preserve"> </w:t>
      </w:r>
      <w:r>
        <w:rPr>
          <w:rFonts w:ascii="Times New Roman" w:eastAsia="標楷體" w:hAnsi="Times New Roman"/>
        </w:rPr>
        <w:t>卡方特徵選擇</w:t>
      </w:r>
    </w:p>
    <w:p w14:paraId="4D62F3FE" w14:textId="04BC9B82" w:rsidR="007B2911" w:rsidRPr="007B2911" w:rsidRDefault="007B2911" w:rsidP="007B2911">
      <w:r w:rsidRPr="007B2911">
        <w:t>判決文本經</w:t>
      </w:r>
      <w:r w:rsidRPr="007B2911">
        <w:t xml:space="preserve"> </w:t>
      </w:r>
      <w:proofErr w:type="spellStart"/>
      <w:r w:rsidRPr="007B2911">
        <w:t>BoW</w:t>
      </w:r>
      <w:proofErr w:type="spellEnd"/>
      <w:r w:rsidRPr="007B2911">
        <w:t>、</w:t>
      </w:r>
      <w:r w:rsidRPr="007B2911">
        <w:t xml:space="preserve">TF </w:t>
      </w:r>
      <w:r w:rsidRPr="007B2911">
        <w:t>或</w:t>
      </w:r>
      <w:r w:rsidRPr="007B2911">
        <w:t xml:space="preserve"> TF-IDF </w:t>
      </w:r>
      <w:r w:rsidRPr="007B2911">
        <w:t>向量化後，通常會形成高維稀疏矩陣。若直接將所有詞彙納入模型，可能造成三項問題：第一，計算負擔增加；第二，大量無關詞彙可能稀釋有效分類訊號；第三，模型可能因高維特徵而產生過度擬合。因此，本研究採</w:t>
      </w:r>
      <w:r w:rsidRPr="007B2911">
        <w:lastRenderedPageBreak/>
        <w:t>用卡方統計量（</w:t>
      </w:r>
      <w:r w:rsidRPr="007B2911">
        <w:t>Chi-square statistic</w:t>
      </w:r>
      <w:r w:rsidRPr="007B2911">
        <w:t>）進行特徵選擇。</w:t>
      </w:r>
    </w:p>
    <w:p w14:paraId="683747D0" w14:textId="77777777" w:rsidR="007B2911" w:rsidRPr="007B2911" w:rsidRDefault="007B2911" w:rsidP="007B2911">
      <w:r w:rsidRPr="007B2911">
        <w:t>卡方特徵選擇的核心概念，是檢驗詞彙出現與裁判結果類別之間是否具有統計關聯。若某一詞彙在不同裁判結果類別中的出現分布差異越大，代表該詞彙越可能具有分類判別力。相反地，若某詞彙在各類別中分布相近，則其對區分敗訴、部分勝訴與勝訴的幫助可能較低。</w:t>
      </w:r>
    </w:p>
    <w:p w14:paraId="2BCAF006" w14:textId="77777777" w:rsidR="007B2911" w:rsidRPr="007B2911" w:rsidRDefault="007B2911" w:rsidP="007B2911">
      <w:r w:rsidRPr="007B2911">
        <w:t>以二分類情境為例，卡方統計量可理解為比較「某詞是否出現」與「某類別是否成立」之間是否獨立。若二者完全無關，該詞在各類別中的出現比例應相近；若二者差異明顯，則表示該詞可能與特定類別相關。其基本計算邏輯如下：</w:t>
      </w:r>
    </w:p>
    <w:p w14:paraId="2366DA84" w14:textId="77777777" w:rsidR="007B2911" w:rsidRPr="007B2911" w:rsidRDefault="00000000" w:rsidP="007B2911">
      <w:pPr>
        <w:spacing w:before="120"/>
        <w:jc w:val="center"/>
      </w:pPr>
      <m:oMathPara>
        <m:oMath>
          <m:sSup>
            <m:sSupPr>
              <m:ctrlPr>
                <w:rPr>
                  <w:rFonts w:ascii="Cambria Math" w:hAnsi="Cambria Math"/>
                </w:rPr>
              </m:ctrlPr>
            </m:sSupPr>
            <m:e>
              <m:r>
                <m:rPr>
                  <m:sty m:val="p"/>
                </m:rPr>
                <w:rPr>
                  <w:rFonts w:ascii="Cambria Math" w:eastAsia="Cambria Math" w:hAnsi="Cambria Math"/>
                </w:rPr>
                <m:t>χ</m:t>
              </m:r>
            </m:e>
            <m:sup>
              <m:r>
                <m:rPr>
                  <m:sty m:val="p"/>
                </m:rPr>
                <w:rPr>
                  <w:rFonts w:ascii="Cambria Math" w:eastAsia="Cambria Math" w:hAnsi="Cambria Math"/>
                </w:rPr>
                <m:t>2</m:t>
              </m:r>
            </m:sup>
          </m:sSup>
          <m:r>
            <m:rPr>
              <m:sty m:val="p"/>
            </m:rPr>
            <w:rPr>
              <w:rFonts w:ascii="Cambria Math" w:eastAsia="Cambria Math" w:hAnsi="Cambria Math"/>
            </w:rPr>
            <m:t xml:space="preserve"> = ∑</m:t>
          </m:r>
          <m:f>
            <m:fPr>
              <m:ctrlPr>
                <w:rPr>
                  <w:rFonts w:ascii="Cambria Math" w:hAnsi="Cambria Math"/>
                </w:rPr>
              </m:ctrlPr>
            </m:fPr>
            <m:num>
              <m:sSup>
                <m:sSupPr>
                  <m:ctrlPr>
                    <w:rPr>
                      <w:rFonts w:ascii="Cambria Math" w:hAnsi="Cambria Math"/>
                    </w:rPr>
                  </m:ctrlPr>
                </m:sSupPr>
                <m:e>
                  <m:r>
                    <m:rPr>
                      <m:sty m:val="p"/>
                    </m:rPr>
                    <w:rPr>
                      <w:rFonts w:ascii="Cambria Math" w:eastAsia="Cambria Math" w:hAnsi="Cambria Math"/>
                    </w:rPr>
                    <m:t>(O - E)</m:t>
                  </m:r>
                </m:e>
                <m:sup>
                  <m:r>
                    <m:rPr>
                      <m:sty m:val="p"/>
                    </m:rPr>
                    <w:rPr>
                      <w:rFonts w:ascii="Cambria Math" w:eastAsia="Cambria Math" w:hAnsi="Cambria Math"/>
                    </w:rPr>
                    <m:t>2</m:t>
                  </m:r>
                </m:sup>
              </m:sSup>
            </m:num>
            <m:den>
              <m:r>
                <m:rPr>
                  <m:sty m:val="p"/>
                </m:rPr>
                <w:rPr>
                  <w:rFonts w:ascii="Cambria Math" w:eastAsia="Cambria Math" w:hAnsi="Cambria Math"/>
                </w:rPr>
                <m:t>E</m:t>
              </m:r>
            </m:den>
          </m:f>
        </m:oMath>
      </m:oMathPara>
    </w:p>
    <w:p w14:paraId="3BD9C69B" w14:textId="77777777" w:rsidR="007B2911" w:rsidRPr="007B2911" w:rsidRDefault="007B2911" w:rsidP="007B2911">
      <w:r>
        <w:t>其中，觀察次數是資料中實際看到的詞彙與類別共現次數，期望次數則是在詞彙與類別彼此獨立的假設下，理論上應該出現的次數。</w:t>
      </w:r>
      <m:oMath>
        <m:sSup>
          <m:sSupPr>
            <m:ctrlPr>
              <w:rPr>
                <w:rFonts w:ascii="Cambria Math" w:hAnsi="Cambria Math"/>
              </w:rPr>
            </m:ctrlPr>
          </m:sSupPr>
          <m:e>
            <m:r>
              <m:rPr>
                <m:sty m:val="p"/>
              </m:rPr>
              <w:rPr>
                <w:rFonts w:ascii="Cambria Math" w:eastAsia="Cambria Math" w:hAnsi="Cambria Math"/>
              </w:rPr>
              <m:t>χ</m:t>
            </m:r>
          </m:e>
          <m:sup>
            <m:r>
              <m:rPr>
                <m:sty m:val="p"/>
              </m:rPr>
              <w:rPr>
                <w:rFonts w:ascii="Cambria Math" w:eastAsia="Cambria Math" w:hAnsi="Cambria Math"/>
              </w:rPr>
              <m:t>2</m:t>
            </m:r>
          </m:sup>
        </m:sSup>
      </m:oMath>
      <w:r>
        <w:t xml:space="preserve"> </w:t>
      </w:r>
      <w:r>
        <w:t>數值越大，代表該詞彙與類別之間的關聯越強，越可能被選為有用特徵。</w:t>
      </w:r>
    </w:p>
    <w:p w14:paraId="3C398A4D" w14:textId="6388734F" w:rsidR="00925402" w:rsidRPr="007B2911" w:rsidRDefault="007B2911" w:rsidP="007B2911">
      <w:r w:rsidRPr="007B2911">
        <w:t>本研究於訓練資料中計算各詞彙之卡方統計量，並依統計量大小選取前</w:t>
      </w:r>
      <w:r w:rsidRPr="007B2911">
        <w:t xml:space="preserve"> K </w:t>
      </w:r>
      <w:r w:rsidRPr="007B2911">
        <w:t>個特徵。為避免資料洩漏，卡方特徵選擇僅使用訓練集估計特徵篩選規則，再將相同篩選規則套用至驗證集與測試集。</w:t>
      </w:r>
      <w:r w:rsidRPr="007B2911">
        <w:t xml:space="preserve">K </w:t>
      </w:r>
      <w:r w:rsidRPr="007B2911">
        <w:t>值則透過驗證集表現進行選擇，測試集僅用於最終模型評估。</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738FCF0F" w14:textId="77777777" w:rsidR="007B2911" w:rsidRPr="007B2911" w:rsidRDefault="007B2911" w:rsidP="007B2911">
      <w:r w:rsidRPr="007B2911">
        <w:t>多項式逆迴歸（</w:t>
      </w:r>
      <w:r w:rsidRPr="007B2911">
        <w:t>Multinomial Inverse Regression, MNIR</w:t>
      </w:r>
      <w:r w:rsidRPr="007B2911">
        <w:t>）是一種用於高維文本資料的監督式特徵轉換方法。一般文字分類模型多採前向預測邏輯，也就是以文字特徵預測裁判結果；</w:t>
      </w:r>
      <w:r w:rsidRPr="007B2911">
        <w:t xml:space="preserve">MNIR </w:t>
      </w:r>
      <w:r w:rsidRPr="007B2911">
        <w:t>則採取逆向建模思維，分析在給定目標變數條件下，文字詞彙分布如何變化，藉此萃取與目標變數相關的低維文本表徵。</w:t>
      </w:r>
    </w:p>
    <w:p w14:paraId="6F07684F" w14:textId="77777777" w:rsidR="007B2911" w:rsidRPr="007B2911" w:rsidRDefault="007B2911" w:rsidP="007B2911">
      <w:r w:rsidRPr="007B2911">
        <w:t>在本研究脈絡中，</w:t>
      </w:r>
      <w:r w:rsidRPr="007B2911">
        <w:t xml:space="preserve">MNIR </w:t>
      </w:r>
      <w:r w:rsidRPr="007B2911">
        <w:t>的目的不是單純壓縮文字矩陣，而是利用裁判結果標籤資訊，將高維詞彙特徵轉換為與裁判結果較相關的低維特徵。換言之，</w:t>
      </w:r>
      <w:r w:rsidRPr="007B2911">
        <w:t xml:space="preserve">MNIR </w:t>
      </w:r>
      <w:r w:rsidRPr="007B2911">
        <w:t>屬於監督式特徵轉換，與一般不使用標籤資訊的無監督降維方法不同。</w:t>
      </w:r>
    </w:p>
    <w:p w14:paraId="0A399444" w14:textId="77777777" w:rsidR="007B2911" w:rsidRPr="007B2911" w:rsidRDefault="007B2911" w:rsidP="007B2911">
      <w:r w:rsidRPr="007B2911">
        <w:lastRenderedPageBreak/>
        <w:t>概念上，</w:t>
      </w:r>
      <w:r w:rsidRPr="007B2911">
        <w:t xml:space="preserve">MNIR </w:t>
      </w:r>
      <w:r w:rsidRPr="007B2911">
        <w:t>可表示為以下邏輯：模型不是直接估計「文字特徵如何預測裁判結果」，而是反過來估計「在不同裁判結果下，詞彙分布如何改變」。若某些詞彙在敗訴、部分勝訴與勝訴案件中的分布差異明顯，</w:t>
      </w:r>
      <w:r w:rsidRPr="007B2911">
        <w:t xml:space="preserve">MNIR </w:t>
      </w:r>
      <w:r w:rsidRPr="007B2911">
        <w:t>便可利用此差異建立與裁判結果相關的低維表示。此低維表示通常稱為</w:t>
      </w:r>
      <w:r w:rsidRPr="007B2911">
        <w:t xml:space="preserve"> sufficient reduction scores</w:t>
      </w:r>
      <w:r w:rsidRPr="007B2911">
        <w:t>，後續可作為分類模型的輸入。</w:t>
      </w:r>
    </w:p>
    <w:p w14:paraId="5DF9A807" w14:textId="77777777" w:rsidR="007B2911" w:rsidRPr="007B2911" w:rsidRDefault="007B2911" w:rsidP="007B2911">
      <w:r w:rsidRPr="007B2911">
        <w:t>本研究的</w:t>
      </w:r>
      <w:r w:rsidRPr="007B2911">
        <w:t xml:space="preserve"> MNIR </w:t>
      </w:r>
      <w:r w:rsidRPr="007B2911">
        <w:t>流程如下。首先，使用訓練集中文本特徵矩陣與裁判結果標籤訓練</w:t>
      </w:r>
      <w:r w:rsidRPr="007B2911">
        <w:t xml:space="preserve"> MNIR </w:t>
      </w:r>
      <w:r w:rsidRPr="007B2911">
        <w:t>模型。其次，固定訓練完成之</w:t>
      </w:r>
      <w:r w:rsidRPr="007B2911">
        <w:t xml:space="preserve"> MNIR </w:t>
      </w:r>
      <w:r w:rsidRPr="007B2911">
        <w:t>模型，分別將訓練集、驗證集與測試集轉換為</w:t>
      </w:r>
      <w:r w:rsidRPr="007B2911">
        <w:t xml:space="preserve"> MNIR </w:t>
      </w:r>
      <w:r w:rsidRPr="007B2911">
        <w:t>特徵。最後，將</w:t>
      </w:r>
      <w:r w:rsidRPr="007B2911">
        <w:t xml:space="preserve"> MNIR </w:t>
      </w:r>
      <w:r w:rsidRPr="007B2911">
        <w:t>轉換後之低維特徵輸入</w:t>
      </w:r>
      <w:r w:rsidRPr="007B2911">
        <w:t xml:space="preserve"> SVM </w:t>
      </w:r>
      <w:r w:rsidRPr="007B2911">
        <w:t>分類器，進行裁判結果分類。</w:t>
      </w:r>
    </w:p>
    <w:p w14:paraId="68C8F58C" w14:textId="61BE5492" w:rsidR="007B2911" w:rsidRPr="007B2911" w:rsidRDefault="007B2911" w:rsidP="007B2911">
      <w:r w:rsidRPr="007B2911">
        <w:t>由於本研究已先透過卡方統計量進行特徵選擇，卡方篩選後的稀疏文字特徵可能已保留相當程度與裁判結果相關的訊息。因此，</w:t>
      </w:r>
      <w:r w:rsidRPr="007B2911">
        <w:t xml:space="preserve">MNIR </w:t>
      </w:r>
      <w:r w:rsidRPr="007B2911">
        <w:t>是否能在卡方特徵選擇後進一步提升分類效果，仍需透過與</w:t>
      </w:r>
      <w:r w:rsidRPr="007B2911">
        <w:t xml:space="preserve"> Direct SVM </w:t>
      </w:r>
      <w:r w:rsidRPr="007B2911">
        <w:t>對照流程之比較加以檢驗。</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76A13611" w14:textId="14CABE64" w:rsidR="007B2911" w:rsidRPr="007B2911" w:rsidRDefault="007B2911" w:rsidP="007B2911">
      <w:r w:rsidRPr="007B2911">
        <w:t>本研究比較兩條主要模型流程，分別為</w:t>
      </w:r>
      <w:r w:rsidRPr="007B2911">
        <w:t xml:space="preserve"> Chi-square + MNIR + SVM </w:t>
      </w:r>
      <w:r w:rsidRPr="007B2911">
        <w:t>與</w:t>
      </w:r>
      <w:r w:rsidRPr="007B2911">
        <w:t xml:space="preserve"> Chi-square + Direct SVM</w:t>
      </w:r>
      <w:r w:rsidRPr="007B2911">
        <w:t>。兩條流程皆以前述文字特徵建構與卡方特徵選擇作為共同前置步驟，差異在於是否進一步透過</w:t>
      </w:r>
      <w:r w:rsidRPr="007B2911">
        <w:t xml:space="preserve"> MNIR </w:t>
      </w:r>
      <w:r w:rsidRPr="007B2911">
        <w:t>進行監督式特徵轉換。前者用以檢驗</w:t>
      </w:r>
      <w:r w:rsidRPr="007B2911">
        <w:t xml:space="preserve"> MNIR </w:t>
      </w:r>
      <w:r w:rsidRPr="007B2911">
        <w:t>是否能將高維法律文本特徵轉換為較具判別力之低維表徵；後者則作為不經</w:t>
      </w:r>
      <w:r w:rsidRPr="007B2911">
        <w:t xml:space="preserve"> MNIR </w:t>
      </w:r>
      <w:r w:rsidRPr="007B2911">
        <w:t>轉換之直接對照流程。</w:t>
      </w:r>
    </w:p>
    <w:p w14:paraId="4A0042CC" w14:textId="33FE15A1"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F739DE" w:rsidRPr="00F739DE">
        <w:rPr>
          <w:rFonts w:eastAsia="標楷體" w:cs="Times New Roman"/>
          <w:szCs w:val="28"/>
        </w:rPr>
        <w:t xml:space="preserve">MNIR </w:t>
      </w:r>
      <w:r w:rsidR="00F739DE" w:rsidRPr="00F739DE">
        <w:rPr>
          <w:rFonts w:eastAsia="標楷體" w:cs="Times New Roman"/>
          <w:szCs w:val="28"/>
        </w:rPr>
        <w:t>之理論基礎與建模動機</w:t>
      </w:r>
    </w:p>
    <w:p w14:paraId="3F58AA4B" w14:textId="77777777" w:rsidR="00F739DE" w:rsidRPr="00F739DE" w:rsidRDefault="00F739DE" w:rsidP="00F739DE">
      <w:pPr>
        <w:outlineLvl w:val="0"/>
        <w:rPr>
          <w:rFonts w:cs="Times New Roman"/>
          <w:szCs w:val="28"/>
        </w:rPr>
      </w:pPr>
      <w:r w:rsidRPr="00F739DE">
        <w:rPr>
          <w:rFonts w:cs="Times New Roman"/>
          <w:szCs w:val="28"/>
        </w:rPr>
        <w:t>在高維度文本資料的統計建模中，研究者常面臨「維度災難」問題。當詞彙表規模達數千至數萬維度時，若直接以前向模型將裁判結果</w:t>
      </w:r>
      <w:r w:rsidRPr="00F739DE">
        <w:rPr>
          <w:rFonts w:cs="Times New Roman"/>
          <w:szCs w:val="28"/>
        </w:rPr>
        <w:t xml:space="preserve"> y </w:t>
      </w:r>
      <w:r w:rsidRPr="00F739DE">
        <w:rPr>
          <w:rFonts w:cs="Times New Roman"/>
          <w:szCs w:val="28"/>
        </w:rPr>
        <w:t>對高維詞頻向量</w:t>
      </w:r>
      <w:r w:rsidRPr="00F739DE">
        <w:rPr>
          <w:rFonts w:cs="Times New Roman"/>
          <w:szCs w:val="28"/>
        </w:rPr>
        <w:t xml:space="preserve"> x </w:t>
      </w:r>
      <w:r w:rsidRPr="00F739DE">
        <w:rPr>
          <w:rFonts w:cs="Times New Roman"/>
          <w:szCs w:val="28"/>
        </w:rPr>
        <w:t>建模，容易因參數空間過大而造成估計不穩定，亦可能使真正與裁判結果相關的詞彙訊號被大量無關詞彙稀釋。</w:t>
      </w:r>
    </w:p>
    <w:p w14:paraId="4789CB86" w14:textId="4ACCE1E0" w:rsidR="00F739DE" w:rsidRPr="00F739DE" w:rsidRDefault="00F739DE" w:rsidP="00F739DE">
      <w:pPr>
        <w:outlineLvl w:val="0"/>
        <w:rPr>
          <w:rFonts w:cs="Times New Roman"/>
          <w:szCs w:val="28"/>
        </w:rPr>
      </w:pPr>
      <w:r w:rsidRPr="00F739DE">
        <w:rPr>
          <w:rFonts w:cs="Times New Roman"/>
          <w:szCs w:val="28"/>
        </w:rPr>
        <w:lastRenderedPageBreak/>
        <w:t>本研究採用的多項式逆迴歸（</w:t>
      </w:r>
      <w:r w:rsidRPr="00F739DE">
        <w:rPr>
          <w:rFonts w:cs="Times New Roman"/>
          <w:szCs w:val="28"/>
        </w:rPr>
        <w:t>Multinomial Inverse Regression, MNIR</w:t>
      </w:r>
      <w:r w:rsidRPr="00F739DE">
        <w:rPr>
          <w:rFonts w:cs="Times New Roman"/>
          <w:szCs w:val="28"/>
        </w:rPr>
        <w:t>）架構，其核心策略在於反轉一般預測邏輯。傳統前向模型通常關注</w:t>
      </w:r>
      <w:r w:rsidRPr="00F739DE">
        <w:rPr>
          <w:rFonts w:cs="Times New Roman"/>
          <w:szCs w:val="28"/>
        </w:rPr>
        <w:t xml:space="preserve"> x </w:t>
      </w:r>
      <w:r w:rsidRPr="00F739DE">
        <w:rPr>
          <w:rFonts w:cs="Times New Roman"/>
          <w:szCs w:val="28"/>
        </w:rPr>
        <w:t>如何預測</w:t>
      </w:r>
      <w:r w:rsidRPr="00F739DE">
        <w:rPr>
          <w:rFonts w:cs="Times New Roman"/>
          <w:szCs w:val="28"/>
        </w:rPr>
        <w:t xml:space="preserve"> y</w:t>
      </w:r>
      <w:r w:rsidRPr="00F739DE">
        <w:rPr>
          <w:rFonts w:cs="Times New Roman"/>
          <w:szCs w:val="28"/>
        </w:rPr>
        <w:t>；</w:t>
      </w:r>
      <w:r w:rsidRPr="00F739DE">
        <w:rPr>
          <w:rFonts w:cs="Times New Roman"/>
          <w:szCs w:val="28"/>
        </w:rPr>
        <w:t xml:space="preserve">MNIR </w:t>
      </w:r>
      <w:r w:rsidRPr="00F739DE">
        <w:rPr>
          <w:rFonts w:cs="Times New Roman"/>
          <w:szCs w:val="28"/>
        </w:rPr>
        <w:t>則改以給定目標變數</w:t>
      </w:r>
      <w:r w:rsidRPr="00F739DE">
        <w:rPr>
          <w:rFonts w:cs="Times New Roman"/>
          <w:szCs w:val="28"/>
        </w:rPr>
        <w:t xml:space="preserve"> y </w:t>
      </w:r>
      <w:r w:rsidRPr="00F739DE">
        <w:rPr>
          <w:rFonts w:cs="Times New Roman"/>
          <w:szCs w:val="28"/>
        </w:rPr>
        <w:t>的條件下，觀察文本詞彙分布</w:t>
      </w:r>
      <w:r w:rsidRPr="00F739DE">
        <w:rPr>
          <w:rFonts w:cs="Times New Roman"/>
          <w:szCs w:val="28"/>
        </w:rPr>
        <w:t xml:space="preserve"> </w:t>
      </w:r>
      <m:oMath>
        <m:r>
          <w:rPr>
            <w:rFonts w:ascii="Cambria Math" w:hAnsi="Cambria Math" w:cs="Times New Roman"/>
            <w:sz w:val="28"/>
            <w:szCs w:val="28"/>
          </w:rPr>
          <m:t>x|y</m:t>
        </m:r>
      </m:oMath>
      <w:r w:rsidRPr="00F739DE">
        <w:rPr>
          <w:rFonts w:cs="Times New Roman"/>
          <w:szCs w:val="28"/>
        </w:rPr>
        <w:t xml:space="preserve"> </w:t>
      </w:r>
      <w:r w:rsidRPr="00F739DE">
        <w:rPr>
          <w:rFonts w:cs="Times New Roman"/>
          <w:szCs w:val="28"/>
        </w:rPr>
        <w:t>如何變化。換言之，</w:t>
      </w:r>
      <w:r w:rsidRPr="00F739DE">
        <w:rPr>
          <w:rFonts w:cs="Times New Roman"/>
          <w:szCs w:val="28"/>
        </w:rPr>
        <w:t xml:space="preserve">MNIR </w:t>
      </w:r>
      <w:r w:rsidRPr="00F739DE">
        <w:rPr>
          <w:rFonts w:cs="Times New Roman"/>
          <w:szCs w:val="28"/>
        </w:rPr>
        <w:t>並非單純描述文本本身的隨機變異，而是試圖萃取與裁判結果</w:t>
      </w:r>
      <w:r w:rsidRPr="00F739DE">
        <w:rPr>
          <w:rFonts w:cs="Times New Roman"/>
          <w:szCs w:val="28"/>
        </w:rPr>
        <w:t xml:space="preserve"> y </w:t>
      </w:r>
      <w:r w:rsidRPr="00F739DE">
        <w:rPr>
          <w:rFonts w:cs="Times New Roman"/>
          <w:szCs w:val="28"/>
        </w:rPr>
        <w:t>相關的詞彙分布方向。</w:t>
      </w:r>
    </w:p>
    <w:p w14:paraId="0C51AA13" w14:textId="2C3CF649" w:rsidR="00F739DE" w:rsidRPr="00F739DE" w:rsidRDefault="00F739DE" w:rsidP="00F739DE">
      <w:pPr>
        <w:outlineLvl w:val="0"/>
        <w:rPr>
          <w:rFonts w:cs="Times New Roman"/>
          <w:szCs w:val="28"/>
        </w:rPr>
      </w:pPr>
      <w:r w:rsidRPr="00F739DE">
        <w:rPr>
          <w:rFonts w:cs="Times New Roman"/>
          <w:szCs w:val="28"/>
        </w:rPr>
        <w:t>在數學定義上，</w:t>
      </w:r>
      <w:r w:rsidRPr="00F739DE">
        <w:rPr>
          <w:rFonts w:cs="Times New Roman"/>
          <w:szCs w:val="28"/>
        </w:rPr>
        <w:t xml:space="preserve">MNIR </w:t>
      </w:r>
      <w:r w:rsidRPr="00F739DE">
        <w:rPr>
          <w:rFonts w:cs="Times New Roman"/>
          <w:szCs w:val="28"/>
        </w:rPr>
        <w:t>將每一份文件</w:t>
      </w:r>
      <w:r w:rsidRPr="00F739DE">
        <w:rPr>
          <w:rFonts w:cs="Times New Roman"/>
          <w:szCs w:val="28"/>
        </w:rPr>
        <w:t xml:space="preserve"> </w:t>
      </w:r>
      <m:oMath>
        <m:r>
          <w:rPr>
            <w:rFonts w:ascii="Cambria Math" w:hAnsi="Cambria Math" w:cs="Times New Roman"/>
            <w:sz w:val="28"/>
            <w:szCs w:val="28"/>
          </w:rPr>
          <m:t>i</m:t>
        </m:r>
      </m:oMath>
      <w:r w:rsidRPr="00F739DE">
        <w:rPr>
          <w:rFonts w:cs="Times New Roman"/>
          <w:szCs w:val="28"/>
        </w:rPr>
        <w:t xml:space="preserve"> </w:t>
      </w:r>
      <w:r w:rsidRPr="00F739DE">
        <w:rPr>
          <w:rFonts w:cs="Times New Roman"/>
          <w:szCs w:val="28"/>
        </w:rPr>
        <w:t>視為從多項式分布中抽取之標記集合。依據</w:t>
      </w:r>
      <w:r w:rsidRPr="00F739DE">
        <w:rPr>
          <w:rFonts w:cs="Times New Roman"/>
          <w:szCs w:val="28"/>
        </w:rPr>
        <w:t xml:space="preserve"> Taddy</w:t>
      </w:r>
      <w:r w:rsidRPr="00F739DE">
        <w:rPr>
          <w:rFonts w:cs="Times New Roman"/>
          <w:szCs w:val="28"/>
        </w:rPr>
        <w:t>（</w:t>
      </w:r>
      <w:r w:rsidRPr="00F739DE">
        <w:rPr>
          <w:rFonts w:cs="Times New Roman"/>
          <w:szCs w:val="28"/>
        </w:rPr>
        <w:t>2013</w:t>
      </w:r>
      <w:r w:rsidRPr="00F739DE">
        <w:rPr>
          <w:rFonts w:cs="Times New Roman"/>
          <w:szCs w:val="28"/>
        </w:rPr>
        <w:t>）的架構，其基本形式可表示為：</w:t>
      </w:r>
    </w:p>
    <w:p w14:paraId="2FF666B2" w14:textId="77777777" w:rsidR="00365AD6" w:rsidRPr="00310DD0" w:rsidRDefault="00000000" w:rsidP="00365AD6">
      <w:pPr>
        <w:outlineLvl w:val="0"/>
        <w:rPr>
          <w:rFonts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~MN</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q</m:t>
                  </m:r>
                </m:e>
                <m:sub>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i</m:t>
                  </m:r>
                </m:sub>
              </m:sSub>
            </m:e>
          </m:d>
        </m:oMath>
      </m:oMathPara>
    </w:p>
    <w:p w14:paraId="0DA4F455" w14:textId="1B7DEEE4" w:rsidR="00F739DE" w:rsidRPr="00F739DE" w:rsidRDefault="00F739DE" w:rsidP="00F739DE">
      <w:pPr>
        <w:outlineLvl w:val="0"/>
        <w:rPr>
          <w:rFonts w:cs="Times New Roman"/>
          <w:szCs w:val="28"/>
        </w:rPr>
      </w:pPr>
      <w:r>
        <w:t>其中，</w:t>
      </w:r>
      <w:r>
        <w:t xml:space="preserve"> </w:t>
      </w:r>
      <w:r>
        <w:t>為維詞頻計數向量，為文件</w:t>
      </w:r>
      <w:r>
        <w:t xml:space="preserve">  </w:t>
      </w:r>
      <w:r>
        <w:t>的總詞數，</w:t>
      </w:r>
      <w:r>
        <w:t xml:space="preserve"> </w:t>
      </w:r>
      <w:r>
        <w:t>則為文件</w:t>
      </w:r>
      <w:r>
        <w:t xml:space="preserve">  </w:t>
      </w:r>
      <w:r>
        <w:t>中各詞彙出現機率所構成的向量。模型關鍵在於，詞彙出現機率</w:t>
      </w:r>
      <w:r>
        <w:t xml:space="preserve"> </w:t>
      </w:r>
      <m:oMath>
        <m:sSub>
          <m:sSubPr>
            <m:ctrlPr>
              <w:rPr>
                <w:rFonts w:ascii="Cambria Math" w:hAnsi="Cambria Math"/>
              </w:rPr>
            </m:ctrlPr>
          </m:sSubPr>
          <m:e>
            <m:r>
              <m:rPr>
                <m:sty m:val="p"/>
              </m:rPr>
              <w:rPr>
                <w:rFonts w:ascii="Cambria Math" w:eastAsia="Cambria Math" w:hAnsi="Cambria Math"/>
              </w:rPr>
              <m:t>q</m:t>
            </m:r>
          </m:e>
          <m:sub>
            <m:r>
              <m:rPr>
                <m:sty m:val="p"/>
              </m:rPr>
              <w:rPr>
                <w:rFonts w:ascii="Cambria Math" w:eastAsia="Cambria Math" w:hAnsi="Cambria Math"/>
              </w:rPr>
              <m:t>i</m:t>
            </m:r>
          </m:sub>
        </m:sSub>
      </m:oMath>
      <w:r>
        <w:t xml:space="preserve"> </w:t>
      </w:r>
      <w:r>
        <w:t>可透過邏輯連結函數與目標變數相關因子</w:t>
      </w:r>
      <w:r>
        <w:t xml:space="preserve"> </w:t>
      </w:r>
      <m:oMath>
        <m:sSub>
          <m:sSubPr>
            <m:ctrlPr>
              <w:rPr>
                <w:rFonts w:ascii="Cambria Math" w:hAnsi="Cambria Math"/>
              </w:rPr>
            </m:ctrlPr>
          </m:sSubPr>
          <m:e>
            <m:r>
              <m:rPr>
                <m:sty m:val="p"/>
              </m:rPr>
              <w:rPr>
                <w:rFonts w:ascii="Cambria Math" w:eastAsia="Cambria Math" w:hAnsi="Cambria Math"/>
              </w:rPr>
              <m:t>v</m:t>
            </m:r>
          </m:e>
          <m:sub>
            <m:r>
              <m:rPr>
                <m:sty m:val="p"/>
              </m:rPr>
              <w:rPr>
                <w:rFonts w:ascii="Cambria Math" w:eastAsia="Cambria Math" w:hAnsi="Cambria Math"/>
              </w:rPr>
              <m:t>i</m:t>
            </m:r>
          </m:sub>
        </m:sSub>
      </m:oMath>
      <w:r>
        <w:t xml:space="preserve"> </w:t>
      </w:r>
      <w:r>
        <w:t>建立關係：</w:t>
      </w:r>
    </w:p>
    <w:p w14:paraId="17521F0F" w14:textId="51C6E948" w:rsidR="000732B1" w:rsidRPr="000732B1" w:rsidRDefault="00000000" w:rsidP="000732B1">
      <w:pPr>
        <w:spacing w:before="120"/>
        <w:jc w:val="center"/>
        <w:outlineLvl w:val="0"/>
        <w:rPr>
          <w:rFonts w:cs="Times New Roman"/>
        </w:rPr>
      </w:pPr>
      <m:oMathPara>
        <m:oMath>
          <m:sSub>
            <m:sSubPr>
              <m:ctrlPr>
                <w:rPr>
                  <w:rFonts w:ascii="Cambria Math" w:hAnsi="Cambria Math"/>
                </w:rPr>
              </m:ctrlPr>
            </m:sSubPr>
            <m:e>
              <m:r>
                <w:rPr>
                  <w:rFonts w:ascii="Cambria Math" w:eastAsia="Cambria Math" w:hAnsi="Cambria Math"/>
                </w:rPr>
                <m:t>q</m:t>
              </m:r>
            </m:e>
            <m:sub>
              <m:r>
                <w:rPr>
                  <w:rFonts w:ascii="Cambria Math" w:eastAsia="Cambria Math" w:hAnsi="Cambria Math"/>
                </w:rPr>
                <m:t>ij</m:t>
              </m:r>
            </m:sub>
          </m:sSub>
          <m:r>
            <w:rPr>
              <w:rFonts w:ascii="Cambria Math" w:eastAsia="Cambria Math" w:hAnsi="Cambria Math"/>
            </w:rPr>
            <m:t xml:space="preserve"> = </m:t>
          </m:r>
          <m:f>
            <m:fPr>
              <m:ctrlPr>
                <w:rPr>
                  <w:rFonts w:ascii="Cambria Math" w:hAnsi="Cambria Math"/>
                </w:rPr>
              </m:ctrlPr>
            </m:fPr>
            <m:num>
              <m:sSup>
                <m:sSupPr>
                  <m:ctrlPr>
                    <w:rPr>
                      <w:rFonts w:ascii="Cambria Math" w:eastAsia="Cambria Math" w:hAnsi="Cambria Math"/>
                      <w:i/>
                    </w:rPr>
                  </m:ctrlPr>
                </m:sSupPr>
                <m:e>
                  <m:r>
                    <w:rPr>
                      <w:rFonts w:ascii="Cambria Math" w:eastAsia="Cambria Math" w:hAnsi="Cambria Math"/>
                    </w:rPr>
                    <m:t>e</m:t>
                  </m:r>
                </m:e>
                <m:sup>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ij</m:t>
                      </m:r>
                    </m:sub>
                  </m:sSub>
                </m:sup>
              </m:sSup>
            </m:num>
            <m:den>
              <m:nary>
                <m:naryPr>
                  <m:chr m:val="∑"/>
                  <m:limLoc m:val="subSup"/>
                  <m:ctrlPr>
                    <w:rPr>
                      <w:rFonts w:ascii="Cambria Math" w:hAnsi="Cambria Math"/>
                    </w:rPr>
                  </m:ctrlPr>
                </m:naryPr>
                <m:sub>
                  <m:r>
                    <w:rPr>
                      <w:rFonts w:ascii="Cambria Math" w:eastAsia="Cambria Math" w:hAnsi="Cambria Math"/>
                    </w:rPr>
                    <m:t>l=1</m:t>
                  </m:r>
                </m:sub>
                <m:sup>
                  <m:r>
                    <w:rPr>
                      <w:rFonts w:ascii="Cambria Math" w:eastAsia="Cambria Math" w:hAnsi="Cambria Math"/>
                    </w:rPr>
                    <m:t>p</m:t>
                  </m:r>
                </m:sup>
                <m:e>
                  <m:sSup>
                    <m:sSupPr>
                      <m:ctrlPr>
                        <w:rPr>
                          <w:rFonts w:ascii="Cambria Math" w:eastAsia="Cambria Math" w:hAnsi="Cambria Math"/>
                          <w:i/>
                        </w:rPr>
                      </m:ctrlPr>
                    </m:sSupPr>
                    <m:e>
                      <m:r>
                        <w:rPr>
                          <w:rFonts w:ascii="Cambria Math" w:eastAsia="Cambria Math" w:hAnsi="Cambria Math"/>
                        </w:rPr>
                        <m:t>e</m:t>
                      </m:r>
                    </m:e>
                    <m:sup>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il</m:t>
                          </m:r>
                        </m:sub>
                      </m:sSub>
                    </m:sup>
                  </m:sSup>
                </m:e>
              </m:nary>
            </m:den>
          </m:f>
        </m:oMath>
      </m:oMathPara>
    </w:p>
    <w:p w14:paraId="460CC84E" w14:textId="77777777" w:rsidR="00F739DE" w:rsidRPr="00F739DE" w:rsidRDefault="00F739DE" w:rsidP="00F739DE">
      <w:pPr>
        <w:outlineLvl w:val="0"/>
        <w:rPr>
          <w:rFonts w:cs="Times New Roman"/>
          <w:szCs w:val="28"/>
        </w:rPr>
      </w:pPr>
      <w:r w:rsidRPr="00F739DE">
        <w:rPr>
          <w:rFonts w:cs="Times New Roman"/>
          <w:szCs w:val="28"/>
        </w:rPr>
        <w:t>其中：</w:t>
      </w:r>
    </w:p>
    <w:p w14:paraId="736D3F6F" w14:textId="5366793B" w:rsidR="00F739DE" w:rsidRPr="000732B1" w:rsidRDefault="00000000" w:rsidP="00F739DE">
      <w:pPr>
        <w:spacing w:before="120"/>
        <w:jc w:val="center"/>
        <w:outlineLvl w:val="0"/>
        <w:rPr>
          <w:rFonts w:cs="Times New Roman"/>
          <w:i/>
          <w:szCs w:val="28"/>
        </w:rPr>
      </w:pPr>
      <m:oMathPara>
        <m:oMath>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ij</m:t>
              </m:r>
            </m:sub>
          </m:sSub>
          <m: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α</m:t>
              </m:r>
            </m:e>
            <m:sub>
              <m:r>
                <w:rPr>
                  <w:rFonts w:ascii="Cambria Math" w:eastAsia="Cambria Math" w:hAnsi="Cambria Math"/>
                </w:rPr>
                <m:t>j</m:t>
              </m:r>
            </m:sub>
          </m:sSub>
          <m:r>
            <w:rPr>
              <w:rFonts w:ascii="Cambria Math" w:eastAsia="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eastAsia="Cambria Math" w:hAnsi="Cambria Math"/>
                    </w:rPr>
                    <m:t>v</m:t>
                  </m:r>
                </m:e>
                <m:sub>
                  <m:r>
                    <w:rPr>
                      <w:rFonts w:ascii="Cambria Math" w:eastAsia="Cambria Math" w:hAnsi="Cambria Math"/>
                    </w:rPr>
                    <m:t>i</m:t>
                  </m:r>
                </m:sub>
              </m:sSub>
            </m:e>
            <m:sup>
              <m:r>
                <w:rPr>
                  <w:rFonts w:ascii="Cambria Math" w:eastAsia="Cambria Math" w:hAnsi="Cambria Math"/>
                </w:rPr>
                <m:t>T</m:t>
              </m:r>
            </m:sup>
          </m:sSup>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m:oMathPara>
    </w:p>
    <w:p w14:paraId="41278321" w14:textId="16E9C2CD" w:rsidR="00F739DE" w:rsidRPr="00F739DE" w:rsidRDefault="00F739DE" w:rsidP="00F739DE">
      <w:pPr>
        <w:outlineLvl w:val="0"/>
        <w:rPr>
          <w:rFonts w:cs="Times New Roman"/>
          <w:szCs w:val="28"/>
        </w:rPr>
      </w:pPr>
      <w:r>
        <w:t>在此公式中，</w:t>
      </w:r>
      <m:oMath>
        <m:sSub>
          <m:sSubPr>
            <m:ctrlPr>
              <w:rPr>
                <w:rFonts w:ascii="Cambria Math" w:hAnsi="Cambria Math"/>
              </w:rPr>
            </m:ctrlPr>
          </m:sSubPr>
          <m:e>
            <m:r>
              <w:rPr>
                <w:rFonts w:ascii="Cambria Math" w:eastAsia="Cambria Math" w:hAnsi="Cambria Math"/>
              </w:rPr>
              <m:t>α</m:t>
            </m:r>
          </m:e>
          <m:sub>
            <m:r>
              <w:rPr>
                <w:rFonts w:ascii="Cambria Math" w:eastAsia="Cambria Math" w:hAnsi="Cambria Math"/>
              </w:rPr>
              <m:t>j</m:t>
            </m:r>
          </m:sub>
        </m:sSub>
      </m:oMath>
      <w:r>
        <w:t xml:space="preserve"> </w:t>
      </w:r>
      <w:r>
        <w:t>為詞彙</w:t>
      </w:r>
      <w:r>
        <w:t xml:space="preserve"> </w:t>
      </w:r>
      <m:oMath>
        <m:r>
          <w:rPr>
            <w:rFonts w:ascii="Cambria Math" w:hAnsi="Cambria Math"/>
          </w:rPr>
          <m:t xml:space="preserve">j </m:t>
        </m:r>
      </m:oMath>
      <w:r>
        <w:t>的基礎攔截項，代表該詞彙在整體語料中的基準出現傾向；</w:t>
      </w:r>
      <m:oMath>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w:r>
        <w:t xml:space="preserve"> </w:t>
      </w:r>
      <w:r>
        <w:t>則為詞彙</w:t>
      </w:r>
      <w:r>
        <w:t xml:space="preserve"> </w:t>
      </w:r>
      <m:oMath>
        <m:r>
          <w:rPr>
            <w:rFonts w:ascii="Cambria Math" w:hAnsi="Cambria Math"/>
          </w:rPr>
          <m:t>j</m:t>
        </m:r>
      </m:oMath>
      <w:r>
        <w:t xml:space="preserve"> </w:t>
      </w:r>
      <w:r>
        <w:t>對應於目標變數因子</w:t>
      </w:r>
      <w:r>
        <w:t xml:space="preserve"> </w:t>
      </w:r>
      <m:oMath>
        <m:sSub>
          <m:sSubPr>
            <m:ctrlPr>
              <w:rPr>
                <w:rFonts w:ascii="Cambria Math" w:hAnsi="Cambria Math"/>
              </w:rPr>
            </m:ctrlPr>
          </m:sSubPr>
          <m:e>
            <m:r>
              <w:rPr>
                <w:rFonts w:ascii="Cambria Math" w:eastAsia="Cambria Math" w:hAnsi="Cambria Math"/>
              </w:rPr>
              <m:t>v</m:t>
            </m:r>
          </m:e>
          <m:sub>
            <m:r>
              <w:rPr>
                <w:rFonts w:ascii="Cambria Math" w:eastAsia="Cambria Math" w:hAnsi="Cambria Math"/>
              </w:rPr>
              <m:t>i</m:t>
            </m:r>
          </m:sub>
        </m:sSub>
      </m:oMath>
      <w:r>
        <w:t xml:space="preserve"> </w:t>
      </w:r>
      <w:r>
        <w:t>的負載參數，用以描述該詞彙與裁判結果相關變異之間的關係。若某些詞彙在不同裁判結果類別中的分布差異明顯，其對應的</w:t>
      </w:r>
      <w:r>
        <w:t xml:space="preserve"> </w:t>
      </w:r>
      <m:oMath>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w:r>
        <w:t xml:space="preserve"> </w:t>
      </w:r>
      <w:r>
        <w:t>便可能具有較高的判別意義。</w:t>
      </w:r>
    </w:p>
    <w:p w14:paraId="23DE61EE" w14:textId="77777777" w:rsidR="00F739DE" w:rsidRPr="00F739DE" w:rsidRDefault="00F739DE" w:rsidP="00F739DE">
      <w:pPr>
        <w:outlineLvl w:val="0"/>
        <w:rPr>
          <w:rFonts w:cs="Times New Roman"/>
          <w:szCs w:val="28"/>
        </w:rPr>
      </w:pPr>
      <w:r w:rsidRPr="00F739DE">
        <w:rPr>
          <w:rFonts w:cs="Times New Roman"/>
          <w:szCs w:val="28"/>
        </w:rPr>
        <w:t xml:space="preserve">MNIR </w:t>
      </w:r>
      <w:r w:rsidRPr="00F739DE">
        <w:rPr>
          <w:rFonts w:cs="Times New Roman"/>
          <w:szCs w:val="28"/>
        </w:rPr>
        <w:t>的優勢在於，當多份文件具有相同或相近的目標變數特徵時，可透過合併計數（</w:t>
      </w:r>
      <w:r w:rsidRPr="00F739DE">
        <w:rPr>
          <w:rFonts w:cs="Times New Roman"/>
          <w:szCs w:val="28"/>
        </w:rPr>
        <w:t>pooling tokens</w:t>
      </w:r>
      <w:r w:rsidRPr="00F739DE">
        <w:rPr>
          <w:rFonts w:cs="Times New Roman"/>
          <w:szCs w:val="28"/>
        </w:rPr>
        <w:t>）將資料壓縮為應急表（</w:t>
      </w:r>
      <w:r w:rsidRPr="00F739DE">
        <w:rPr>
          <w:rFonts w:cs="Times New Roman"/>
          <w:szCs w:val="28"/>
        </w:rPr>
        <w:t>contingency tables</w:t>
      </w:r>
      <w:r w:rsidRPr="00F739DE">
        <w:rPr>
          <w:rFonts w:cs="Times New Roman"/>
          <w:szCs w:val="28"/>
        </w:rPr>
        <w:t>）形式進行估計。此一可折疊性（</w:t>
      </w:r>
      <w:r w:rsidRPr="00F739DE">
        <w:rPr>
          <w:rFonts w:cs="Times New Roman"/>
          <w:szCs w:val="28"/>
        </w:rPr>
        <w:t>collapsibility</w:t>
      </w:r>
      <w:r w:rsidRPr="00F739DE">
        <w:rPr>
          <w:rFonts w:cs="Times New Roman"/>
          <w:szCs w:val="28"/>
        </w:rPr>
        <w:t>）可降低高維文本資料的計算負擔，使模型在處理大規模語料時具備較佳效率。對本研究而言，</w:t>
      </w:r>
      <w:r w:rsidRPr="00F739DE">
        <w:rPr>
          <w:rFonts w:cs="Times New Roman"/>
          <w:szCs w:val="28"/>
        </w:rPr>
        <w:t xml:space="preserve">MNIR </w:t>
      </w:r>
      <w:r w:rsidRPr="00F739DE">
        <w:rPr>
          <w:rFonts w:cs="Times New Roman"/>
          <w:szCs w:val="28"/>
        </w:rPr>
        <w:t>的目的即是透過此一逆向建模方式，萃取法律文本中與裁判結果相關的低維表徵。</w:t>
      </w:r>
    </w:p>
    <w:p w14:paraId="19A0F0B3" w14:textId="1DAADFCE" w:rsidR="00084D5A" w:rsidRPr="00F739DE" w:rsidRDefault="00084D5A" w:rsidP="00512832">
      <w:pPr>
        <w:outlineLvl w:val="0"/>
        <w:rPr>
          <w:rFonts w:cs="Times New Roman"/>
          <w:sz w:val="28"/>
          <w:szCs w:val="28"/>
        </w:rPr>
      </w:pPr>
    </w:p>
    <w:p w14:paraId="4E3EB275" w14:textId="04D237A7" w:rsidR="00084D5A" w:rsidRPr="00084D5A" w:rsidRDefault="00853B76" w:rsidP="00512832">
      <w:pPr>
        <w:pStyle w:val="3"/>
        <w:rPr>
          <w:rFonts w:eastAsia="標楷體" w:cs="Times New Roman"/>
          <w:sz w:val="28"/>
          <w:szCs w:val="28"/>
        </w:rPr>
      </w:pPr>
      <w:r w:rsidRPr="00853B76">
        <w:rPr>
          <w:rFonts w:eastAsia="標楷體" w:cs="Times New Roman" w:hint="eastAsia"/>
          <w:szCs w:val="28"/>
        </w:rPr>
        <w:lastRenderedPageBreak/>
        <w:t>3.</w:t>
      </w:r>
      <w:r w:rsidR="00F739DE">
        <w:rPr>
          <w:rFonts w:eastAsia="標楷體" w:cs="Times New Roman" w:hint="eastAsia"/>
          <w:szCs w:val="28"/>
        </w:rPr>
        <w:t>8</w:t>
      </w:r>
      <w:r w:rsidRPr="00853B76">
        <w:rPr>
          <w:rFonts w:eastAsia="標楷體" w:cs="Times New Roman" w:hint="eastAsia"/>
          <w:szCs w:val="28"/>
        </w:rPr>
        <w:t xml:space="preserve">.2 Gamma-Lasso </w:t>
      </w:r>
      <w:r w:rsidRPr="00853B76">
        <w:rPr>
          <w:rFonts w:eastAsia="標楷體" w:cs="Times New Roman" w:hint="eastAsia"/>
          <w:szCs w:val="28"/>
        </w:rPr>
        <w:t>估計法與非凹性懲罰機制</w:t>
      </w:r>
    </w:p>
    <w:p w14:paraId="1191CC6F" w14:textId="77777777" w:rsidR="00F739DE" w:rsidRPr="00F739DE" w:rsidRDefault="00F739DE" w:rsidP="00F739DE">
      <w:pPr>
        <w:outlineLvl w:val="0"/>
        <w:rPr>
          <w:rFonts w:cs="Times New Roman"/>
          <w:szCs w:val="28"/>
        </w:rPr>
      </w:pPr>
      <w:r w:rsidRPr="00F739DE">
        <w:rPr>
          <w:rFonts w:cs="Times New Roman"/>
          <w:szCs w:val="28"/>
        </w:rPr>
        <w:t>面對高維文本資料，</w:t>
      </w:r>
      <w:r w:rsidRPr="00F739DE">
        <w:rPr>
          <w:rFonts w:cs="Times New Roman"/>
          <w:szCs w:val="28"/>
        </w:rPr>
        <w:t xml:space="preserve">MNIR </w:t>
      </w:r>
      <w:r w:rsidRPr="00F739DE">
        <w:rPr>
          <w:rFonts w:cs="Times New Roman"/>
          <w:szCs w:val="28"/>
        </w:rPr>
        <w:t>仍需估計大量詞彙負載參數。若所有詞彙參數皆無限制地進入模型，容易造成估計不穩定與過度擬合。因此，</w:t>
      </w:r>
      <w:r w:rsidRPr="00F739DE">
        <w:rPr>
          <w:rFonts w:cs="Times New Roman"/>
          <w:szCs w:val="28"/>
        </w:rPr>
        <w:t>Taddy</w:t>
      </w:r>
      <w:r w:rsidRPr="00F739DE">
        <w:rPr>
          <w:rFonts w:cs="Times New Roman"/>
          <w:szCs w:val="28"/>
        </w:rPr>
        <w:t>（</w:t>
      </w:r>
      <w:r w:rsidRPr="00F739DE">
        <w:rPr>
          <w:rFonts w:cs="Times New Roman"/>
          <w:szCs w:val="28"/>
        </w:rPr>
        <w:t>2013</w:t>
      </w:r>
      <w:r w:rsidRPr="00F739DE">
        <w:rPr>
          <w:rFonts w:cs="Times New Roman"/>
          <w:szCs w:val="28"/>
        </w:rPr>
        <w:t>）提出</w:t>
      </w:r>
      <w:r w:rsidRPr="00F739DE">
        <w:rPr>
          <w:rFonts w:cs="Times New Roman"/>
          <w:szCs w:val="28"/>
        </w:rPr>
        <w:t xml:space="preserve"> Gamma-Lasso </w:t>
      </w:r>
      <w:r w:rsidRPr="00F739DE">
        <w:rPr>
          <w:rFonts w:cs="Times New Roman"/>
          <w:szCs w:val="28"/>
        </w:rPr>
        <w:t>估計法，用以在高維文字模型中進行有效的正則化與特徵壓縮。</w:t>
      </w:r>
    </w:p>
    <w:p w14:paraId="215C6BF5" w14:textId="77777777" w:rsidR="00F739DE" w:rsidRPr="00F739DE" w:rsidRDefault="00F739DE" w:rsidP="00F739DE">
      <w:pPr>
        <w:outlineLvl w:val="0"/>
        <w:rPr>
          <w:rFonts w:cs="Times New Roman"/>
          <w:szCs w:val="28"/>
        </w:rPr>
      </w:pPr>
      <w:r>
        <w:t xml:space="preserve">Gamma-Lasso </w:t>
      </w:r>
      <w:r>
        <w:t>的核心概念，是為每個詞彙負載參數</w:t>
      </w:r>
      <w:r>
        <w:t xml:space="preserve"> </w:t>
      </w:r>
      <m:oMath>
        <m:sSub>
          <m:sSubPr>
            <m:ctrlPr>
              <w:rPr>
                <w:rFonts w:ascii="Cambria Math" w:hAnsi="Cambria Math"/>
              </w:rPr>
            </m:ctrlPr>
          </m:sSubPr>
          <m:e>
            <m:r>
              <m:rPr>
                <m:sty m:val="p"/>
              </m:rPr>
              <w:rPr>
                <w:rFonts w:ascii="Cambria Math" w:eastAsia="Cambria Math" w:hAnsi="Cambria Math"/>
              </w:rPr>
              <m:t>φ</m:t>
            </m:r>
          </m:e>
          <m:sub>
            <m:r>
              <m:rPr>
                <m:sty m:val="p"/>
              </m:rPr>
              <w:rPr>
                <w:rFonts w:ascii="Cambria Math" w:eastAsia="Cambria Math" w:hAnsi="Cambria Math"/>
              </w:rPr>
              <m:t>j</m:t>
            </m:r>
          </m:sub>
        </m:sSub>
      </m:oMath>
      <w:r>
        <w:t xml:space="preserve"> </w:t>
      </w:r>
      <w:r>
        <w:t>設定獨立的拉普拉斯先驗（</w:t>
      </w:r>
      <w:r>
        <w:t>independent Laplace priors</w:t>
      </w:r>
      <w:r>
        <w:t>），並結合未知的伽瑪超先驗（</w:t>
      </w:r>
      <w:r>
        <w:t>Gamma hyperpriors</w:t>
      </w:r>
      <w:r>
        <w:t>）。此一設定會形成非凹性懲罰（</w:t>
      </w:r>
      <w:r>
        <w:t>nonconcave penalization</w:t>
      </w:r>
      <w:r>
        <w:t>）機制，使模型能在保留重要詞彙訊號的同時，抑制不具預測價值之詞彙。</w:t>
      </w:r>
    </w:p>
    <w:p w14:paraId="71A6613B" w14:textId="77777777" w:rsidR="00F739DE" w:rsidRPr="00F739DE" w:rsidRDefault="00F739DE" w:rsidP="00F739DE">
      <w:pPr>
        <w:outlineLvl w:val="0"/>
        <w:rPr>
          <w:rFonts w:cs="Times New Roman"/>
          <w:szCs w:val="28"/>
        </w:rPr>
      </w:pPr>
      <w:r w:rsidRPr="00F739DE">
        <w:rPr>
          <w:rFonts w:cs="Times New Roman"/>
          <w:szCs w:val="28"/>
        </w:rPr>
        <w:t>此機制具有三項意義。第一，</w:t>
      </w:r>
      <w:r w:rsidRPr="00F739DE">
        <w:rPr>
          <w:rFonts w:cs="Times New Roman"/>
          <w:szCs w:val="28"/>
        </w:rPr>
        <w:t xml:space="preserve">Gamma-Lasso </w:t>
      </w:r>
      <w:r w:rsidRPr="00F739DE">
        <w:rPr>
          <w:rFonts w:cs="Times New Roman"/>
          <w:szCs w:val="28"/>
        </w:rPr>
        <w:t>相較於標準</w:t>
      </w:r>
      <w:r w:rsidRPr="00F739DE">
        <w:rPr>
          <w:rFonts w:cs="Times New Roman"/>
          <w:szCs w:val="28"/>
        </w:rPr>
        <w:t xml:space="preserve"> Lasso </w:t>
      </w:r>
      <w:r w:rsidRPr="00F739DE">
        <w:rPr>
          <w:rFonts w:cs="Times New Roman"/>
          <w:szCs w:val="28"/>
        </w:rPr>
        <w:t>較能降低大係數偏誤。標準</w:t>
      </w:r>
      <w:r w:rsidRPr="00F739DE">
        <w:rPr>
          <w:rFonts w:cs="Times New Roman"/>
          <w:szCs w:val="28"/>
        </w:rPr>
        <w:t xml:space="preserve"> Lasso </w:t>
      </w:r>
      <w:r w:rsidRPr="00F739DE">
        <w:rPr>
          <w:rFonts w:cs="Times New Roman"/>
          <w:szCs w:val="28"/>
        </w:rPr>
        <w:t>會對所有係數進行一致性的向零縮減，可能使真正重要的詞彙訊號被過度壓縮；</w:t>
      </w:r>
      <w:r w:rsidRPr="00F739DE">
        <w:rPr>
          <w:rFonts w:cs="Times New Roman"/>
          <w:szCs w:val="28"/>
        </w:rPr>
        <w:t xml:space="preserve">Gamma-Lasso </w:t>
      </w:r>
      <w:r w:rsidRPr="00F739DE">
        <w:rPr>
          <w:rFonts w:cs="Times New Roman"/>
          <w:szCs w:val="28"/>
        </w:rPr>
        <w:t>則在強訊號詞彙上具有較低偏誤，有助於保留與裁判結果高度相關的詞彙負載。第二，</w:t>
      </w:r>
      <w:r w:rsidRPr="00F739DE">
        <w:rPr>
          <w:rFonts w:cs="Times New Roman"/>
          <w:szCs w:val="28"/>
        </w:rPr>
        <w:t xml:space="preserve">Gamma-Lasso </w:t>
      </w:r>
      <w:r w:rsidRPr="00F739DE">
        <w:rPr>
          <w:rFonts w:cs="Times New Roman"/>
          <w:szCs w:val="28"/>
        </w:rPr>
        <w:t>具備計算可擴展性，可透過座標下降法（</w:t>
      </w:r>
      <w:r w:rsidRPr="00F739DE">
        <w:rPr>
          <w:rFonts w:cs="Times New Roman"/>
          <w:szCs w:val="28"/>
        </w:rPr>
        <w:t>coordinate descent</w:t>
      </w:r>
      <w:r w:rsidRPr="00F739DE">
        <w:rPr>
          <w:rFonts w:cs="Times New Roman"/>
          <w:szCs w:val="28"/>
        </w:rPr>
        <w:t>）進行參數估計，降低在大規模文本資料中進行模型訓練的計算成本。第三，</w:t>
      </w:r>
      <w:r w:rsidRPr="00F739DE">
        <w:rPr>
          <w:rFonts w:cs="Times New Roman"/>
          <w:szCs w:val="28"/>
        </w:rPr>
        <w:t xml:space="preserve">Gamma-Lasso </w:t>
      </w:r>
      <w:r w:rsidRPr="00F739DE">
        <w:rPr>
          <w:rFonts w:cs="Times New Roman"/>
          <w:szCs w:val="28"/>
        </w:rPr>
        <w:t>具有稀疏誘導能力，可將無明顯預測價值的詞彙負載壓縮至接近零，進而提升模型的穩定性與可解釋性。</w:t>
      </w:r>
    </w:p>
    <w:p w14:paraId="476CF66F" w14:textId="50FAB3DE" w:rsidR="00084D5A" w:rsidRPr="00F739DE" w:rsidRDefault="00F739DE" w:rsidP="00F739DE">
      <w:pPr>
        <w:outlineLvl w:val="0"/>
        <w:rPr>
          <w:rFonts w:cs="Times New Roman"/>
          <w:szCs w:val="28"/>
        </w:rPr>
      </w:pPr>
      <w:r w:rsidRPr="00F739DE">
        <w:rPr>
          <w:rFonts w:cs="Times New Roman"/>
          <w:szCs w:val="28"/>
        </w:rPr>
        <w:t>對本研究而言，</w:t>
      </w:r>
      <w:r w:rsidRPr="00F739DE">
        <w:rPr>
          <w:rFonts w:cs="Times New Roman"/>
          <w:szCs w:val="28"/>
        </w:rPr>
        <w:t xml:space="preserve">Gamma-Lasso </w:t>
      </w:r>
      <w:r w:rsidRPr="00F739DE">
        <w:rPr>
          <w:rFonts w:cs="Times New Roman"/>
          <w:szCs w:val="28"/>
        </w:rPr>
        <w:t>的價值在於協助</w:t>
      </w:r>
      <w:r w:rsidRPr="00F739DE">
        <w:rPr>
          <w:rFonts w:cs="Times New Roman"/>
          <w:szCs w:val="28"/>
        </w:rPr>
        <w:t xml:space="preserve"> MNIR </w:t>
      </w:r>
      <w:r w:rsidRPr="00F739DE">
        <w:rPr>
          <w:rFonts w:cs="Times New Roman"/>
          <w:szCs w:val="28"/>
        </w:rPr>
        <w:t>從大量法律詞彙中萃取與裁判結果較相關的訊號，並降低無關詞彙對後續分類模型造成的干擾。</w:t>
      </w:r>
    </w:p>
    <w:p w14:paraId="3A36DB4A" w14:textId="15C34159"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Pr="001439BE">
        <w:rPr>
          <w:rFonts w:eastAsia="標楷體" w:cs="Times New Roman" w:hint="eastAsia"/>
          <w:szCs w:val="28"/>
        </w:rPr>
        <w:t>充分縮減分數之統計論證</w:t>
      </w:r>
    </w:p>
    <w:p w14:paraId="7D24A167" w14:textId="77777777" w:rsidR="000732B1" w:rsidRPr="000732B1" w:rsidRDefault="000732B1" w:rsidP="000732B1">
      <w:pPr>
        <w:outlineLvl w:val="0"/>
        <w:rPr>
          <w:rFonts w:cs="Times New Roman"/>
          <w:szCs w:val="28"/>
        </w:rPr>
      </w:pPr>
      <w:r w:rsidRPr="000732B1">
        <w:rPr>
          <w:rFonts w:cs="Times New Roman"/>
          <w:szCs w:val="28"/>
        </w:rPr>
        <w:t>在完成</w:t>
      </w:r>
      <w:r w:rsidRPr="000732B1">
        <w:rPr>
          <w:rFonts w:cs="Times New Roman"/>
          <w:szCs w:val="28"/>
        </w:rPr>
        <w:t xml:space="preserve"> MNIR </w:t>
      </w:r>
      <w:r w:rsidRPr="000732B1">
        <w:rPr>
          <w:rFonts w:cs="Times New Roman"/>
          <w:szCs w:val="28"/>
        </w:rPr>
        <w:t>參數估計後，模型會將每份文件轉換為充分縮減分數（</w:t>
      </w:r>
      <w:r w:rsidRPr="000732B1">
        <w:rPr>
          <w:rFonts w:cs="Times New Roman"/>
          <w:szCs w:val="28"/>
        </w:rPr>
        <w:t>Sufficient Reduction Scores, SR Scores</w:t>
      </w:r>
      <w:r w:rsidRPr="000732B1">
        <w:rPr>
          <w:rFonts w:cs="Times New Roman"/>
          <w:szCs w:val="28"/>
        </w:rPr>
        <w:t>）。此分數可視為原始高維文本向量的低維監督式表徵。其目的並非保留文本中的所有資訊，而是保留與目標變數，也就是本文之裁判結果分類，具有關聯的文字訊號。</w:t>
      </w:r>
    </w:p>
    <w:p w14:paraId="47F43E62" w14:textId="03FC2505" w:rsidR="00F739DE" w:rsidRPr="000732B1" w:rsidRDefault="000732B1" w:rsidP="000732B1">
      <w:pPr>
        <w:outlineLvl w:val="0"/>
        <w:rPr>
          <w:rFonts w:cs="Times New Roman"/>
          <w:szCs w:val="28"/>
        </w:rPr>
      </w:pPr>
      <w:r w:rsidRPr="000732B1">
        <w:rPr>
          <w:rFonts w:cs="Times New Roman"/>
          <w:szCs w:val="28"/>
        </w:rPr>
        <w:t>其基本計算方式可表示為：</w:t>
      </w:r>
    </w:p>
    <w:p w14:paraId="000A0A80" w14:textId="62F30D7C" w:rsidR="00F739DE" w:rsidRPr="00F739DE" w:rsidRDefault="00000000" w:rsidP="00F739DE">
      <w:pPr>
        <w:spacing w:before="120"/>
        <w:jc w:val="center"/>
        <w:outlineLvl w:val="0"/>
        <w:rPr>
          <w:rFonts w:cs="Times New Roman"/>
          <w:szCs w:val="28"/>
        </w:rPr>
      </w:pPr>
      <m:oMathPara>
        <m:oMath>
          <m:sSub>
            <m:sSubPr>
              <m:ctrlPr>
                <w:rPr>
                  <w:rFonts w:ascii="Cambria Math" w:hAnsi="Cambria Math"/>
                </w:rPr>
              </m:ctrlPr>
            </m:sSubPr>
            <m:e>
              <m:r>
                <w:rPr>
                  <w:rFonts w:ascii="Cambria Math" w:eastAsia="Cambria Math" w:hAnsi="Cambria Math"/>
                </w:rPr>
                <m:t>z</m:t>
              </m:r>
            </m:e>
            <m:sub>
              <m:r>
                <w:rPr>
                  <w:rFonts w:ascii="Cambria Math" w:eastAsia="Cambria Math" w:hAnsi="Cambria Math"/>
                </w:rPr>
                <m:t>i</m:t>
              </m:r>
            </m:sub>
          </m:sSub>
          <m:r>
            <w:rPr>
              <w:rFonts w:ascii="Cambria Math" w:eastAsia="Cambria Math" w:hAnsi="Cambria Math"/>
            </w:rPr>
            <m:t xml:space="preserve"> = </m:t>
          </m:r>
          <m:sSup>
            <m:sSupPr>
              <m:ctrlPr>
                <w:rPr>
                  <w:rFonts w:ascii="Cambria Math" w:hAnsi="Cambria Math"/>
                </w:rPr>
              </m:ctrlPr>
            </m:sSupPr>
            <m:e>
              <m:r>
                <w:rPr>
                  <w:rFonts w:ascii="Cambria Math" w:eastAsia="Cambria Math" w:hAnsi="Cambria Math"/>
                </w:rPr>
                <m:t>φ</m:t>
              </m:r>
            </m:e>
            <m:sup>
              <m:r>
                <w:rPr>
                  <w:rFonts w:ascii="Cambria Math" w:eastAsia="Cambria Math" w:hAnsi="Cambria Math"/>
                </w:rPr>
                <m:t>T</m:t>
              </m:r>
            </m:sup>
          </m:sSup>
          <m:sSub>
            <m:sSubPr>
              <m:ctrlPr>
                <w:rPr>
                  <w:rFonts w:ascii="Cambria Math" w:hAnsi="Cambria Math"/>
                </w:rPr>
              </m:ctrlPr>
            </m:sSubPr>
            <m:e>
              <m:r>
                <w:rPr>
                  <w:rFonts w:ascii="Cambria Math" w:eastAsia="Cambria Math" w:hAnsi="Cambria Math"/>
                </w:rPr>
                <m:t>f</m:t>
              </m:r>
            </m:e>
            <m:sub>
              <m:r>
                <w:rPr>
                  <w:rFonts w:ascii="Cambria Math" w:eastAsia="Cambria Math" w:hAnsi="Cambria Math"/>
                </w:rPr>
                <m:t>i</m:t>
              </m:r>
            </m:sub>
          </m:sSub>
        </m:oMath>
      </m:oMathPara>
    </w:p>
    <w:p w14:paraId="43275DE3" w14:textId="77777777" w:rsidR="000732B1" w:rsidRDefault="00F739DE" w:rsidP="00F739DE">
      <w:pPr>
        <w:outlineLvl w:val="0"/>
      </w:pPr>
      <w:r>
        <w:lastRenderedPageBreak/>
        <w:t>其中，</w:t>
      </w:r>
    </w:p>
    <w:p w14:paraId="2718C004" w14:textId="0A0C6C13" w:rsidR="000732B1" w:rsidRPr="000732B1" w:rsidRDefault="00000000" w:rsidP="000732B1">
      <w:pPr>
        <w:outlineLvl w:val="0"/>
        <w:rPr>
          <w:i/>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m</m:t>
                  </m:r>
                </m:e>
                <m:sub>
                  <m:r>
                    <w:rPr>
                      <w:rFonts w:ascii="Cambria Math" w:hAnsi="Cambria Math"/>
                    </w:rPr>
                    <m:t>i</m:t>
                  </m:r>
                </m:sub>
              </m:sSub>
            </m:den>
          </m:f>
        </m:oMath>
      </m:oMathPara>
    </w:p>
    <w:p w14:paraId="3C5B5927" w14:textId="44685B2D" w:rsidR="000732B1" w:rsidRPr="000732B1" w:rsidRDefault="000732B1" w:rsidP="000732B1">
      <w:pPr>
        <w:outlineLvl w:val="0"/>
      </w:pPr>
      <w:r w:rsidRPr="000732B1">
        <w:t>在上式中，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732B1">
        <w:t xml:space="preserve"> </w:t>
      </w:r>
      <w:r w:rsidRPr="000732B1">
        <w:t>為文件</w:t>
      </w:r>
      <w:r w:rsidRPr="000732B1">
        <w:t xml:space="preserve"> </w:t>
      </w:r>
      <m:oMath>
        <m:r>
          <w:rPr>
            <w:rFonts w:ascii="Cambria Math" w:hAnsi="Cambria Math"/>
          </w:rPr>
          <m:t>i</m:t>
        </m:r>
      </m:oMath>
      <w:r w:rsidRPr="000732B1">
        <w:t>的詞頻計數向量，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0732B1">
        <w:t xml:space="preserve"> </w:t>
      </w:r>
      <w:r w:rsidRPr="000732B1">
        <w:t>為文件</w:t>
      </w:r>
      <w:r w:rsidRPr="000732B1">
        <w:t xml:space="preserve"> </w:t>
      </w:r>
      <m:oMath>
        <m:r>
          <w:rPr>
            <w:rFonts w:ascii="Cambria Math" w:hAnsi="Cambria Math"/>
          </w:rPr>
          <m:t>i</m:t>
        </m:r>
      </m:oMath>
      <w:r>
        <w:rPr>
          <w:rFonts w:hint="eastAsia"/>
        </w:rPr>
        <w:t xml:space="preserve"> </w:t>
      </w:r>
      <w:r w:rsidRPr="000732B1">
        <w:t>的總詞數，因此</w:t>
      </w:r>
      <w:r w:rsidRPr="000732B1">
        <w:t xml:space="preserve"> </w:t>
      </w:r>
      <m:oMath>
        <m:sSub>
          <m:sSubPr>
            <m:ctrlPr>
              <w:rPr>
                <w:rFonts w:ascii="Cambria Math" w:hAnsi="Cambria Math"/>
              </w:rPr>
            </m:ctrlPr>
          </m:sSubPr>
          <m:e>
            <m:r>
              <w:rPr>
                <w:rFonts w:ascii="Cambria Math" w:hAnsi="Cambria Math"/>
              </w:rPr>
              <m:t>f</m:t>
            </m:r>
          </m:e>
          <m:sub>
            <m:r>
              <w:rPr>
                <w:rFonts w:ascii="Cambria Math" w:hAnsi="Cambria Math"/>
              </w:rPr>
              <m:t>i</m:t>
            </m:r>
          </m:sub>
        </m:sSub>
      </m:oMath>
      <w:r>
        <w:rPr>
          <w:rFonts w:hint="eastAsia"/>
        </w:rPr>
        <w:t xml:space="preserve"> </w:t>
      </w:r>
      <w:r w:rsidRPr="000732B1">
        <w:t>代表文件</w:t>
      </w:r>
      <w:r w:rsidRPr="000732B1">
        <w:t xml:space="preserve"> </w:t>
      </w:r>
      <m:oMath>
        <m:r>
          <w:rPr>
            <w:rFonts w:ascii="Cambria Math" w:hAnsi="Cambria Math"/>
          </w:rPr>
          <m:t>i</m:t>
        </m:r>
      </m:oMath>
      <w:r>
        <w:rPr>
          <w:rFonts w:hint="eastAsia"/>
        </w:rPr>
        <w:t xml:space="preserve"> </w:t>
      </w:r>
      <w:r w:rsidRPr="000732B1">
        <w:t>的詞彙頻率向量；</w:t>
      </w:r>
      <m:oMath>
        <m:r>
          <w:rPr>
            <w:rFonts w:ascii="Cambria Math" w:eastAsia="Cambria Math" w:hAnsi="Cambria Math"/>
          </w:rPr>
          <m:t>φ</m:t>
        </m:r>
      </m:oMath>
      <w:r w:rsidRPr="000732B1">
        <w:t xml:space="preserve"> </w:t>
      </w:r>
      <w:r w:rsidRPr="000732B1">
        <w:t>為</w:t>
      </w:r>
      <w:r w:rsidRPr="000732B1">
        <w:t xml:space="preserve"> MNIR </w:t>
      </w:r>
      <w:r w:rsidRPr="000732B1">
        <w:t>估計得到的詞彙負載矩陣；</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732B1">
        <w:t xml:space="preserve"> </w:t>
      </w:r>
      <w:r w:rsidRPr="000732B1">
        <w:t>則為文件</w:t>
      </w:r>
      <w:r w:rsidRPr="000732B1">
        <w:t xml:space="preserve"> </w:t>
      </w:r>
      <m:oMath>
        <m:r>
          <w:rPr>
            <w:rFonts w:ascii="Cambria Math" w:hAnsi="Cambria Math"/>
          </w:rPr>
          <m:t>i</m:t>
        </m:r>
      </m:oMath>
      <w:r>
        <w:rPr>
          <w:rFonts w:hint="eastAsia"/>
        </w:rPr>
        <w:t xml:space="preserve"> </w:t>
      </w:r>
      <w:r w:rsidRPr="000732B1">
        <w:t>對應的充分縮減分數。</w:t>
      </w:r>
    </w:p>
    <w:p w14:paraId="1777F687" w14:textId="6D7126DE" w:rsidR="000732B1" w:rsidRPr="000732B1" w:rsidRDefault="000732B1" w:rsidP="000732B1">
      <w:pPr>
        <w:outlineLvl w:val="0"/>
      </w:pPr>
      <w:r w:rsidRPr="000732B1">
        <w:t xml:space="preserve">MNIR </w:t>
      </w:r>
      <w:r w:rsidRPr="000732B1">
        <w:t>的關鍵統計意義在於，在模型假設成立下，</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732B1">
        <w:t xml:space="preserve"> </w:t>
      </w:r>
      <w:r w:rsidRPr="000732B1">
        <w:t>可作為原始高維文本</w:t>
      </w:r>
      <w:r w:rsidRPr="000732B1">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sidRPr="000732B1">
        <w:t>對目標變數</w:t>
      </w:r>
      <w:r w:rsidRPr="000732B1">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0732B1">
        <w:t>的充分縮減。換言之，給定</w:t>
      </w:r>
      <w:r w:rsidRPr="000732B1">
        <w:t xml:space="preserve"> </w:t>
      </w:r>
      <m:oMath>
        <m:sSub>
          <m:sSubPr>
            <m:ctrlPr>
              <w:rPr>
                <w:rFonts w:ascii="Cambria Math" w:hAnsi="Cambria Math"/>
              </w:rPr>
            </m:ctrlPr>
          </m:sSubPr>
          <m:e>
            <m:r>
              <w:rPr>
                <w:rFonts w:ascii="Cambria Math" w:hAnsi="Cambria Math"/>
              </w:rPr>
              <m:t>z</m:t>
            </m:r>
          </m:e>
          <m:sub>
            <m:r>
              <w:rPr>
                <w:rFonts w:ascii="Cambria Math" w:hAnsi="Cambria Math"/>
              </w:rPr>
              <m:t>i</m:t>
            </m:r>
          </m:sub>
        </m:sSub>
      </m:oMath>
      <w:r>
        <w:rPr>
          <w:rFonts w:hint="eastAsia"/>
        </w:rPr>
        <w:t xml:space="preserve"> </w:t>
      </w:r>
      <w:r w:rsidRPr="000732B1">
        <w:t>後，原始高維文本</w:t>
      </w:r>
      <w:r w:rsidRPr="000732B1">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732B1">
        <w:t>不再對</w:t>
      </w:r>
      <w:r w:rsidRPr="000732B1">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0732B1">
        <w:t>提供額外預測資訊，可表示為：</w:t>
      </w:r>
    </w:p>
    <w:p w14:paraId="0B619FDF" w14:textId="674C4409" w:rsidR="00AA522B" w:rsidRPr="00AA522B" w:rsidRDefault="00000000" w:rsidP="00AA522B">
      <w:pPr>
        <w:outlineLvl w:val="0"/>
        <w:rPr>
          <w:rFonts w:hint="eastAsia"/>
          <w:szCs w:val="28"/>
        </w:rPr>
      </w:pPr>
      <m:oMathPara>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z</m:t>
              </m:r>
            </m:e>
            <m:sub>
              <m:r>
                <w:rPr>
                  <w:rFonts w:ascii="Cambria Math" w:hAnsi="Cambria Math" w:cs="Times New Roman"/>
                  <w:szCs w:val="28"/>
                </w:rPr>
                <m:t>i</m:t>
              </m:r>
            </m:sub>
          </m:sSub>
        </m:oMath>
      </m:oMathPara>
    </w:p>
    <w:p w14:paraId="56878EC0" w14:textId="1BAFE7D2" w:rsidR="000732B1" w:rsidRPr="000732B1" w:rsidRDefault="000732B1" w:rsidP="000732B1">
      <w:pPr>
        <w:outlineLvl w:val="0"/>
        <w:rPr>
          <w:szCs w:val="28"/>
        </w:rPr>
      </w:pPr>
      <w:r w:rsidRPr="000732B1">
        <w:rPr>
          <w:szCs w:val="28"/>
        </w:rPr>
        <w:t>此一條件獨立關係表示，</w:t>
      </w:r>
      <m:oMath>
        <m:sSub>
          <m:sSubPr>
            <m:ctrlPr>
              <w:rPr>
                <w:rFonts w:ascii="Cambria Math" w:hAnsi="Cambria Math"/>
                <w:szCs w:val="28"/>
              </w:rPr>
            </m:ctrlPr>
          </m:sSubPr>
          <m:e>
            <m:r>
              <w:rPr>
                <w:rFonts w:ascii="Cambria Math" w:hAnsi="Cambria Math"/>
                <w:szCs w:val="28"/>
              </w:rPr>
              <m:t>z</m:t>
            </m:r>
          </m:e>
          <m:sub>
            <m:r>
              <w:rPr>
                <w:rFonts w:ascii="Cambria Math" w:hAnsi="Cambria Math"/>
                <w:szCs w:val="28"/>
              </w:rPr>
              <m:t>i</m:t>
            </m:r>
          </m:sub>
        </m:sSub>
      </m:oMath>
      <w:r w:rsidRPr="000732B1">
        <w:rPr>
          <w:szCs w:val="28"/>
        </w:rPr>
        <w:t xml:space="preserve"> </w:t>
      </w:r>
      <w:r w:rsidRPr="000732B1">
        <w:rPr>
          <w:szCs w:val="28"/>
        </w:rPr>
        <w:t>已濃縮原始文本中與裁判結果相關的主要資訊。因此，後續分類模型不必直接處理數千至數萬維的原始詞彙矩陣，而可使用低維的</w:t>
      </w:r>
      <w:r w:rsidRPr="000732B1">
        <w:rPr>
          <w:szCs w:val="28"/>
        </w:rPr>
        <w:t xml:space="preserve"> </w:t>
      </w:r>
      <m:oMath>
        <m:sSub>
          <m:sSubPr>
            <m:ctrlPr>
              <w:rPr>
                <w:rFonts w:ascii="Cambria Math" w:hAnsi="Cambria Math"/>
                <w:szCs w:val="28"/>
              </w:rPr>
            </m:ctrlPr>
          </m:sSubPr>
          <m:e>
            <m:r>
              <w:rPr>
                <w:rFonts w:ascii="Cambria Math" w:hAnsi="Cambria Math"/>
                <w:szCs w:val="28"/>
              </w:rPr>
              <m:t>z</m:t>
            </m:r>
          </m:e>
          <m:sub>
            <m:r>
              <w:rPr>
                <w:rFonts w:ascii="Cambria Math" w:hAnsi="Cambria Math"/>
                <w:szCs w:val="28"/>
              </w:rPr>
              <m:t>i</m:t>
            </m:r>
          </m:sub>
        </m:sSub>
      </m:oMath>
      <w:r>
        <w:rPr>
          <w:rFonts w:hint="eastAsia"/>
          <w:szCs w:val="28"/>
        </w:rPr>
        <w:t xml:space="preserve"> </w:t>
      </w:r>
      <w:r w:rsidRPr="000732B1">
        <w:rPr>
          <w:szCs w:val="28"/>
        </w:rPr>
        <w:t>作為模型輸入。這也是</w:t>
      </w:r>
      <w:r w:rsidRPr="000732B1">
        <w:rPr>
          <w:szCs w:val="28"/>
        </w:rPr>
        <w:t xml:space="preserve"> MNIR </w:t>
      </w:r>
      <w:r w:rsidRPr="000732B1">
        <w:rPr>
          <w:szCs w:val="28"/>
        </w:rPr>
        <w:t>有別於一般無監督降維方法之處：</w:t>
      </w:r>
      <w:r w:rsidRPr="000732B1">
        <w:rPr>
          <w:szCs w:val="28"/>
        </w:rPr>
        <w:t xml:space="preserve">MNIR </w:t>
      </w:r>
      <w:r w:rsidRPr="000732B1">
        <w:rPr>
          <w:szCs w:val="28"/>
        </w:rPr>
        <w:t>並非單純壓縮文本，而是利用裁判結果標籤資訊，保留與分類目標相關的文本變異。</w:t>
      </w:r>
    </w:p>
    <w:p w14:paraId="59371084" w14:textId="13AAD4BC" w:rsidR="000732B1" w:rsidRPr="000732B1" w:rsidRDefault="000732B1" w:rsidP="000732B1">
      <w:pPr>
        <w:outlineLvl w:val="0"/>
        <w:rPr>
          <w:szCs w:val="28"/>
        </w:rPr>
      </w:pPr>
      <w:r w:rsidRPr="000732B1">
        <w:rPr>
          <w:szCs w:val="28"/>
        </w:rPr>
        <w:t>不過，本文對此結果採取保守解讀。上述充分縮減性質是在</w:t>
      </w:r>
      <w:r w:rsidRPr="000732B1">
        <w:rPr>
          <w:szCs w:val="28"/>
        </w:rPr>
        <w:t xml:space="preserve"> MNIR </w:t>
      </w:r>
      <w:r w:rsidRPr="000732B1">
        <w:rPr>
          <w:szCs w:val="28"/>
        </w:rPr>
        <w:t>模型假設成立下的理論結果；在實際資料中，</w:t>
      </w:r>
      <w:r w:rsidRPr="000732B1">
        <w:rPr>
          <w:szCs w:val="28"/>
        </w:rPr>
        <w:t xml:space="preserve">MNIR </w:t>
      </w:r>
      <w:r w:rsidRPr="000732B1">
        <w:rPr>
          <w:szCs w:val="28"/>
        </w:rPr>
        <w:t>轉換後的低維特徵是否能提升分類表現，仍須透過與</w:t>
      </w:r>
      <w:r w:rsidRPr="000732B1">
        <w:rPr>
          <w:szCs w:val="28"/>
        </w:rPr>
        <w:t xml:space="preserve"> Direct SVM </w:t>
      </w:r>
      <w:r w:rsidRPr="000732B1">
        <w:rPr>
          <w:szCs w:val="28"/>
        </w:rPr>
        <w:t>對照流程之實證比較加以檢驗。</w:t>
      </w:r>
    </w:p>
    <w:p w14:paraId="3AE4B17C" w14:textId="1828A837"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F739DE" w:rsidRPr="00F739DE">
        <w:rPr>
          <w:rFonts w:eastAsia="標楷體" w:cs="Times New Roman"/>
          <w:szCs w:val="28"/>
        </w:rPr>
        <w:t xml:space="preserve">Chi-square + MNIR + SVM </w:t>
      </w:r>
      <w:r w:rsidR="00F739DE" w:rsidRPr="00F739DE">
        <w:rPr>
          <w:rFonts w:eastAsia="標楷體" w:cs="Times New Roman"/>
          <w:szCs w:val="28"/>
        </w:rPr>
        <w:t>流程</w:t>
      </w:r>
    </w:p>
    <w:p w14:paraId="5E3EE1F5" w14:textId="77777777" w:rsidR="00F739DE" w:rsidRPr="00F739DE" w:rsidRDefault="00F739DE" w:rsidP="00F739DE">
      <w:pPr>
        <w:outlineLvl w:val="0"/>
        <w:rPr>
          <w:rFonts w:cs="Times New Roman"/>
          <w:szCs w:val="28"/>
        </w:rPr>
      </w:pPr>
      <w:r w:rsidRPr="00F739DE">
        <w:rPr>
          <w:rFonts w:cs="Times New Roman"/>
          <w:szCs w:val="28"/>
        </w:rPr>
        <w:t>第一條模型流程為</w:t>
      </w:r>
      <w:r w:rsidRPr="00F739DE">
        <w:rPr>
          <w:rFonts w:cs="Times New Roman"/>
          <w:szCs w:val="28"/>
        </w:rPr>
        <w:t xml:space="preserve"> Chi-square + MNIR + SVM</w:t>
      </w:r>
      <w:r w:rsidRPr="00F739DE">
        <w:rPr>
          <w:rFonts w:cs="Times New Roman"/>
          <w:szCs w:val="28"/>
        </w:rPr>
        <w:t>。此流程首先對</w:t>
      </w:r>
      <w:r w:rsidRPr="00F739DE">
        <w:rPr>
          <w:rFonts w:cs="Times New Roman"/>
          <w:szCs w:val="28"/>
        </w:rPr>
        <w:t xml:space="preserve"> </w:t>
      </w:r>
      <w:proofErr w:type="spellStart"/>
      <w:r w:rsidRPr="00F739DE">
        <w:rPr>
          <w:rFonts w:cs="Times New Roman"/>
          <w:szCs w:val="28"/>
        </w:rPr>
        <w:t>BoW</w:t>
      </w:r>
      <w:proofErr w:type="spellEnd"/>
      <w:r w:rsidRPr="00F739DE">
        <w:rPr>
          <w:rFonts w:cs="Times New Roman"/>
          <w:szCs w:val="28"/>
        </w:rPr>
        <w:t>、</w:t>
      </w:r>
      <w:r w:rsidRPr="00F739DE">
        <w:rPr>
          <w:rFonts w:cs="Times New Roman"/>
          <w:szCs w:val="28"/>
        </w:rPr>
        <w:t xml:space="preserve">TF </w:t>
      </w:r>
      <w:r w:rsidRPr="00F739DE">
        <w:rPr>
          <w:rFonts w:cs="Times New Roman"/>
          <w:szCs w:val="28"/>
        </w:rPr>
        <w:t>或</w:t>
      </w:r>
      <w:r w:rsidRPr="00F739DE">
        <w:rPr>
          <w:rFonts w:cs="Times New Roman"/>
          <w:szCs w:val="28"/>
        </w:rPr>
        <w:t xml:space="preserve"> TF-IDF </w:t>
      </w:r>
      <w:r w:rsidRPr="00F739DE">
        <w:rPr>
          <w:rFonts w:cs="Times New Roman"/>
          <w:szCs w:val="28"/>
        </w:rPr>
        <w:t>文字特徵矩陣進行卡方特徵選擇，保留與裁判結果較具統計關聯之詞彙特徵。接著，本研究以訓練集之文字特徵矩陣與裁判結果標籤訓練</w:t>
      </w:r>
      <w:r w:rsidRPr="00F739DE">
        <w:rPr>
          <w:rFonts w:cs="Times New Roman"/>
          <w:szCs w:val="28"/>
        </w:rPr>
        <w:t xml:space="preserve"> MNIR </w:t>
      </w:r>
      <w:r w:rsidRPr="00F739DE">
        <w:rPr>
          <w:rFonts w:cs="Times New Roman"/>
          <w:szCs w:val="28"/>
        </w:rPr>
        <w:t>模型，並取得訓練資料之</w:t>
      </w:r>
      <w:r w:rsidRPr="00F739DE">
        <w:rPr>
          <w:rFonts w:cs="Times New Roman"/>
          <w:szCs w:val="28"/>
        </w:rPr>
        <w:t xml:space="preserve"> MNIR </w:t>
      </w:r>
      <w:r w:rsidRPr="00F739DE">
        <w:rPr>
          <w:rFonts w:cs="Times New Roman"/>
          <w:szCs w:val="28"/>
        </w:rPr>
        <w:t>低維特徵。</w:t>
      </w:r>
      <w:r w:rsidRPr="00F739DE">
        <w:rPr>
          <w:rFonts w:cs="Times New Roman"/>
          <w:szCs w:val="28"/>
        </w:rPr>
        <w:t xml:space="preserve">MNIR </w:t>
      </w:r>
      <w:r w:rsidRPr="00F739DE">
        <w:rPr>
          <w:rFonts w:cs="Times New Roman"/>
          <w:szCs w:val="28"/>
        </w:rPr>
        <w:t>模型訓練完成後，本研究固定該模型，將驗證集與測試集分別轉換為相同空間下的</w:t>
      </w:r>
      <w:r w:rsidRPr="00F739DE">
        <w:rPr>
          <w:rFonts w:cs="Times New Roman"/>
          <w:szCs w:val="28"/>
        </w:rPr>
        <w:t xml:space="preserve"> MNIR </w:t>
      </w:r>
      <w:r w:rsidRPr="00F739DE">
        <w:rPr>
          <w:rFonts w:cs="Times New Roman"/>
          <w:szCs w:val="28"/>
        </w:rPr>
        <w:t>特徵。</w:t>
      </w:r>
    </w:p>
    <w:p w14:paraId="2D6F5C4E" w14:textId="77777777" w:rsidR="00F739DE" w:rsidRPr="00F739DE" w:rsidRDefault="00F739DE" w:rsidP="00F739DE">
      <w:pPr>
        <w:outlineLvl w:val="0"/>
        <w:rPr>
          <w:rFonts w:cs="Times New Roman"/>
          <w:szCs w:val="28"/>
        </w:rPr>
      </w:pPr>
      <w:r w:rsidRPr="00F739DE">
        <w:rPr>
          <w:rFonts w:cs="Times New Roman"/>
          <w:szCs w:val="28"/>
        </w:rPr>
        <w:t>在下游分類階段，本研究以</w:t>
      </w:r>
      <w:r w:rsidRPr="00F739DE">
        <w:rPr>
          <w:rFonts w:cs="Times New Roman"/>
          <w:szCs w:val="28"/>
        </w:rPr>
        <w:t xml:space="preserve"> MNIR </w:t>
      </w:r>
      <w:r w:rsidRPr="00F739DE">
        <w:rPr>
          <w:rFonts w:cs="Times New Roman"/>
          <w:szCs w:val="28"/>
        </w:rPr>
        <w:t>轉換後之特徵訓練</w:t>
      </w:r>
      <w:r w:rsidRPr="00F739DE">
        <w:rPr>
          <w:rFonts w:cs="Times New Roman"/>
          <w:szCs w:val="28"/>
        </w:rPr>
        <w:t xml:space="preserve"> SVM </w:t>
      </w:r>
      <w:r w:rsidRPr="00F739DE">
        <w:rPr>
          <w:rFonts w:cs="Times New Roman"/>
          <w:szCs w:val="28"/>
        </w:rPr>
        <w:t>分類器，並以驗證集</w:t>
      </w:r>
      <w:r w:rsidRPr="00F739DE">
        <w:rPr>
          <w:rFonts w:cs="Times New Roman"/>
          <w:szCs w:val="28"/>
        </w:rPr>
        <w:t xml:space="preserve"> </w:t>
      </w:r>
      <w:r w:rsidRPr="00F739DE">
        <w:rPr>
          <w:rFonts w:cs="Times New Roman"/>
          <w:szCs w:val="28"/>
        </w:rPr>
        <w:lastRenderedPageBreak/>
        <w:t xml:space="preserve">Macro F1 </w:t>
      </w:r>
      <w:r w:rsidRPr="00F739DE">
        <w:rPr>
          <w:rFonts w:cs="Times New Roman"/>
          <w:szCs w:val="28"/>
        </w:rPr>
        <w:t>選擇</w:t>
      </w:r>
      <w:r w:rsidRPr="00F739DE">
        <w:rPr>
          <w:rFonts w:cs="Times New Roman"/>
          <w:szCs w:val="28"/>
        </w:rPr>
        <w:t xml:space="preserve"> SVM </w:t>
      </w:r>
      <w:r w:rsidRPr="00F739DE">
        <w:rPr>
          <w:rFonts w:cs="Times New Roman"/>
          <w:szCs w:val="28"/>
        </w:rPr>
        <w:t>懲罰參數</w:t>
      </w:r>
      <w:r w:rsidRPr="00F739DE">
        <w:rPr>
          <w:rFonts w:cs="Times New Roman"/>
          <w:szCs w:val="28"/>
        </w:rPr>
        <w:t xml:space="preserve"> C</w:t>
      </w:r>
      <w:r w:rsidRPr="00F739DE">
        <w:rPr>
          <w:rFonts w:cs="Times New Roman"/>
          <w:szCs w:val="28"/>
        </w:rPr>
        <w:t>。確定最佳參數後，本研究將訓練集與驗證集合併，重新訓練最終</w:t>
      </w:r>
      <w:r w:rsidRPr="00F739DE">
        <w:rPr>
          <w:rFonts w:cs="Times New Roman"/>
          <w:szCs w:val="28"/>
        </w:rPr>
        <w:t xml:space="preserve"> SVM </w:t>
      </w:r>
      <w:r w:rsidRPr="00F739DE">
        <w:rPr>
          <w:rFonts w:cs="Times New Roman"/>
          <w:szCs w:val="28"/>
        </w:rPr>
        <w:t>模型，最後再以測試集評估模型表現。此設計可避免測試集資訊進入模型選擇過程，同時使最終模型能利用訓練集與驗證集之資訊進行估計。</w:t>
      </w:r>
    </w:p>
    <w:p w14:paraId="2434F02F" w14:textId="77777777" w:rsidR="00F739DE" w:rsidRPr="00F739DE" w:rsidRDefault="00F739DE" w:rsidP="00F739DE">
      <w:pPr>
        <w:outlineLvl w:val="0"/>
        <w:rPr>
          <w:rFonts w:cs="Times New Roman"/>
          <w:szCs w:val="28"/>
        </w:rPr>
      </w:pPr>
      <w:r w:rsidRPr="00F739DE">
        <w:rPr>
          <w:rFonts w:cs="Times New Roman"/>
          <w:szCs w:val="28"/>
        </w:rPr>
        <w:t>此流程之目的，在於檢驗</w:t>
      </w:r>
      <w:r w:rsidRPr="00F739DE">
        <w:rPr>
          <w:rFonts w:cs="Times New Roman"/>
          <w:szCs w:val="28"/>
        </w:rPr>
        <w:t xml:space="preserve"> MNIR </w:t>
      </w:r>
      <w:r w:rsidRPr="00F739DE">
        <w:rPr>
          <w:rFonts w:cs="Times New Roman"/>
          <w:szCs w:val="28"/>
        </w:rPr>
        <w:t>監督式特徵轉換是否能將高維法律文本轉換為較具判別力之低維特徵，並進一步提升</w:t>
      </w:r>
      <w:r w:rsidRPr="00F739DE">
        <w:rPr>
          <w:rFonts w:cs="Times New Roman"/>
          <w:szCs w:val="28"/>
        </w:rPr>
        <w:t xml:space="preserve"> SVM </w:t>
      </w:r>
      <w:r w:rsidRPr="00F739DE">
        <w:rPr>
          <w:rFonts w:cs="Times New Roman"/>
          <w:szCs w:val="28"/>
        </w:rPr>
        <w:t>對裁判結果的分類能力。</w:t>
      </w:r>
    </w:p>
    <w:p w14:paraId="7236B12D" w14:textId="3DAA793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Pr="00F739DE">
        <w:rPr>
          <w:rFonts w:eastAsia="標楷體" w:cs="Times New Roman"/>
          <w:szCs w:val="28"/>
        </w:rPr>
        <w:t xml:space="preserve">Chi-square + Direct SVM </w:t>
      </w:r>
      <w:r w:rsidRPr="00F739DE">
        <w:rPr>
          <w:rFonts w:eastAsia="標楷體" w:cs="Times New Roman"/>
          <w:szCs w:val="28"/>
        </w:rPr>
        <w:t>對照流程</w:t>
      </w:r>
    </w:p>
    <w:p w14:paraId="7C027EAC" w14:textId="77777777" w:rsidR="00F739DE" w:rsidRPr="00F739DE" w:rsidRDefault="00F739DE" w:rsidP="00F739DE">
      <w:pPr>
        <w:outlineLvl w:val="0"/>
        <w:rPr>
          <w:rFonts w:cs="Times New Roman"/>
          <w:szCs w:val="28"/>
        </w:rPr>
      </w:pPr>
      <w:r w:rsidRPr="00F739DE">
        <w:rPr>
          <w:rFonts w:cs="Times New Roman"/>
          <w:szCs w:val="28"/>
        </w:rPr>
        <w:t>第二條模型流程為</w:t>
      </w:r>
      <w:r w:rsidRPr="00F739DE">
        <w:rPr>
          <w:rFonts w:cs="Times New Roman"/>
          <w:szCs w:val="28"/>
        </w:rPr>
        <w:t xml:space="preserve"> Chi-square + Direct SVM</w:t>
      </w:r>
      <w:r w:rsidRPr="00F739DE">
        <w:rPr>
          <w:rFonts w:cs="Times New Roman"/>
          <w:szCs w:val="28"/>
        </w:rPr>
        <w:t>。此流程不經</w:t>
      </w:r>
      <w:r w:rsidRPr="00F739DE">
        <w:rPr>
          <w:rFonts w:cs="Times New Roman"/>
          <w:szCs w:val="28"/>
        </w:rPr>
        <w:t xml:space="preserve"> MNIR </w:t>
      </w:r>
      <w:r w:rsidRPr="00F739DE">
        <w:rPr>
          <w:rFonts w:cs="Times New Roman"/>
          <w:szCs w:val="28"/>
        </w:rPr>
        <w:t>特徵轉換，而是直接使用卡方篩選後之稀疏文字特徵訓練</w:t>
      </w:r>
      <w:r w:rsidRPr="00F739DE">
        <w:rPr>
          <w:rFonts w:cs="Times New Roman"/>
          <w:szCs w:val="28"/>
        </w:rPr>
        <w:t xml:space="preserve"> SVM </w:t>
      </w:r>
      <w:r w:rsidRPr="00F739DE">
        <w:rPr>
          <w:rFonts w:cs="Times New Roman"/>
          <w:szCs w:val="28"/>
        </w:rPr>
        <w:t>分類器。換言之，</w:t>
      </w:r>
      <w:r w:rsidRPr="00F739DE">
        <w:rPr>
          <w:rFonts w:cs="Times New Roman"/>
          <w:szCs w:val="28"/>
        </w:rPr>
        <w:t xml:space="preserve">Direct SVM </w:t>
      </w:r>
      <w:r w:rsidRPr="00F739DE">
        <w:rPr>
          <w:rFonts w:cs="Times New Roman"/>
          <w:szCs w:val="28"/>
        </w:rPr>
        <w:t>保留原始高維稀疏文字特徵，並直接進行裁判結果分類。</w:t>
      </w:r>
    </w:p>
    <w:p w14:paraId="06C28ABF" w14:textId="77777777" w:rsidR="00F739DE" w:rsidRPr="00F739DE" w:rsidRDefault="00F739DE" w:rsidP="00F739DE">
      <w:pPr>
        <w:outlineLvl w:val="0"/>
        <w:rPr>
          <w:rFonts w:cs="Times New Roman"/>
          <w:szCs w:val="28"/>
        </w:rPr>
      </w:pPr>
      <w:r w:rsidRPr="00F739DE">
        <w:rPr>
          <w:rFonts w:cs="Times New Roman"/>
          <w:szCs w:val="28"/>
        </w:rPr>
        <w:t xml:space="preserve">Direct SVM </w:t>
      </w:r>
      <w:r w:rsidRPr="00F739DE">
        <w:rPr>
          <w:rFonts w:cs="Times New Roman"/>
          <w:szCs w:val="28"/>
        </w:rPr>
        <w:t>在本研究中具有對照意義。若</w:t>
      </w:r>
      <w:r w:rsidRPr="00F739DE">
        <w:rPr>
          <w:rFonts w:cs="Times New Roman"/>
          <w:szCs w:val="28"/>
        </w:rPr>
        <w:t xml:space="preserve"> MNIR+SVM </w:t>
      </w:r>
      <w:r w:rsidRPr="00F739DE">
        <w:rPr>
          <w:rFonts w:cs="Times New Roman"/>
          <w:szCs w:val="28"/>
        </w:rPr>
        <w:t>表現優於</w:t>
      </w:r>
      <w:r w:rsidRPr="00F739DE">
        <w:rPr>
          <w:rFonts w:cs="Times New Roman"/>
          <w:szCs w:val="28"/>
        </w:rPr>
        <w:t xml:space="preserve"> Direct SVM</w:t>
      </w:r>
      <w:r w:rsidRPr="00F739DE">
        <w:rPr>
          <w:rFonts w:cs="Times New Roman"/>
          <w:szCs w:val="28"/>
        </w:rPr>
        <w:t>，則可推論</w:t>
      </w:r>
      <w:r w:rsidRPr="00F739DE">
        <w:rPr>
          <w:rFonts w:cs="Times New Roman"/>
          <w:szCs w:val="28"/>
        </w:rPr>
        <w:t xml:space="preserve"> MNIR </w:t>
      </w:r>
      <w:r w:rsidRPr="00F739DE">
        <w:rPr>
          <w:rFonts w:cs="Times New Roman"/>
          <w:szCs w:val="28"/>
        </w:rPr>
        <w:t>特徵轉換可能帶來額外分類增益；反之，若</w:t>
      </w:r>
      <w:r w:rsidRPr="00F739DE">
        <w:rPr>
          <w:rFonts w:cs="Times New Roman"/>
          <w:szCs w:val="28"/>
        </w:rPr>
        <w:t xml:space="preserve"> Direct SVM </w:t>
      </w:r>
      <w:r w:rsidRPr="00F739DE">
        <w:rPr>
          <w:rFonts w:cs="Times New Roman"/>
          <w:szCs w:val="28"/>
        </w:rPr>
        <w:t>表現高於</w:t>
      </w:r>
      <w:r w:rsidRPr="00F739DE">
        <w:rPr>
          <w:rFonts w:cs="Times New Roman"/>
          <w:szCs w:val="28"/>
        </w:rPr>
        <w:t xml:space="preserve"> MNIR+SVM</w:t>
      </w:r>
      <w:r w:rsidRPr="00F739DE">
        <w:rPr>
          <w:rFonts w:cs="Times New Roman"/>
          <w:szCs w:val="28"/>
        </w:rPr>
        <w:t>，則表示在本研究資料與設定下，卡方篩選後之稀疏文字特徵可能已保留足夠的分類訊息，進一步進行</w:t>
      </w:r>
      <w:r w:rsidRPr="00F739DE">
        <w:rPr>
          <w:rFonts w:cs="Times New Roman"/>
          <w:szCs w:val="28"/>
        </w:rPr>
        <w:t xml:space="preserve"> MNIR </w:t>
      </w:r>
      <w:r w:rsidRPr="00F739DE">
        <w:rPr>
          <w:rFonts w:cs="Times New Roman"/>
          <w:szCs w:val="28"/>
        </w:rPr>
        <w:t>低維轉換未必能改善模型表現。</w:t>
      </w:r>
    </w:p>
    <w:p w14:paraId="705167F9" w14:textId="77777777" w:rsidR="00F739DE" w:rsidRPr="00F739DE" w:rsidRDefault="00F739DE" w:rsidP="00F739DE">
      <w:pPr>
        <w:outlineLvl w:val="0"/>
        <w:rPr>
          <w:rFonts w:cs="Times New Roman"/>
          <w:szCs w:val="28"/>
        </w:rPr>
      </w:pPr>
      <w:r w:rsidRPr="00F739DE">
        <w:rPr>
          <w:rFonts w:cs="Times New Roman"/>
          <w:szCs w:val="28"/>
        </w:rPr>
        <w:t>因此，本研究不單獨觀察</w:t>
      </w:r>
      <w:r w:rsidRPr="00F739DE">
        <w:rPr>
          <w:rFonts w:cs="Times New Roman"/>
          <w:szCs w:val="28"/>
        </w:rPr>
        <w:t xml:space="preserve"> MNIR+SVM </w:t>
      </w:r>
      <w:r w:rsidRPr="00F739DE">
        <w:rPr>
          <w:rFonts w:cs="Times New Roman"/>
          <w:szCs w:val="28"/>
        </w:rPr>
        <w:t>之分數，而是透過</w:t>
      </w:r>
      <w:r w:rsidRPr="00F739DE">
        <w:rPr>
          <w:rFonts w:cs="Times New Roman"/>
          <w:szCs w:val="28"/>
        </w:rPr>
        <w:t xml:space="preserve"> MNIR+SVM </w:t>
      </w:r>
      <w:r w:rsidRPr="00F739DE">
        <w:rPr>
          <w:rFonts w:cs="Times New Roman"/>
          <w:szCs w:val="28"/>
        </w:rPr>
        <w:t>與</w:t>
      </w:r>
      <w:r w:rsidRPr="00F739DE">
        <w:rPr>
          <w:rFonts w:cs="Times New Roman"/>
          <w:szCs w:val="28"/>
        </w:rPr>
        <w:t xml:space="preserve"> Direct SVM </w:t>
      </w:r>
      <w:r w:rsidRPr="00F739DE">
        <w:rPr>
          <w:rFonts w:cs="Times New Roman"/>
          <w:szCs w:val="28"/>
        </w:rPr>
        <w:t>的直接比較，判斷</w:t>
      </w:r>
      <w:r w:rsidRPr="00F739DE">
        <w:rPr>
          <w:rFonts w:cs="Times New Roman"/>
          <w:szCs w:val="28"/>
        </w:rPr>
        <w:t xml:space="preserve"> MNIR </w:t>
      </w:r>
      <w:r w:rsidRPr="00F739DE">
        <w:rPr>
          <w:rFonts w:cs="Times New Roman"/>
          <w:szCs w:val="28"/>
        </w:rPr>
        <w:t>監督式特徵轉換在中文智慧財產權判決分類任務中的實際效果。</w:t>
      </w:r>
    </w:p>
    <w:p w14:paraId="6603B2A0" w14:textId="4EED388D" w:rsidR="00F739DE" w:rsidRP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Pr="00F739DE">
        <w:rPr>
          <w:rFonts w:eastAsia="標楷體" w:cs="Times New Roman"/>
          <w:szCs w:val="28"/>
        </w:rPr>
        <w:t>模型評估方式</w:t>
      </w:r>
    </w:p>
    <w:p w14:paraId="74F562CF" w14:textId="4B21AD57" w:rsidR="00F739DE" w:rsidRPr="00F739DE" w:rsidRDefault="00F739DE" w:rsidP="00F739DE">
      <w:pPr>
        <w:outlineLvl w:val="0"/>
        <w:rPr>
          <w:rFonts w:cs="Times New Roman"/>
          <w:szCs w:val="28"/>
        </w:rPr>
      </w:pPr>
      <w:r w:rsidRPr="00F739DE">
        <w:rPr>
          <w:rFonts w:cs="Times New Roman"/>
          <w:szCs w:val="28"/>
        </w:rPr>
        <w:t>本研究之模型表現主要以</w:t>
      </w:r>
      <w:r w:rsidRPr="00F739DE">
        <w:rPr>
          <w:rFonts w:cs="Times New Roman"/>
          <w:szCs w:val="28"/>
        </w:rPr>
        <w:t xml:space="preserve"> Macro F1 </w:t>
      </w:r>
      <w:r w:rsidRPr="00F739DE">
        <w:rPr>
          <w:rFonts w:cs="Times New Roman"/>
          <w:szCs w:val="28"/>
        </w:rPr>
        <w:t>作為判斷依據，並輔以</w:t>
      </w:r>
      <w:r w:rsidRPr="00F739DE">
        <w:rPr>
          <w:rFonts w:cs="Times New Roman"/>
          <w:szCs w:val="28"/>
        </w:rPr>
        <w:t xml:space="preserve"> Accuracy</w:t>
      </w:r>
      <w:r w:rsidRPr="00F739DE">
        <w:rPr>
          <w:rFonts w:cs="Times New Roman"/>
          <w:szCs w:val="28"/>
        </w:rPr>
        <w:t>、各類別</w:t>
      </w:r>
      <w:r w:rsidRPr="00F739DE">
        <w:rPr>
          <w:rFonts w:cs="Times New Roman"/>
          <w:szCs w:val="28"/>
        </w:rPr>
        <w:t xml:space="preserve"> Precision</w:t>
      </w:r>
      <w:r w:rsidRPr="00F739DE">
        <w:rPr>
          <w:rFonts w:cs="Times New Roman"/>
          <w:szCs w:val="28"/>
        </w:rPr>
        <w:t>、</w:t>
      </w:r>
      <w:r w:rsidRPr="00F739DE">
        <w:rPr>
          <w:rFonts w:cs="Times New Roman"/>
          <w:szCs w:val="28"/>
        </w:rPr>
        <w:t>Recall</w:t>
      </w:r>
      <w:r w:rsidRPr="00F739DE">
        <w:rPr>
          <w:rFonts w:cs="Times New Roman"/>
          <w:szCs w:val="28"/>
        </w:rPr>
        <w:t>、</w:t>
      </w:r>
      <w:r w:rsidRPr="00F739DE">
        <w:rPr>
          <w:rFonts w:cs="Times New Roman"/>
          <w:szCs w:val="28"/>
        </w:rPr>
        <w:t xml:space="preserve">F1-score </w:t>
      </w:r>
      <w:r w:rsidRPr="00F739DE">
        <w:rPr>
          <w:rFonts w:cs="Times New Roman"/>
          <w:szCs w:val="28"/>
        </w:rPr>
        <w:t>與混淆矩陣進行分析。由於本研究資料存在明顯類別不平衡，若僅以</w:t>
      </w:r>
      <w:r w:rsidRPr="00F739DE">
        <w:rPr>
          <w:rFonts w:cs="Times New Roman"/>
          <w:szCs w:val="28"/>
        </w:rPr>
        <w:t xml:space="preserve"> Accuracy </w:t>
      </w:r>
      <w:r w:rsidRPr="00F739DE">
        <w:rPr>
          <w:rFonts w:cs="Times New Roman"/>
          <w:szCs w:val="28"/>
        </w:rPr>
        <w:t>判斷模型表現，模型可能因偏向預測多數類別而取得較高準確率，卻無法反映少數類別之辨識能力。因此，</w:t>
      </w:r>
      <w:r w:rsidRPr="00F739DE">
        <w:rPr>
          <w:rFonts w:cs="Times New Roman"/>
          <w:szCs w:val="28"/>
        </w:rPr>
        <w:t xml:space="preserve">Macro F1 </w:t>
      </w:r>
      <w:r w:rsidRPr="00F739DE">
        <w:rPr>
          <w:rFonts w:cs="Times New Roman"/>
          <w:szCs w:val="28"/>
        </w:rPr>
        <w:t>較能呈現模型在敗訴、部分勝訴與勝訴三類裁判結果上的平均辨識能力。</w:t>
      </w:r>
    </w:p>
    <w:p w14:paraId="04DC8BC6" w14:textId="77777777" w:rsidR="00F739DE" w:rsidRPr="00F739DE" w:rsidRDefault="00F739DE" w:rsidP="00F739DE">
      <w:pPr>
        <w:outlineLvl w:val="0"/>
        <w:rPr>
          <w:rFonts w:cs="Times New Roman"/>
          <w:szCs w:val="28"/>
        </w:rPr>
      </w:pPr>
      <w:r w:rsidRPr="00F739DE">
        <w:rPr>
          <w:rFonts w:cs="Times New Roman"/>
          <w:szCs w:val="28"/>
        </w:rPr>
        <w:t>若模型流程中有輸出</w:t>
      </w:r>
      <w:r w:rsidRPr="00F739DE">
        <w:rPr>
          <w:rFonts w:cs="Times New Roman"/>
          <w:szCs w:val="28"/>
        </w:rPr>
        <w:t xml:space="preserve"> Weighted F1</w:t>
      </w:r>
      <w:r w:rsidRPr="00F739DE">
        <w:rPr>
          <w:rFonts w:cs="Times New Roman"/>
          <w:szCs w:val="28"/>
        </w:rPr>
        <w:t>，本研究僅將其作為輔助參考，不作為主要模型比較依據。主要原因在於</w:t>
      </w:r>
      <w:r w:rsidRPr="00F739DE">
        <w:rPr>
          <w:rFonts w:cs="Times New Roman"/>
          <w:szCs w:val="28"/>
        </w:rPr>
        <w:t xml:space="preserve"> Weighted F1 </w:t>
      </w:r>
      <w:r w:rsidRPr="00F739DE">
        <w:rPr>
          <w:rFonts w:cs="Times New Roman"/>
          <w:szCs w:val="28"/>
        </w:rPr>
        <w:t>會受到各類別樣本數影響，當多數類別樣本占比</w:t>
      </w:r>
      <w:r w:rsidRPr="00F739DE">
        <w:rPr>
          <w:rFonts w:cs="Times New Roman"/>
          <w:szCs w:val="28"/>
        </w:rPr>
        <w:lastRenderedPageBreak/>
        <w:t>較高時，</w:t>
      </w:r>
      <w:r w:rsidRPr="00F739DE">
        <w:rPr>
          <w:rFonts w:cs="Times New Roman"/>
          <w:szCs w:val="28"/>
        </w:rPr>
        <w:t xml:space="preserve">Weighted F1 </w:t>
      </w:r>
      <w:r w:rsidRPr="00F739DE">
        <w:rPr>
          <w:rFonts w:cs="Times New Roman"/>
          <w:szCs w:val="28"/>
        </w:rPr>
        <w:t>仍可能偏向反映多數類別表現。相較之下，</w:t>
      </w:r>
      <w:r w:rsidRPr="00F739DE">
        <w:rPr>
          <w:rFonts w:cs="Times New Roman"/>
          <w:szCs w:val="28"/>
        </w:rPr>
        <w:t xml:space="preserve">Macro F1 </w:t>
      </w:r>
      <w:r w:rsidRPr="00F739DE">
        <w:rPr>
          <w:rFonts w:cs="Times New Roman"/>
          <w:szCs w:val="28"/>
        </w:rPr>
        <w:t>不依樣本數加權，較適合用於本研究類別不平衡之裁判結果分類任務。</w:t>
      </w:r>
    </w:p>
    <w:p w14:paraId="7279B8A9" w14:textId="57BBE4A1" w:rsidR="003F5EF7" w:rsidRPr="00F739DE" w:rsidRDefault="003F5EF7" w:rsidP="00B05B8A">
      <w:pPr>
        <w:outlineLvl w:val="0"/>
        <w:rPr>
          <w:rFonts w:cs="Times New Roman"/>
          <w:szCs w:val="28"/>
        </w:rPr>
      </w:pPr>
    </w:p>
    <w:p w14:paraId="42AE2AB3" w14:textId="77777777" w:rsidR="00512832" w:rsidRPr="00F739DE" w:rsidRDefault="00512832">
      <w:pPr>
        <w:widowControl/>
        <w:spacing w:after="0" w:line="240" w:lineRule="auto"/>
        <w:rPr>
          <w:rFonts w:cs="Times New Roman"/>
          <w:szCs w:val="28"/>
        </w:rPr>
      </w:pPr>
      <w:r>
        <w:rPr>
          <w:rFonts w:cs="Times New Roman"/>
          <w:szCs w:val="28"/>
        </w:rPr>
        <w:br w:type="page"/>
      </w:r>
    </w:p>
    <w:p w14:paraId="2EA8DFE2" w14:textId="77777777" w:rsidR="00925402" w:rsidRDefault="00000000">
      <w:pPr>
        <w:pStyle w:val="2"/>
      </w:pPr>
      <w:r>
        <w:rPr>
          <w:rFonts w:ascii="Times New Roman" w:eastAsia="標楷體" w:hAnsi="Times New Roman"/>
        </w:rPr>
        <w:lastRenderedPageBreak/>
        <w:t xml:space="preserve">3.9 </w:t>
      </w:r>
      <w:r>
        <w:rPr>
          <w:rFonts w:ascii="Times New Roman" w:eastAsia="標楷體" w:hAnsi="Times New Roman"/>
        </w:rPr>
        <w:t>資料切分與參數選擇</w:t>
      </w:r>
    </w:p>
    <w:p w14:paraId="1FA1A630" w14:textId="77777777" w:rsidR="00523799" w:rsidRPr="00523799" w:rsidRDefault="00523799" w:rsidP="00523799">
      <w:pPr>
        <w:outlineLvl w:val="0"/>
        <w:rPr>
          <w:rFonts w:cs="Times New Roman"/>
          <w:sz w:val="28"/>
          <w:szCs w:val="28"/>
        </w:rPr>
      </w:pPr>
      <w:r w:rsidRPr="00523799">
        <w:rPr>
          <w:rFonts w:cs="Times New Roman"/>
          <w:b/>
          <w:bCs/>
          <w:szCs w:val="28"/>
        </w:rPr>
        <w:t>本研究將資料集依</w:t>
      </w:r>
      <w:r w:rsidRPr="00523799">
        <w:rPr>
          <w:rFonts w:cs="Times New Roman"/>
          <w:b/>
          <w:bCs/>
          <w:szCs w:val="28"/>
        </w:rPr>
        <w:t xml:space="preserve"> 70:10:20 </w:t>
      </w:r>
      <w:r w:rsidRPr="00523799">
        <w:rPr>
          <w:rFonts w:cs="Times New Roman"/>
          <w:b/>
          <w:bCs/>
          <w:szCs w:val="28"/>
        </w:rPr>
        <w:t>的比例劃分為訓練集（</w:t>
      </w:r>
      <w:r w:rsidRPr="00523799">
        <w:rPr>
          <w:rFonts w:cs="Times New Roman"/>
          <w:b/>
          <w:bCs/>
          <w:szCs w:val="28"/>
        </w:rPr>
        <w:t>Training Set</w:t>
      </w:r>
      <w:r w:rsidRPr="00523799">
        <w:rPr>
          <w:rFonts w:cs="Times New Roman"/>
          <w:b/>
          <w:bCs/>
          <w:szCs w:val="28"/>
        </w:rPr>
        <w:t>）、驗證集（</w:t>
      </w:r>
      <w:r w:rsidRPr="00523799">
        <w:rPr>
          <w:rFonts w:cs="Times New Roman"/>
          <w:b/>
          <w:bCs/>
          <w:szCs w:val="28"/>
        </w:rPr>
        <w:t>Validation Set</w:t>
      </w:r>
      <w:r w:rsidRPr="00523799">
        <w:rPr>
          <w:rFonts w:cs="Times New Roman"/>
          <w:b/>
          <w:bCs/>
          <w:szCs w:val="28"/>
        </w:rPr>
        <w:t>）與測試集（</w:t>
      </w:r>
      <w:r w:rsidRPr="00523799">
        <w:rPr>
          <w:rFonts w:cs="Times New Roman"/>
          <w:b/>
          <w:bCs/>
          <w:szCs w:val="28"/>
        </w:rPr>
        <w:t>Test Set</w:t>
      </w:r>
      <w:r w:rsidRPr="00523799">
        <w:rPr>
          <w:rFonts w:cs="Times New Roman"/>
          <w:b/>
          <w:bCs/>
          <w:szCs w:val="28"/>
        </w:rPr>
        <w:t>）。訓練集用於模型參數學習，驗證集用於模型選擇與超參數調整，包含卡方特徵數</w:t>
      </w:r>
      <w:r w:rsidRPr="00523799">
        <w:rPr>
          <w:rFonts w:cs="Times New Roman"/>
          <w:b/>
          <w:bCs/>
          <w:szCs w:val="28"/>
        </w:rPr>
        <w:t xml:space="preserve"> K </w:t>
      </w:r>
      <w:r w:rsidRPr="00523799">
        <w:rPr>
          <w:rFonts w:cs="Times New Roman"/>
          <w:b/>
          <w:bCs/>
          <w:szCs w:val="28"/>
        </w:rPr>
        <w:t>與</w:t>
      </w:r>
      <w:r w:rsidRPr="00523799">
        <w:rPr>
          <w:rFonts w:cs="Times New Roman"/>
          <w:b/>
          <w:bCs/>
          <w:szCs w:val="28"/>
        </w:rPr>
        <w:t xml:space="preserve"> SVM </w:t>
      </w:r>
      <w:r w:rsidRPr="00523799">
        <w:rPr>
          <w:rFonts w:cs="Times New Roman"/>
          <w:b/>
          <w:bCs/>
          <w:szCs w:val="28"/>
        </w:rPr>
        <w:t>懲罰參數</w:t>
      </w:r>
      <w:r w:rsidRPr="00523799">
        <w:rPr>
          <w:rFonts w:cs="Times New Roman"/>
          <w:b/>
          <w:bCs/>
          <w:szCs w:val="28"/>
        </w:rPr>
        <w:t xml:space="preserve"> C </w:t>
      </w:r>
      <w:r w:rsidRPr="00523799">
        <w:rPr>
          <w:rFonts w:cs="Times New Roman"/>
          <w:b/>
          <w:bCs/>
          <w:szCs w:val="28"/>
        </w:rPr>
        <w:t>之選擇；測試集則用於最終模型效能評估，以檢驗模型對未見資料之泛化能力。</w:t>
      </w:r>
    </w:p>
    <w:p w14:paraId="1771450C" w14:textId="77777777" w:rsidR="00925402" w:rsidRDefault="00000000">
      <w:pPr>
        <w:pStyle w:val="2"/>
      </w:pPr>
      <w:r>
        <w:rPr>
          <w:rFonts w:ascii="Times New Roman" w:eastAsia="標楷體" w:hAnsi="Times New Roman"/>
        </w:rPr>
        <w:t xml:space="preserve">3.10 </w:t>
      </w:r>
      <w:r>
        <w:rPr>
          <w:rFonts w:ascii="Times New Roman" w:eastAsia="標楷體" w:hAnsi="Times New Roman"/>
        </w:rPr>
        <w:t>小結</w:t>
      </w:r>
    </w:p>
    <w:p w14:paraId="6F72AD61" w14:textId="77777777" w:rsidR="00031960" w:rsidRDefault="00031960" w:rsidP="00B66EDF">
      <w:pPr>
        <w:ind w:left="720"/>
        <w:outlineLvl w:val="0"/>
        <w:rPr>
          <w:rFonts w:cs="Times New Roman"/>
          <w:sz w:val="28"/>
          <w:szCs w:val="28"/>
        </w:rPr>
      </w:pPr>
      <w:r w:rsidRPr="00031960">
        <w:rPr>
          <w:rFonts w:cs="Times New Roman"/>
          <w:szCs w:val="28"/>
        </w:rPr>
        <w:t>綜合上述資料處理、樣本分布與模型流程，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cs="Times New Roman"/>
          <w:szCs w:val="28"/>
        </w:rPr>
        <w:t xml:space="preserve"> Accuracy </w:t>
      </w:r>
      <w:r w:rsidRPr="00031960">
        <w:rPr>
          <w:rFonts w:cs="Times New Roman"/>
          <w:szCs w:val="28"/>
        </w:rPr>
        <w:t>作為模型評估指標，模型可能因偏向預測多數類別而取得較高準確率，卻無法反映少數類別之辨識能力。因此，本研究後續以</w:t>
      </w:r>
      <w:r w:rsidRPr="00031960">
        <w:rPr>
          <w:rFonts w:cs="Times New Roman"/>
          <w:szCs w:val="28"/>
        </w:rPr>
        <w:t xml:space="preserve"> Macro F1 </w:t>
      </w:r>
      <w:r w:rsidRPr="00031960">
        <w:rPr>
          <w:rFonts w:cs="Times New Roman"/>
          <w:szCs w:val="28"/>
        </w:rPr>
        <w:t>作為主要評估指標，並輔以</w:t>
      </w:r>
      <w:r w:rsidRPr="00031960">
        <w:rPr>
          <w:rFonts w:cs="Times New Roman"/>
          <w:szCs w:val="28"/>
        </w:rPr>
        <w:t xml:space="preserve"> Accuracy</w:t>
      </w:r>
      <w:r w:rsidRPr="00031960">
        <w:rPr>
          <w:rFonts w:cs="Times New Roman"/>
          <w:szCs w:val="28"/>
        </w:rPr>
        <w:t>、各類別</w:t>
      </w:r>
      <w:r w:rsidRPr="00031960">
        <w:rPr>
          <w:rFonts w:cs="Times New Roman"/>
          <w:szCs w:val="28"/>
        </w:rPr>
        <w:t xml:space="preserve"> Precision</w:t>
      </w:r>
      <w:r w:rsidRPr="00031960">
        <w:rPr>
          <w:rFonts w:cs="Times New Roman"/>
          <w:szCs w:val="28"/>
        </w:rPr>
        <w:t>、</w:t>
      </w:r>
      <w:r w:rsidRPr="00031960">
        <w:rPr>
          <w:rFonts w:cs="Times New Roman"/>
          <w:szCs w:val="28"/>
        </w:rPr>
        <w:t>Recall</w:t>
      </w:r>
      <w:r w:rsidRPr="00031960">
        <w:rPr>
          <w:rFonts w:cs="Times New Roman"/>
          <w:szCs w:val="28"/>
        </w:rPr>
        <w:t>、</w:t>
      </w:r>
      <w:r w:rsidRPr="00031960">
        <w:rPr>
          <w:rFonts w:cs="Times New Roman"/>
          <w:szCs w:val="28"/>
        </w:rPr>
        <w:t xml:space="preserve">F1-score </w:t>
      </w:r>
      <w:r w:rsidRPr="00031960">
        <w:rPr>
          <w:rFonts w:cs="Times New Roman"/>
          <w:szCs w:val="28"/>
        </w:rPr>
        <w:t>與混淆矩陣進行分析。</w:t>
      </w:r>
    </w:p>
    <w:p w14:paraId="1D726225" w14:textId="77777777" w:rsidR="0013551A" w:rsidRPr="00B66EDF" w:rsidRDefault="0013551A">
      <w:pPr>
        <w:widowControl/>
        <w:spacing w:after="0" w:line="240" w:lineRule="auto"/>
      </w:pPr>
    </w:p>
    <w:p w14:paraId="482BDB51" w14:textId="77777777" w:rsidR="0013551A" w:rsidRDefault="0013551A">
      <w:pPr>
        <w:widowControl/>
        <w:spacing w:after="0" w:line="240" w:lineRule="auto"/>
        <w:rPr>
          <w:rFonts w:cs="Times New Roman"/>
          <w:sz w:val="28"/>
          <w:szCs w:val="28"/>
        </w:rPr>
      </w:pPr>
      <w:r>
        <w:rPr>
          <w:rFonts w:cs="Times New Roman"/>
          <w:szCs w:val="28"/>
        </w:rPr>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MNIR+SVM</w:t>
      </w:r>
      <w:r>
        <w:t>、</w:t>
      </w:r>
      <w:r>
        <w:t xml:space="preserve">Direct SVM </w:t>
      </w:r>
      <w:r>
        <w:t>以及</w:t>
      </w:r>
      <w:r>
        <w:t xml:space="preserve"> BoW</w:t>
      </w:r>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MNIR+SVM </w:t>
      </w:r>
      <w:r>
        <w:rPr>
          <w:rFonts w:ascii="Times New Roman" w:eastAsia="標楷體" w:hAnsi="Times New Roman"/>
        </w:rPr>
        <w:t>核心流程之模型表現</w:t>
      </w:r>
    </w:p>
    <w:p w14:paraId="452556A3" w14:textId="77777777" w:rsidR="00641412" w:rsidRDefault="00000000">
      <w:pPr>
        <w:spacing w:before="120" w:after="60" w:line="276" w:lineRule="auto"/>
        <w:jc w:val="center"/>
      </w:pPr>
      <w:r>
        <w:rPr>
          <w:b/>
        </w:rPr>
        <w:t>表</w:t>
      </w:r>
      <w:r>
        <w:rPr>
          <w:b/>
        </w:rPr>
        <w:t xml:space="preserve"> 4-1 </w:t>
      </w:r>
      <w:r>
        <w:rPr>
          <w:b/>
        </w:rPr>
        <w:t>呈現</w:t>
      </w:r>
      <w:r>
        <w:rPr>
          <w:b/>
        </w:rPr>
        <w:t xml:space="preserve"> Chi-square + MNIR + SVM </w:t>
      </w:r>
      <w:r>
        <w:rPr>
          <w:b/>
        </w:rPr>
        <w:t>於四類資料集之最佳測試結果。根據表</w:t>
      </w:r>
      <w:r>
        <w:rPr>
          <w:b/>
        </w:rPr>
        <w:t xml:space="preserve"> 4-1</w:t>
      </w:r>
      <w:r>
        <w:rPr>
          <w:b/>
        </w:rPr>
        <w:t>，</w:t>
      </w:r>
      <w:r>
        <w:rPr>
          <w:b/>
        </w:rPr>
        <w:t xml:space="preserve">MNIR+SVM </w:t>
      </w:r>
      <w:r>
        <w:rPr>
          <w:b/>
        </w:rPr>
        <w:t>在不同案件類型下之</w:t>
      </w:r>
      <w:r>
        <w:rPr>
          <w:b/>
        </w:rPr>
        <w:t xml:space="preserve"> Macro F1 </w:t>
      </w:r>
      <w:r>
        <w:rPr>
          <w:b/>
        </w:rPr>
        <w:t>介於</w:t>
      </w:r>
      <w:r>
        <w:rPr>
          <w:b/>
        </w:rPr>
        <w:t xml:space="preserve"> 0.318 </w:t>
      </w:r>
      <w:r>
        <w:rPr>
          <w:b/>
        </w:rPr>
        <w:t>至</w:t>
      </w:r>
      <w:r>
        <w:rPr>
          <w:b/>
        </w:rPr>
        <w:t xml:space="preserve"> 0.545</w:t>
      </w:r>
      <w:r>
        <w:rPr>
          <w:b/>
        </w:rPr>
        <w:t>，其中刑事附帶民事資料集表現最高，</w:t>
      </w:r>
      <w:r>
        <w:rPr>
          <w:b/>
        </w:rPr>
        <w:t xml:space="preserve">Macro F1 </w:t>
      </w:r>
      <w:r>
        <w:rPr>
          <w:b/>
        </w:rPr>
        <w:t>為</w:t>
      </w:r>
      <w:r>
        <w:rPr>
          <w:b/>
        </w:rPr>
        <w:t xml:space="preserve"> 0.545</w:t>
      </w:r>
      <w:r>
        <w:rPr>
          <w:b/>
        </w:rPr>
        <w:t>；行政資料集最低，</w:t>
      </w:r>
      <w:r>
        <w:rPr>
          <w:b/>
        </w:rPr>
        <w:t xml:space="preserve">Macro F1 </w:t>
      </w:r>
      <w:r>
        <w:rPr>
          <w:b/>
        </w:rPr>
        <w:t>為</w:t>
      </w:r>
      <w:r>
        <w:rPr>
          <w:b/>
        </w:rPr>
        <w:t xml:space="preserve"> 0.318</w:t>
      </w:r>
      <w:r>
        <w:rPr>
          <w:b/>
        </w:rPr>
        <w:t>。此結果應與第三章所呈現之類別不平衡現象一併解讀，因為高</w:t>
      </w:r>
      <w:r>
        <w:rPr>
          <w:b/>
        </w:rPr>
        <w:t xml:space="preserve"> Accuracy </w:t>
      </w:r>
      <w:r>
        <w:rPr>
          <w:b/>
        </w:rPr>
        <w:t>不必然代表模型能均衡辨識三類裁判結果。</w:t>
      </w:r>
    </w:p>
    <w:p w14:paraId="4479746B" w14:textId="77777777" w:rsidR="00641412" w:rsidRDefault="00000000">
      <w:pPr>
        <w:spacing w:before="120" w:after="60" w:line="276" w:lineRule="auto"/>
        <w:jc w:val="center"/>
      </w:pPr>
      <w:r>
        <w:rPr>
          <w:b/>
        </w:rPr>
        <w:t>表</w:t>
      </w:r>
      <w:r>
        <w:rPr>
          <w:b/>
        </w:rPr>
        <w:t xml:space="preserve"> 4-1 Chi-square + MNIR +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418"/>
        <w:gridCol w:w="1559"/>
        <w:gridCol w:w="1134"/>
        <w:gridCol w:w="1466"/>
        <w:gridCol w:w="1617"/>
        <w:gridCol w:w="1832"/>
      </w:tblGrid>
      <w:tr w:rsidR="00641412" w14:paraId="19E3A2E1" w14:textId="77777777" w:rsidTr="00365AD6">
        <w:trPr>
          <w:tblHeader/>
          <w:jc w:val="center"/>
        </w:trPr>
        <w:tc>
          <w:tcPr>
            <w:tcW w:w="1418" w:type="dxa"/>
            <w:shd w:val="clear" w:color="auto" w:fill="D9EA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1"/>
              </w:rPr>
              <w:t>資料集</w:t>
            </w:r>
          </w:p>
        </w:tc>
        <w:tc>
          <w:tcPr>
            <w:tcW w:w="1559" w:type="dxa"/>
            <w:shd w:val="clear" w:color="auto" w:fill="D9EA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1"/>
              </w:rPr>
              <w:t xml:space="preserve">MNIR </w:t>
            </w:r>
            <w:r>
              <w:rPr>
                <w:b/>
                <w:sz w:val="21"/>
              </w:rPr>
              <w:t>最佳特徵</w:t>
            </w:r>
          </w:p>
        </w:tc>
        <w:tc>
          <w:tcPr>
            <w:tcW w:w="1134" w:type="dxa"/>
            <w:shd w:val="clear" w:color="auto" w:fill="D9EA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1"/>
              </w:rPr>
              <w:t>K</w:t>
            </w:r>
          </w:p>
        </w:tc>
        <w:tc>
          <w:tcPr>
            <w:tcW w:w="1466" w:type="dxa"/>
            <w:shd w:val="clear" w:color="auto" w:fill="D9EA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1"/>
              </w:rPr>
              <w:t>C</w:t>
            </w:r>
          </w:p>
        </w:tc>
        <w:tc>
          <w:tcPr>
            <w:tcW w:w="1617" w:type="dxa"/>
            <w:shd w:val="clear" w:color="auto" w:fill="D9EA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1"/>
              </w:rPr>
              <w:t>Accuracy</w:t>
            </w:r>
          </w:p>
        </w:tc>
        <w:tc>
          <w:tcPr>
            <w:tcW w:w="1832" w:type="dxa"/>
            <w:shd w:val="clear" w:color="auto" w:fill="D9EA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1"/>
              </w:rPr>
              <w:t>MNIR+SVM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left"/>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left"/>
            </w:pPr>
            <w:r>
              <w:rPr>
                <w:sz w:val="21"/>
              </w:rPr>
              <w:t>BoW</w:t>
            </w:r>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right"/>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right"/>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right"/>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left"/>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right"/>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right"/>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left"/>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right"/>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right"/>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left"/>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left"/>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right"/>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right"/>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MNIR+SVM </w:t>
      </w:r>
      <w:r>
        <w:t>可形成可執行的分類流程，但其</w:t>
      </w:r>
      <w:r>
        <w:t xml:space="preserve"> Macro F1 </w:t>
      </w:r>
      <w:r>
        <w:t>表現仍受到資料類別不平衡與案件類型差異影響。因此，</w:t>
      </w:r>
      <w:r>
        <w:t xml:space="preserve">MNIR+SVM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before="120" w:after="60" w:line="276" w:lineRule="auto"/>
        <w:jc w:val="center"/>
      </w:pPr>
      <w:r>
        <w:rPr>
          <w:b/>
        </w:rPr>
        <w:t>表</w:t>
      </w:r>
      <w:r>
        <w:rPr>
          <w:b/>
        </w:rPr>
        <w:t xml:space="preserve"> 4-2 </w:t>
      </w:r>
      <w:r>
        <w:rPr>
          <w:b/>
        </w:rPr>
        <w:t>呈現</w:t>
      </w:r>
      <w:r>
        <w:rPr>
          <w:b/>
        </w:rPr>
        <w:t xml:space="preserve"> Chi-square + Direct SVM </w:t>
      </w:r>
      <w:r>
        <w:rPr>
          <w:b/>
        </w:rPr>
        <w:t>於各資料集之最佳表現。</w:t>
      </w:r>
      <w:r>
        <w:rPr>
          <w:b/>
        </w:rPr>
        <w:t xml:space="preserve">Direct SVM </w:t>
      </w:r>
      <w:r>
        <w:rPr>
          <w:b/>
        </w:rPr>
        <w:t>在四類資料集中的</w:t>
      </w:r>
      <w:r>
        <w:rPr>
          <w:b/>
        </w:rPr>
        <w:t xml:space="preserve"> Macro F1 </w:t>
      </w:r>
      <w:r>
        <w:rPr>
          <w:b/>
        </w:rPr>
        <w:t>介於</w:t>
      </w:r>
      <w:r>
        <w:rPr>
          <w:b/>
        </w:rPr>
        <w:t xml:space="preserve"> 0.380 </w:t>
      </w:r>
      <w:r>
        <w:rPr>
          <w:b/>
        </w:rPr>
        <w:t>至</w:t>
      </w:r>
      <w:r>
        <w:rPr>
          <w:b/>
        </w:rPr>
        <w:t xml:space="preserve"> 0.654</w:t>
      </w:r>
      <w:r>
        <w:rPr>
          <w:b/>
        </w:rPr>
        <w:t>，且皆高於</w:t>
      </w:r>
      <w:r>
        <w:rPr>
          <w:b/>
        </w:rPr>
        <w:t xml:space="preserve"> Majority Class baseline</w:t>
      </w:r>
      <w:r>
        <w:rPr>
          <w:b/>
        </w:rPr>
        <w:t>。其中，刑事附帶民事資料集之</w:t>
      </w:r>
      <w:r>
        <w:rPr>
          <w:b/>
        </w:rPr>
        <w:t xml:space="preserve"> Macro F1 </w:t>
      </w:r>
      <w:r>
        <w:rPr>
          <w:b/>
        </w:rPr>
        <w:t>最高，為</w:t>
      </w:r>
      <w:r>
        <w:rPr>
          <w:b/>
        </w:rPr>
        <w:t xml:space="preserve"> 0.654</w:t>
      </w:r>
      <w:r>
        <w:rPr>
          <w:b/>
        </w:rPr>
        <w:t>；刑事資料集次之，為</w:t>
      </w:r>
      <w:r>
        <w:rPr>
          <w:b/>
        </w:rPr>
        <w:t xml:space="preserve"> 0.577</w:t>
      </w:r>
      <w:r>
        <w:rPr>
          <w:b/>
        </w:rPr>
        <w:t>；民事與行政資料集分別為</w:t>
      </w:r>
      <w:r>
        <w:rPr>
          <w:b/>
        </w:rPr>
        <w:t xml:space="preserve"> 0.428 </w:t>
      </w:r>
      <w:r>
        <w:rPr>
          <w:b/>
        </w:rPr>
        <w:t>與</w:t>
      </w:r>
      <w:r>
        <w:rPr>
          <w:b/>
        </w:rPr>
        <w:t xml:space="preserve"> 0.380</w:t>
      </w:r>
      <w:r>
        <w:rPr>
          <w:b/>
        </w:rPr>
        <w:t>。</w:t>
      </w:r>
    </w:p>
    <w:p w14:paraId="24BA783F" w14:textId="77777777" w:rsidR="00641412" w:rsidRDefault="00000000">
      <w:pPr>
        <w:spacing w:before="120" w:after="60" w:line="276" w:lineRule="auto"/>
        <w:jc w:val="center"/>
      </w:pPr>
      <w:r>
        <w:rPr>
          <w:b/>
        </w:rPr>
        <w:t>表</w:t>
      </w:r>
      <w:r>
        <w:rPr>
          <w:b/>
        </w:rPr>
        <w:t xml:space="preserve"> 4-2 Chi-square + Direct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473"/>
        <w:gridCol w:w="1892"/>
        <w:gridCol w:w="1801"/>
        <w:gridCol w:w="1875"/>
      </w:tblGrid>
      <w:tr w:rsidR="00641412" w14:paraId="016FDA27" w14:textId="77777777" w:rsidTr="00365AD6">
        <w:trPr>
          <w:tblHeader/>
          <w:jc w:val="center"/>
        </w:trPr>
        <w:tc>
          <w:tcPr>
            <w:tcW w:w="1985" w:type="dxa"/>
            <w:shd w:val="clear" w:color="auto" w:fill="D9EA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1"/>
              </w:rPr>
              <w:t>資料集</w:t>
            </w:r>
          </w:p>
        </w:tc>
        <w:tc>
          <w:tcPr>
            <w:tcW w:w="1473" w:type="dxa"/>
            <w:shd w:val="clear" w:color="auto" w:fill="D9EA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1"/>
              </w:rPr>
              <w:t xml:space="preserve">Direct </w:t>
            </w:r>
            <w:r>
              <w:rPr>
                <w:b/>
                <w:sz w:val="21"/>
              </w:rPr>
              <w:t>最佳特徵</w:t>
            </w:r>
          </w:p>
        </w:tc>
        <w:tc>
          <w:tcPr>
            <w:tcW w:w="1892" w:type="dxa"/>
            <w:shd w:val="clear" w:color="auto" w:fill="D9EA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1"/>
              </w:rPr>
              <w:t>Accuracy</w:t>
            </w:r>
          </w:p>
        </w:tc>
        <w:tc>
          <w:tcPr>
            <w:tcW w:w="1801" w:type="dxa"/>
            <w:shd w:val="clear" w:color="auto" w:fill="D9EA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1"/>
              </w:rPr>
              <w:t>Macro F1</w:t>
            </w:r>
          </w:p>
        </w:tc>
        <w:tc>
          <w:tcPr>
            <w:tcW w:w="1875" w:type="dxa"/>
            <w:shd w:val="clear" w:color="auto" w:fill="D9EA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1"/>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left"/>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left"/>
            </w:pPr>
            <w:r>
              <w:rPr>
                <w:sz w:val="21"/>
              </w:rPr>
              <w:t>BoW</w:t>
            </w:r>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right"/>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right"/>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right"/>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left"/>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left"/>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right"/>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right"/>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right"/>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left"/>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left"/>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right"/>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right"/>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right"/>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left"/>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left"/>
            </w:pPr>
            <w:r>
              <w:rPr>
                <w:sz w:val="21"/>
              </w:rPr>
              <w:t>BoW</w:t>
            </w:r>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right"/>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right"/>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right"/>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before="120" w:after="60" w:line="276" w:lineRule="auto"/>
        <w:jc w:val="center"/>
      </w:pPr>
      <w:r>
        <w:rPr>
          <w:b/>
        </w:rPr>
        <w:t>表</w:t>
      </w:r>
      <w:r>
        <w:rPr>
          <w:b/>
        </w:rPr>
        <w:t xml:space="preserve"> 4-3 </w:t>
      </w:r>
      <w:r>
        <w:rPr>
          <w:b/>
        </w:rPr>
        <w:t>比較</w:t>
      </w:r>
      <w:r>
        <w:rPr>
          <w:b/>
        </w:rPr>
        <w:t xml:space="preserve"> Direct SVM </w:t>
      </w:r>
      <w:r>
        <w:rPr>
          <w:b/>
        </w:rPr>
        <w:t>與</w:t>
      </w:r>
      <w:r>
        <w:rPr>
          <w:b/>
        </w:rPr>
        <w:t xml:space="preserve"> MNIR+SVM </w:t>
      </w:r>
      <w:r>
        <w:rPr>
          <w:b/>
        </w:rPr>
        <w:t>在各資料集最佳設定下的</w:t>
      </w:r>
      <w:r>
        <w:rPr>
          <w:b/>
        </w:rPr>
        <w:t xml:space="preserve"> Macro F1</w:t>
      </w:r>
      <w:r>
        <w:rPr>
          <w:b/>
        </w:rPr>
        <w:t>。此比較的目的，是檢視在本研究目前的實驗設定下，加入</w:t>
      </w:r>
      <w:r>
        <w:rPr>
          <w:b/>
        </w:rPr>
        <w:t xml:space="preserve"> MNIR </w:t>
      </w:r>
      <w:r>
        <w:rPr>
          <w:b/>
        </w:rPr>
        <w:t>監督式特徵轉</w:t>
      </w:r>
      <w:r>
        <w:rPr>
          <w:b/>
        </w:rPr>
        <w:lastRenderedPageBreak/>
        <w:t>換後的完整流程，是否能相較於直接使用卡方篩選後稀疏特徵之</w:t>
      </w:r>
      <w:r>
        <w:rPr>
          <w:b/>
        </w:rPr>
        <w:t xml:space="preserve"> SVM </w:t>
      </w:r>
      <w:r>
        <w:rPr>
          <w:b/>
        </w:rPr>
        <w:t>流程取得較佳表現。需注意的是，表</w:t>
      </w:r>
      <w:r>
        <w:rPr>
          <w:b/>
        </w:rPr>
        <w:t xml:space="preserve"> 4-3 </w:t>
      </w:r>
      <w:r>
        <w:rPr>
          <w:b/>
        </w:rPr>
        <w:t>比較的是兩個流程各自最佳設定下的整體表現，而非完全控制相同特徵表示與參數後的單一</w:t>
      </w:r>
      <w:r>
        <w:rPr>
          <w:b/>
        </w:rPr>
        <w:t xml:space="preserve"> MNIR </w:t>
      </w:r>
      <w:r>
        <w:rPr>
          <w:b/>
        </w:rPr>
        <w:t>效果檢定。</w:t>
      </w:r>
    </w:p>
    <w:p w14:paraId="421FE7CD" w14:textId="77777777" w:rsidR="00641412" w:rsidRDefault="00000000">
      <w:pPr>
        <w:spacing w:before="120" w:after="60" w:line="276" w:lineRule="auto"/>
        <w:jc w:val="center"/>
      </w:pPr>
      <w:r>
        <w:rPr>
          <w:b/>
        </w:rPr>
        <w:t>表</w:t>
      </w:r>
      <w:r>
        <w:rPr>
          <w:b/>
        </w:rPr>
        <w:t xml:space="preserve"> 4-3 Direct SVM </w:t>
      </w:r>
      <w:r>
        <w:rPr>
          <w:b/>
        </w:rPr>
        <w:t>與</w:t>
      </w:r>
      <w:r>
        <w:rPr>
          <w:b/>
        </w:rPr>
        <w:t xml:space="preserve"> MNIR+SVM </w:t>
      </w:r>
      <w:r>
        <w:rPr>
          <w:b/>
        </w:rPr>
        <w:t>之</w:t>
      </w:r>
      <w:r>
        <w:rPr>
          <w:b/>
        </w:rPr>
        <w:t xml:space="preserve"> Macro F1 </w:t>
      </w:r>
      <w:r>
        <w:rPr>
          <w:b/>
        </w:rPr>
        <w:t>比較</w:t>
      </w:r>
    </w:p>
    <w:tbl>
      <w:tblPr>
        <w:tblStyle w:val="af3"/>
        <w:tblW w:w="5261"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539"/>
        <w:gridCol w:w="1224"/>
        <w:gridCol w:w="1632"/>
        <w:gridCol w:w="1326"/>
        <w:gridCol w:w="2359"/>
        <w:gridCol w:w="1417"/>
      </w:tblGrid>
      <w:tr w:rsidR="00641412" w14:paraId="73319365" w14:textId="77777777" w:rsidTr="00365AD6">
        <w:trPr>
          <w:tblHeader/>
          <w:jc w:val="center"/>
        </w:trPr>
        <w:tc>
          <w:tcPr>
            <w:tcW w:w="1539" w:type="dxa"/>
            <w:shd w:val="clear" w:color="auto" w:fill="D9EA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1"/>
              </w:rPr>
              <w:t>資料集</w:t>
            </w:r>
          </w:p>
        </w:tc>
        <w:tc>
          <w:tcPr>
            <w:tcW w:w="1224" w:type="dxa"/>
            <w:shd w:val="clear" w:color="auto" w:fill="D9EAF7"/>
            <w:tcMar>
              <w:top w:w="90" w:type="dxa"/>
              <w:left w:w="90" w:type="dxa"/>
              <w:bottom w:w="90" w:type="dxa"/>
              <w:right w:w="90" w:type="dxa"/>
            </w:tcMar>
            <w:vAlign w:val="center"/>
          </w:tcPr>
          <w:p w14:paraId="41E8867A" w14:textId="77777777" w:rsidR="00641412" w:rsidRDefault="00000000">
            <w:pPr>
              <w:spacing w:after="0" w:line="276" w:lineRule="auto"/>
              <w:jc w:val="center"/>
            </w:pPr>
            <w:r>
              <w:rPr>
                <w:b/>
                <w:sz w:val="21"/>
              </w:rPr>
              <w:t xml:space="preserve">Direct </w:t>
            </w:r>
            <w:r>
              <w:rPr>
                <w:b/>
                <w:sz w:val="21"/>
              </w:rPr>
              <w:t>最佳特徵</w:t>
            </w:r>
          </w:p>
        </w:tc>
        <w:tc>
          <w:tcPr>
            <w:tcW w:w="1632" w:type="dxa"/>
            <w:shd w:val="clear" w:color="auto" w:fill="D9EA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1"/>
              </w:rPr>
              <w:t>Direct SVM Macro F1</w:t>
            </w:r>
          </w:p>
        </w:tc>
        <w:tc>
          <w:tcPr>
            <w:tcW w:w="1326" w:type="dxa"/>
            <w:shd w:val="clear" w:color="auto" w:fill="D9EA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1"/>
              </w:rPr>
              <w:t xml:space="preserve">MNIR </w:t>
            </w:r>
            <w:r>
              <w:rPr>
                <w:b/>
                <w:sz w:val="21"/>
              </w:rPr>
              <w:t>最佳特徵</w:t>
            </w:r>
          </w:p>
        </w:tc>
        <w:tc>
          <w:tcPr>
            <w:tcW w:w="2359" w:type="dxa"/>
            <w:shd w:val="clear" w:color="auto" w:fill="D9EA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1"/>
              </w:rPr>
              <w:t>MNIR+SVM Macro F1</w:t>
            </w:r>
          </w:p>
        </w:tc>
        <w:tc>
          <w:tcPr>
            <w:tcW w:w="1417" w:type="dxa"/>
            <w:shd w:val="clear" w:color="auto" w:fill="D9EA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1"/>
              </w:rPr>
              <w:t>Direct - MNIR</w:t>
            </w:r>
          </w:p>
        </w:tc>
      </w:tr>
      <w:tr w:rsidR="00641412" w14:paraId="16161822" w14:textId="77777777" w:rsidTr="00365AD6">
        <w:trPr>
          <w:jc w:val="center"/>
        </w:trPr>
        <w:tc>
          <w:tcPr>
            <w:tcW w:w="1539" w:type="dxa"/>
            <w:tcMar>
              <w:top w:w="90" w:type="dxa"/>
              <w:left w:w="90" w:type="dxa"/>
              <w:bottom w:w="90" w:type="dxa"/>
              <w:right w:w="90" w:type="dxa"/>
            </w:tcMar>
            <w:vAlign w:val="center"/>
          </w:tcPr>
          <w:p w14:paraId="4FF06D92" w14:textId="77777777" w:rsidR="00641412" w:rsidRDefault="00000000">
            <w:pPr>
              <w:spacing w:after="0" w:line="276" w:lineRule="auto"/>
              <w:jc w:val="left"/>
            </w:pPr>
            <w:r>
              <w:rPr>
                <w:sz w:val="21"/>
              </w:rPr>
              <w:t>行政</w:t>
            </w:r>
          </w:p>
        </w:tc>
        <w:tc>
          <w:tcPr>
            <w:tcW w:w="1224" w:type="dxa"/>
            <w:tcMar>
              <w:top w:w="90" w:type="dxa"/>
              <w:left w:w="90" w:type="dxa"/>
              <w:bottom w:w="90" w:type="dxa"/>
              <w:right w:w="90" w:type="dxa"/>
            </w:tcMar>
            <w:vAlign w:val="center"/>
          </w:tcPr>
          <w:p w14:paraId="55A858D3" w14:textId="77777777" w:rsidR="00641412" w:rsidRDefault="00000000">
            <w:pPr>
              <w:spacing w:after="0" w:line="276" w:lineRule="auto"/>
              <w:jc w:val="left"/>
            </w:pPr>
            <w:r>
              <w:rPr>
                <w:sz w:val="21"/>
              </w:rPr>
              <w:t>BoW</w:t>
            </w:r>
          </w:p>
        </w:tc>
        <w:tc>
          <w:tcPr>
            <w:tcW w:w="1632" w:type="dxa"/>
            <w:tcMar>
              <w:top w:w="90" w:type="dxa"/>
              <w:left w:w="90" w:type="dxa"/>
              <w:bottom w:w="90" w:type="dxa"/>
              <w:right w:w="90" w:type="dxa"/>
            </w:tcMar>
            <w:vAlign w:val="center"/>
          </w:tcPr>
          <w:p w14:paraId="366467E0" w14:textId="77777777" w:rsidR="00641412" w:rsidRDefault="00000000">
            <w:pPr>
              <w:spacing w:after="0" w:line="276" w:lineRule="auto"/>
              <w:jc w:val="right"/>
            </w:pPr>
            <w:r>
              <w:rPr>
                <w:sz w:val="21"/>
              </w:rPr>
              <w:t>0.380</w:t>
            </w:r>
          </w:p>
        </w:tc>
        <w:tc>
          <w:tcPr>
            <w:tcW w:w="1326" w:type="dxa"/>
            <w:tcMar>
              <w:top w:w="90" w:type="dxa"/>
              <w:left w:w="90" w:type="dxa"/>
              <w:bottom w:w="90" w:type="dxa"/>
              <w:right w:w="90" w:type="dxa"/>
            </w:tcMar>
            <w:vAlign w:val="center"/>
          </w:tcPr>
          <w:p w14:paraId="44F1D251" w14:textId="77777777" w:rsidR="00641412" w:rsidRDefault="00000000">
            <w:pPr>
              <w:spacing w:after="0" w:line="276" w:lineRule="auto"/>
              <w:jc w:val="left"/>
            </w:pPr>
            <w:r>
              <w:rPr>
                <w:sz w:val="21"/>
              </w:rPr>
              <w:t>BoW</w:t>
            </w:r>
          </w:p>
        </w:tc>
        <w:tc>
          <w:tcPr>
            <w:tcW w:w="2359" w:type="dxa"/>
            <w:tcMar>
              <w:top w:w="90" w:type="dxa"/>
              <w:left w:w="90" w:type="dxa"/>
              <w:bottom w:w="90" w:type="dxa"/>
              <w:right w:w="90" w:type="dxa"/>
            </w:tcMar>
            <w:vAlign w:val="center"/>
          </w:tcPr>
          <w:p w14:paraId="0C1E5461" w14:textId="77777777" w:rsidR="00641412" w:rsidRDefault="00000000">
            <w:pPr>
              <w:spacing w:after="0" w:line="276" w:lineRule="auto"/>
              <w:jc w:val="right"/>
            </w:pPr>
            <w:r>
              <w:rPr>
                <w:sz w:val="21"/>
              </w:rPr>
              <w:t>0.318</w:t>
            </w:r>
          </w:p>
        </w:tc>
        <w:tc>
          <w:tcPr>
            <w:tcW w:w="1417" w:type="dxa"/>
            <w:tcMar>
              <w:top w:w="90" w:type="dxa"/>
              <w:left w:w="90" w:type="dxa"/>
              <w:bottom w:w="90" w:type="dxa"/>
              <w:right w:w="90" w:type="dxa"/>
            </w:tcMar>
            <w:vAlign w:val="center"/>
          </w:tcPr>
          <w:p w14:paraId="0297D6BF" w14:textId="77777777" w:rsidR="00641412" w:rsidRDefault="00000000">
            <w:pPr>
              <w:spacing w:after="0" w:line="276" w:lineRule="auto"/>
              <w:jc w:val="right"/>
            </w:pPr>
            <w:r>
              <w:rPr>
                <w:sz w:val="21"/>
              </w:rPr>
              <w:t>0.062</w:t>
            </w:r>
          </w:p>
        </w:tc>
      </w:tr>
      <w:tr w:rsidR="00641412" w14:paraId="1006846E" w14:textId="77777777" w:rsidTr="00365AD6">
        <w:trPr>
          <w:jc w:val="center"/>
        </w:trPr>
        <w:tc>
          <w:tcPr>
            <w:tcW w:w="1539" w:type="dxa"/>
            <w:tcMar>
              <w:top w:w="90" w:type="dxa"/>
              <w:left w:w="90" w:type="dxa"/>
              <w:bottom w:w="90" w:type="dxa"/>
              <w:right w:w="90" w:type="dxa"/>
            </w:tcMar>
            <w:vAlign w:val="center"/>
          </w:tcPr>
          <w:p w14:paraId="68A8936A" w14:textId="77777777" w:rsidR="00641412" w:rsidRDefault="00000000">
            <w:pPr>
              <w:spacing w:after="0" w:line="276" w:lineRule="auto"/>
              <w:jc w:val="left"/>
            </w:pPr>
            <w:r>
              <w:rPr>
                <w:sz w:val="21"/>
              </w:rPr>
              <w:t>民事</w:t>
            </w:r>
          </w:p>
        </w:tc>
        <w:tc>
          <w:tcPr>
            <w:tcW w:w="1224" w:type="dxa"/>
            <w:tcMar>
              <w:top w:w="90" w:type="dxa"/>
              <w:left w:w="90" w:type="dxa"/>
              <w:bottom w:w="90" w:type="dxa"/>
              <w:right w:w="90" w:type="dxa"/>
            </w:tcMar>
            <w:vAlign w:val="center"/>
          </w:tcPr>
          <w:p w14:paraId="262C29CB" w14:textId="77777777" w:rsidR="00641412" w:rsidRDefault="00000000">
            <w:pPr>
              <w:spacing w:after="0" w:line="276" w:lineRule="auto"/>
              <w:jc w:val="left"/>
            </w:pPr>
            <w:r>
              <w:rPr>
                <w:sz w:val="21"/>
              </w:rPr>
              <w:t>TF-IDF</w:t>
            </w:r>
          </w:p>
        </w:tc>
        <w:tc>
          <w:tcPr>
            <w:tcW w:w="1632" w:type="dxa"/>
            <w:tcMar>
              <w:top w:w="90" w:type="dxa"/>
              <w:left w:w="90" w:type="dxa"/>
              <w:bottom w:w="90" w:type="dxa"/>
              <w:right w:w="90" w:type="dxa"/>
            </w:tcMar>
            <w:vAlign w:val="center"/>
          </w:tcPr>
          <w:p w14:paraId="074C13E3" w14:textId="77777777" w:rsidR="00641412" w:rsidRDefault="00000000">
            <w:pPr>
              <w:spacing w:after="0" w:line="276" w:lineRule="auto"/>
              <w:jc w:val="right"/>
            </w:pPr>
            <w:r>
              <w:rPr>
                <w:sz w:val="21"/>
              </w:rPr>
              <w:t>0.428</w:t>
            </w:r>
          </w:p>
        </w:tc>
        <w:tc>
          <w:tcPr>
            <w:tcW w:w="1326" w:type="dxa"/>
            <w:tcMar>
              <w:top w:w="90" w:type="dxa"/>
              <w:left w:w="90" w:type="dxa"/>
              <w:bottom w:w="90" w:type="dxa"/>
              <w:right w:w="90" w:type="dxa"/>
            </w:tcMar>
            <w:vAlign w:val="center"/>
          </w:tcPr>
          <w:p w14:paraId="0CA3955A" w14:textId="77777777" w:rsidR="00641412" w:rsidRDefault="00000000">
            <w:pPr>
              <w:spacing w:after="0" w:line="276" w:lineRule="auto"/>
              <w:jc w:val="left"/>
            </w:pPr>
            <w:r>
              <w:rPr>
                <w:sz w:val="21"/>
              </w:rPr>
              <w:t>TF-IDF</w:t>
            </w:r>
          </w:p>
        </w:tc>
        <w:tc>
          <w:tcPr>
            <w:tcW w:w="2359" w:type="dxa"/>
            <w:tcMar>
              <w:top w:w="90" w:type="dxa"/>
              <w:left w:w="90" w:type="dxa"/>
              <w:bottom w:w="90" w:type="dxa"/>
              <w:right w:w="90" w:type="dxa"/>
            </w:tcMar>
            <w:vAlign w:val="center"/>
          </w:tcPr>
          <w:p w14:paraId="7AA565C6" w14:textId="77777777" w:rsidR="00641412" w:rsidRDefault="00000000">
            <w:pPr>
              <w:spacing w:after="0" w:line="276" w:lineRule="auto"/>
              <w:jc w:val="right"/>
            </w:pPr>
            <w:r>
              <w:rPr>
                <w:sz w:val="21"/>
              </w:rPr>
              <w:t>0.353</w:t>
            </w:r>
          </w:p>
        </w:tc>
        <w:tc>
          <w:tcPr>
            <w:tcW w:w="1417" w:type="dxa"/>
            <w:tcMar>
              <w:top w:w="90" w:type="dxa"/>
              <w:left w:w="90" w:type="dxa"/>
              <w:bottom w:w="90" w:type="dxa"/>
              <w:right w:w="90" w:type="dxa"/>
            </w:tcMar>
            <w:vAlign w:val="center"/>
          </w:tcPr>
          <w:p w14:paraId="363E5318" w14:textId="77777777" w:rsidR="00641412" w:rsidRDefault="00000000">
            <w:pPr>
              <w:spacing w:after="0" w:line="276" w:lineRule="auto"/>
              <w:jc w:val="right"/>
            </w:pPr>
            <w:r>
              <w:rPr>
                <w:sz w:val="21"/>
              </w:rPr>
              <w:t>0.075</w:t>
            </w:r>
          </w:p>
        </w:tc>
      </w:tr>
      <w:tr w:rsidR="00641412" w14:paraId="2162B4A9" w14:textId="77777777" w:rsidTr="00365AD6">
        <w:trPr>
          <w:jc w:val="center"/>
        </w:trPr>
        <w:tc>
          <w:tcPr>
            <w:tcW w:w="1539" w:type="dxa"/>
            <w:tcMar>
              <w:top w:w="90" w:type="dxa"/>
              <w:left w:w="90" w:type="dxa"/>
              <w:bottom w:w="90" w:type="dxa"/>
              <w:right w:w="90" w:type="dxa"/>
            </w:tcMar>
            <w:vAlign w:val="center"/>
          </w:tcPr>
          <w:p w14:paraId="65133917" w14:textId="77777777" w:rsidR="00641412" w:rsidRDefault="00000000">
            <w:pPr>
              <w:spacing w:after="0" w:line="276" w:lineRule="auto"/>
              <w:jc w:val="left"/>
            </w:pPr>
            <w:r>
              <w:rPr>
                <w:sz w:val="21"/>
              </w:rPr>
              <w:t>刑事</w:t>
            </w:r>
          </w:p>
        </w:tc>
        <w:tc>
          <w:tcPr>
            <w:tcW w:w="1224" w:type="dxa"/>
            <w:tcMar>
              <w:top w:w="90" w:type="dxa"/>
              <w:left w:w="90" w:type="dxa"/>
              <w:bottom w:w="90" w:type="dxa"/>
              <w:right w:w="90" w:type="dxa"/>
            </w:tcMar>
            <w:vAlign w:val="center"/>
          </w:tcPr>
          <w:p w14:paraId="2D820BFC" w14:textId="77777777" w:rsidR="00641412" w:rsidRDefault="00000000">
            <w:pPr>
              <w:spacing w:after="0" w:line="276" w:lineRule="auto"/>
              <w:jc w:val="left"/>
            </w:pPr>
            <w:r>
              <w:rPr>
                <w:sz w:val="21"/>
              </w:rPr>
              <w:t>TF</w:t>
            </w:r>
          </w:p>
        </w:tc>
        <w:tc>
          <w:tcPr>
            <w:tcW w:w="1632" w:type="dxa"/>
            <w:tcMar>
              <w:top w:w="90" w:type="dxa"/>
              <w:left w:w="90" w:type="dxa"/>
              <w:bottom w:w="90" w:type="dxa"/>
              <w:right w:w="90" w:type="dxa"/>
            </w:tcMar>
            <w:vAlign w:val="center"/>
          </w:tcPr>
          <w:p w14:paraId="71129A36" w14:textId="77777777" w:rsidR="00641412" w:rsidRDefault="00000000">
            <w:pPr>
              <w:spacing w:after="0" w:line="276" w:lineRule="auto"/>
              <w:jc w:val="right"/>
            </w:pPr>
            <w:r>
              <w:rPr>
                <w:sz w:val="21"/>
              </w:rPr>
              <w:t>0.577</w:t>
            </w:r>
          </w:p>
        </w:tc>
        <w:tc>
          <w:tcPr>
            <w:tcW w:w="1326" w:type="dxa"/>
            <w:tcMar>
              <w:top w:w="90" w:type="dxa"/>
              <w:left w:w="90" w:type="dxa"/>
              <w:bottom w:w="90" w:type="dxa"/>
              <w:right w:w="90" w:type="dxa"/>
            </w:tcMar>
            <w:vAlign w:val="center"/>
          </w:tcPr>
          <w:p w14:paraId="71B2F762" w14:textId="77777777" w:rsidR="00641412" w:rsidRDefault="00000000">
            <w:pPr>
              <w:spacing w:after="0" w:line="276" w:lineRule="auto"/>
              <w:jc w:val="left"/>
            </w:pPr>
            <w:r>
              <w:rPr>
                <w:sz w:val="21"/>
              </w:rPr>
              <w:t>TF-IDF</w:t>
            </w:r>
          </w:p>
        </w:tc>
        <w:tc>
          <w:tcPr>
            <w:tcW w:w="2359" w:type="dxa"/>
            <w:tcMar>
              <w:top w:w="90" w:type="dxa"/>
              <w:left w:w="90" w:type="dxa"/>
              <w:bottom w:w="90" w:type="dxa"/>
              <w:right w:w="90" w:type="dxa"/>
            </w:tcMar>
            <w:vAlign w:val="center"/>
          </w:tcPr>
          <w:p w14:paraId="79C96ED9" w14:textId="77777777" w:rsidR="00641412" w:rsidRDefault="00000000">
            <w:pPr>
              <w:spacing w:after="0" w:line="276" w:lineRule="auto"/>
              <w:jc w:val="right"/>
            </w:pPr>
            <w:r>
              <w:rPr>
                <w:sz w:val="21"/>
              </w:rPr>
              <w:t>0.390</w:t>
            </w:r>
          </w:p>
        </w:tc>
        <w:tc>
          <w:tcPr>
            <w:tcW w:w="1417" w:type="dxa"/>
            <w:tcMar>
              <w:top w:w="90" w:type="dxa"/>
              <w:left w:w="90" w:type="dxa"/>
              <w:bottom w:w="90" w:type="dxa"/>
              <w:right w:w="90" w:type="dxa"/>
            </w:tcMar>
            <w:vAlign w:val="center"/>
          </w:tcPr>
          <w:p w14:paraId="3FAE6B99" w14:textId="77777777" w:rsidR="00641412" w:rsidRDefault="00000000">
            <w:pPr>
              <w:spacing w:after="0" w:line="276" w:lineRule="auto"/>
              <w:jc w:val="right"/>
            </w:pPr>
            <w:r>
              <w:rPr>
                <w:sz w:val="21"/>
              </w:rPr>
              <w:t>0.187</w:t>
            </w:r>
          </w:p>
        </w:tc>
      </w:tr>
      <w:tr w:rsidR="00641412" w14:paraId="469E2023" w14:textId="77777777" w:rsidTr="00365AD6">
        <w:trPr>
          <w:jc w:val="center"/>
        </w:trPr>
        <w:tc>
          <w:tcPr>
            <w:tcW w:w="1539" w:type="dxa"/>
            <w:tcMar>
              <w:top w:w="90" w:type="dxa"/>
              <w:left w:w="90" w:type="dxa"/>
              <w:bottom w:w="90" w:type="dxa"/>
              <w:right w:w="90" w:type="dxa"/>
            </w:tcMar>
            <w:vAlign w:val="center"/>
          </w:tcPr>
          <w:p w14:paraId="62B97655" w14:textId="77777777" w:rsidR="00641412" w:rsidRDefault="00000000">
            <w:pPr>
              <w:spacing w:after="0" w:line="276" w:lineRule="auto"/>
              <w:jc w:val="left"/>
            </w:pPr>
            <w:r>
              <w:rPr>
                <w:sz w:val="21"/>
              </w:rPr>
              <w:t>刑事附帶民事</w:t>
            </w:r>
          </w:p>
        </w:tc>
        <w:tc>
          <w:tcPr>
            <w:tcW w:w="1224" w:type="dxa"/>
            <w:tcMar>
              <w:top w:w="90" w:type="dxa"/>
              <w:left w:w="90" w:type="dxa"/>
              <w:bottom w:w="90" w:type="dxa"/>
              <w:right w:w="90" w:type="dxa"/>
            </w:tcMar>
            <w:vAlign w:val="center"/>
          </w:tcPr>
          <w:p w14:paraId="7FFD8AE5" w14:textId="77777777" w:rsidR="00641412" w:rsidRDefault="00000000">
            <w:pPr>
              <w:spacing w:after="0" w:line="276" w:lineRule="auto"/>
              <w:jc w:val="left"/>
            </w:pPr>
            <w:r>
              <w:rPr>
                <w:sz w:val="21"/>
              </w:rPr>
              <w:t>BoW</w:t>
            </w:r>
          </w:p>
        </w:tc>
        <w:tc>
          <w:tcPr>
            <w:tcW w:w="1632" w:type="dxa"/>
            <w:tcMar>
              <w:top w:w="90" w:type="dxa"/>
              <w:left w:w="90" w:type="dxa"/>
              <w:bottom w:w="90" w:type="dxa"/>
              <w:right w:w="90" w:type="dxa"/>
            </w:tcMar>
            <w:vAlign w:val="center"/>
          </w:tcPr>
          <w:p w14:paraId="3CC6623C" w14:textId="77777777" w:rsidR="00641412" w:rsidRDefault="00000000">
            <w:pPr>
              <w:spacing w:after="0" w:line="276" w:lineRule="auto"/>
              <w:jc w:val="right"/>
            </w:pPr>
            <w:r>
              <w:rPr>
                <w:sz w:val="21"/>
              </w:rPr>
              <w:t>0.654</w:t>
            </w:r>
          </w:p>
        </w:tc>
        <w:tc>
          <w:tcPr>
            <w:tcW w:w="1326" w:type="dxa"/>
            <w:tcMar>
              <w:top w:w="90" w:type="dxa"/>
              <w:left w:w="90" w:type="dxa"/>
              <w:bottom w:w="90" w:type="dxa"/>
              <w:right w:w="90" w:type="dxa"/>
            </w:tcMar>
            <w:vAlign w:val="center"/>
          </w:tcPr>
          <w:p w14:paraId="21B37922" w14:textId="77777777" w:rsidR="00641412" w:rsidRDefault="00000000">
            <w:pPr>
              <w:spacing w:after="0" w:line="276" w:lineRule="auto"/>
              <w:jc w:val="left"/>
            </w:pPr>
            <w:r>
              <w:rPr>
                <w:sz w:val="21"/>
              </w:rPr>
              <w:t>TF</w:t>
            </w:r>
          </w:p>
        </w:tc>
        <w:tc>
          <w:tcPr>
            <w:tcW w:w="2359" w:type="dxa"/>
            <w:tcMar>
              <w:top w:w="90" w:type="dxa"/>
              <w:left w:w="90" w:type="dxa"/>
              <w:bottom w:w="90" w:type="dxa"/>
              <w:right w:w="90" w:type="dxa"/>
            </w:tcMar>
            <w:vAlign w:val="center"/>
          </w:tcPr>
          <w:p w14:paraId="7D3ABEF3" w14:textId="77777777" w:rsidR="00641412" w:rsidRDefault="00000000">
            <w:pPr>
              <w:spacing w:after="0" w:line="276" w:lineRule="auto"/>
              <w:jc w:val="right"/>
            </w:pPr>
            <w:r>
              <w:rPr>
                <w:sz w:val="21"/>
              </w:rPr>
              <w:t>0.545</w:t>
            </w:r>
          </w:p>
        </w:tc>
        <w:tc>
          <w:tcPr>
            <w:tcW w:w="1417" w:type="dxa"/>
            <w:tcMar>
              <w:top w:w="90" w:type="dxa"/>
              <w:left w:w="90" w:type="dxa"/>
              <w:bottom w:w="90" w:type="dxa"/>
              <w:right w:w="90" w:type="dxa"/>
            </w:tcMar>
            <w:vAlign w:val="center"/>
          </w:tcPr>
          <w:p w14:paraId="51BC79EB" w14:textId="77777777" w:rsidR="00641412" w:rsidRDefault="00000000">
            <w:pPr>
              <w:spacing w:after="0" w:line="276" w:lineRule="auto"/>
              <w:jc w:val="right"/>
            </w:pPr>
            <w:r>
              <w:rPr>
                <w:sz w:val="21"/>
              </w:rPr>
              <w:t>0.109</w:t>
            </w:r>
          </w:p>
        </w:tc>
      </w:tr>
    </w:tbl>
    <w:p w14:paraId="3B43AA8B" w14:textId="77777777" w:rsidR="00641412" w:rsidRDefault="00000000">
      <w:pPr>
        <w:spacing w:before="120" w:after="4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0"/>
                    <a:stretch>
                      <a:fillRect/>
                    </a:stretch>
                  </pic:blipFill>
                  <pic:spPr>
                    <a:xfrm>
                      <a:off x="0" y="0"/>
                      <a:ext cx="5212080" cy="3127248"/>
                    </a:xfrm>
                    <a:prstGeom prst="rect">
                      <a:avLst/>
                    </a:prstGeom>
                  </pic:spPr>
                </pic:pic>
              </a:graphicData>
            </a:graphic>
          </wp:inline>
        </w:drawing>
      </w:r>
    </w:p>
    <w:p w14:paraId="2DF26971" w14:textId="77777777" w:rsidR="00641412" w:rsidRDefault="00000000">
      <w:pPr>
        <w:spacing w:before="60" w:line="276" w:lineRule="auto"/>
        <w:jc w:val="center"/>
      </w:pPr>
      <w:r>
        <w:t>圖</w:t>
      </w:r>
      <w:r>
        <w:t xml:space="preserve"> 4-1 Direct SVM </w:t>
      </w:r>
      <w:r>
        <w:t>與</w:t>
      </w:r>
      <w:r>
        <w:t xml:space="preserve"> MNIR+SVM </w:t>
      </w:r>
      <w:r>
        <w:t>之</w:t>
      </w:r>
      <w:r>
        <w:t xml:space="preserve"> Macro F1 </w:t>
      </w:r>
      <w: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MNIR+SVM </w:t>
      </w:r>
      <w:r>
        <w:t>核心流程取得較佳分類表現。</w:t>
      </w:r>
    </w:p>
    <w:p w14:paraId="42FA3075" w14:textId="77777777" w:rsidR="00641412" w:rsidRDefault="00000000">
      <w:pPr>
        <w:spacing w:line="276" w:lineRule="auto"/>
        <w:ind w:firstLine="480"/>
      </w:pPr>
      <w:r>
        <w:lastRenderedPageBreak/>
        <w:t>此結果表示，在本研究目前的資料、標籤設定與超參數範圍下，</w:t>
      </w:r>
      <w:r>
        <w:t xml:space="preserve">MNIR </w:t>
      </w:r>
      <w:r>
        <w:t>特徵轉換未呈現相較</w:t>
      </w:r>
      <w:r>
        <w:t xml:space="preserve"> Direct SVM </w:t>
      </w:r>
      <w:r>
        <w:t>的額外增益。可能原因在於，卡方特徵選擇後之原始稀疏詞彙特徵已保留足夠與裁判結果相關的訊息；進一步經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before="120" w:after="60" w:line="276" w:lineRule="auto"/>
        <w:jc w:val="center"/>
      </w:pPr>
      <w:r>
        <w:rPr>
          <w:b/>
        </w:rPr>
        <w:t>表</w:t>
      </w:r>
      <w:r>
        <w:rPr>
          <w:b/>
        </w:rPr>
        <w:t xml:space="preserve"> 4-4 </w:t>
      </w:r>
      <w:r>
        <w:rPr>
          <w:b/>
        </w:rPr>
        <w:t>比較</w:t>
      </w:r>
      <w:r>
        <w:rPr>
          <w:b/>
        </w:rPr>
        <w:t xml:space="preserve"> Direct SVM </w:t>
      </w:r>
      <w:r>
        <w:rPr>
          <w:b/>
        </w:rPr>
        <w:t>使用</w:t>
      </w:r>
      <w:r>
        <w:rPr>
          <w:b/>
        </w:rPr>
        <w:t xml:space="preserve"> BoW</w:t>
      </w:r>
      <w:r>
        <w:rPr>
          <w:b/>
        </w:rPr>
        <w:t>、</w:t>
      </w:r>
      <w:r>
        <w:rPr>
          <w:b/>
        </w:rPr>
        <w:t xml:space="preserve">TF </w:t>
      </w:r>
      <w:r>
        <w:rPr>
          <w:b/>
        </w:rPr>
        <w:t>與</w:t>
      </w:r>
      <w:r>
        <w:rPr>
          <w:b/>
        </w:rPr>
        <w:t xml:space="preserve"> TF-IDF </w:t>
      </w:r>
      <w:r>
        <w:rPr>
          <w:b/>
        </w:rPr>
        <w:t>三種文字特徵表示之</w:t>
      </w:r>
      <w:r>
        <w:rPr>
          <w:b/>
        </w:rPr>
        <w:t xml:space="preserve"> Macro F1</w:t>
      </w:r>
      <w:r>
        <w:rPr>
          <w:b/>
        </w:rP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spacing w:before="120" w:after="60" w:line="276" w:lineRule="auto"/>
        <w:jc w:val="center"/>
      </w:pPr>
      <w:r>
        <w:rPr>
          <w:b/>
        </w:rPr>
        <w:t>表</w:t>
      </w:r>
      <w:r>
        <w:rPr>
          <w:b/>
        </w:rPr>
        <w:t xml:space="preserve"> 4-4 Direct SVM </w:t>
      </w:r>
      <w:r>
        <w:rPr>
          <w:b/>
        </w:rPr>
        <w:t>下</w:t>
      </w:r>
      <w:r>
        <w:rPr>
          <w:b/>
        </w:rPr>
        <w:t xml:space="preserve"> BoW</w:t>
      </w:r>
      <w:r>
        <w:rPr>
          <w:b/>
        </w:rPr>
        <w:t>、</w:t>
      </w:r>
      <w:r>
        <w:rPr>
          <w:b/>
        </w:rPr>
        <w:t>TF</w:t>
      </w:r>
      <w:r>
        <w:rPr>
          <w:b/>
        </w:rPr>
        <w:t>、</w:t>
      </w:r>
      <w:r>
        <w:rPr>
          <w:b/>
        </w:rPr>
        <w:t xml:space="preserve">TF-IDF </w:t>
      </w:r>
      <w:r>
        <w:rPr>
          <w:b/>
        </w:rPr>
        <w:t>之</w:t>
      </w:r>
      <w:r>
        <w:rPr>
          <w:b/>
        </w:rPr>
        <w:t xml:space="preserve"> Macro F1</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210"/>
        <w:gridCol w:w="2272"/>
        <w:gridCol w:w="2272"/>
        <w:gridCol w:w="2272"/>
      </w:tblGrid>
      <w:tr w:rsidR="00641412" w14:paraId="7B01D897" w14:textId="77777777">
        <w:trPr>
          <w:tblHeader/>
          <w:jc w:val="center"/>
        </w:trPr>
        <w:tc>
          <w:tcPr>
            <w:tcW w:w="2616" w:type="dxa"/>
            <w:shd w:val="clear" w:color="auto" w:fill="D9EA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1"/>
              </w:rPr>
              <w:t>資料集</w:t>
            </w:r>
          </w:p>
        </w:tc>
        <w:tc>
          <w:tcPr>
            <w:tcW w:w="2616" w:type="dxa"/>
            <w:shd w:val="clear" w:color="auto" w:fill="D9EAF7"/>
            <w:tcMar>
              <w:top w:w="90" w:type="dxa"/>
              <w:left w:w="90" w:type="dxa"/>
              <w:bottom w:w="90" w:type="dxa"/>
              <w:right w:w="90" w:type="dxa"/>
            </w:tcMar>
            <w:vAlign w:val="center"/>
          </w:tcPr>
          <w:p w14:paraId="18CF651D" w14:textId="77777777" w:rsidR="00641412" w:rsidRDefault="00000000">
            <w:pPr>
              <w:spacing w:after="0" w:line="276" w:lineRule="auto"/>
              <w:jc w:val="center"/>
            </w:pPr>
            <w:r>
              <w:rPr>
                <w:b/>
                <w:sz w:val="21"/>
              </w:rPr>
              <w:t>BoW</w:t>
            </w:r>
          </w:p>
        </w:tc>
        <w:tc>
          <w:tcPr>
            <w:tcW w:w="2616" w:type="dxa"/>
            <w:shd w:val="clear" w:color="auto" w:fill="D9EA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1"/>
              </w:rPr>
              <w:t>TF</w:t>
            </w:r>
          </w:p>
        </w:tc>
        <w:tc>
          <w:tcPr>
            <w:tcW w:w="2616" w:type="dxa"/>
            <w:shd w:val="clear" w:color="auto" w:fill="D9EA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1"/>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left"/>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right"/>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right"/>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right"/>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left"/>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right"/>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right"/>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right"/>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left"/>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right"/>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right"/>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right"/>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left"/>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right"/>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right"/>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right"/>
            </w:pPr>
            <w:r>
              <w:rPr>
                <w:sz w:val="21"/>
              </w:rPr>
              <w:t>0.572</w:t>
            </w:r>
          </w:p>
        </w:tc>
      </w:tr>
    </w:tbl>
    <w:p w14:paraId="6D054826" w14:textId="77777777" w:rsidR="00641412" w:rsidRDefault="00000000">
      <w:pPr>
        <w:spacing w:before="120" w:after="40"/>
        <w:jc w:val="center"/>
      </w:pPr>
      <w:r>
        <w:rPr>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1"/>
                    <a:stretch>
                      <a:fillRect/>
                    </a:stretch>
                  </pic:blipFill>
                  <pic:spPr>
                    <a:xfrm>
                      <a:off x="0" y="0"/>
                      <a:ext cx="5212080" cy="2943292"/>
                    </a:xfrm>
                    <a:prstGeom prst="rect">
                      <a:avLst/>
                    </a:prstGeom>
                  </pic:spPr>
                </pic:pic>
              </a:graphicData>
            </a:graphic>
          </wp:inline>
        </w:drawing>
      </w:r>
    </w:p>
    <w:p w14:paraId="7EADCEC4" w14:textId="77777777" w:rsidR="00641412" w:rsidRDefault="00000000">
      <w:pPr>
        <w:spacing w:before="60" w:line="276" w:lineRule="auto"/>
        <w:jc w:val="center"/>
      </w:pPr>
      <w:r>
        <w:t>圖</w:t>
      </w:r>
      <w:r>
        <w:t xml:space="preserve"> 4-2 </w:t>
      </w:r>
      <w:r>
        <w:t>不同文字特徵表示之</w:t>
      </w:r>
      <w:r>
        <w:t xml:space="preserve"> Macro F1 </w:t>
      </w:r>
      <w:r>
        <w:t>比較</w:t>
      </w:r>
    </w:p>
    <w:p w14:paraId="6CE223DF" w14:textId="77777777" w:rsidR="00641412" w:rsidRDefault="00000000">
      <w:pPr>
        <w:spacing w:line="276" w:lineRule="auto"/>
        <w:ind w:firstLine="480"/>
      </w:pPr>
      <w:r>
        <w:t>根據表</w:t>
      </w:r>
      <w:r>
        <w:t xml:space="preserve"> 4-4</w:t>
      </w:r>
      <w:r>
        <w:t>，三種文字特徵表示並不存在單一方法在所有資料集皆最佳。行政資料集以</w:t>
      </w:r>
      <w:r>
        <w:t xml:space="preserve"> BoW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BoW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BoW </w:t>
      </w:r>
      <w:r>
        <w:t>與</w:t>
      </w:r>
      <w:r>
        <w:t xml:space="preserve"> TF-IDF </w:t>
      </w:r>
      <w:r>
        <w:t>表現接近，刑事資料集中</w:t>
      </w:r>
      <w:r>
        <w:t xml:space="preserve"> TF</w:t>
      </w:r>
      <w:r>
        <w:t>、</w:t>
      </w:r>
      <w:r>
        <w:t xml:space="preserve">BoW </w:t>
      </w:r>
      <w:r>
        <w:t>與</w:t>
      </w:r>
      <w:r>
        <w:t xml:space="preserve"> TF-IDF </w:t>
      </w:r>
      <w:r>
        <w:t>的差距也不大。相較之下，刑事附帶民事資料集中</w:t>
      </w:r>
      <w:r>
        <w:t xml:space="preserve"> BoW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r>
        <w:t xml:space="preserve">BoW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before="120" w:after="60" w:line="276" w:lineRule="auto"/>
        <w:jc w:val="center"/>
      </w:pPr>
      <w:r>
        <w:rPr>
          <w:b/>
        </w:rPr>
        <w:t>表</w:t>
      </w:r>
      <w:r>
        <w:rPr>
          <w:b/>
        </w:rPr>
        <w:t xml:space="preserve"> 4-5 </w:t>
      </w:r>
      <w:r>
        <w:rPr>
          <w:b/>
        </w:rPr>
        <w:t>呈現各資料集最佳</w:t>
      </w:r>
      <w:r>
        <w:rPr>
          <w:b/>
        </w:rPr>
        <w:t xml:space="preserve"> Direct SVM </w:t>
      </w:r>
      <w:r>
        <w:rPr>
          <w:b/>
        </w:rPr>
        <w:t>模型之參數選擇摘要。四類資料集之最佳</w:t>
      </w:r>
      <w:r>
        <w:rPr>
          <w:b/>
        </w:rPr>
        <w:t xml:space="preserve"> </w:t>
      </w:r>
      <w:r>
        <w:rPr>
          <w:b/>
        </w:rPr>
        <w:lastRenderedPageBreak/>
        <w:t xml:space="preserve">K </w:t>
      </w:r>
      <w:r>
        <w:rPr>
          <w:b/>
        </w:rPr>
        <w:t>與</w:t>
      </w:r>
      <w:r>
        <w:rPr>
          <w:b/>
        </w:rPr>
        <w:t xml:space="preserve"> C </w:t>
      </w:r>
      <w:r>
        <w:rPr>
          <w:b/>
        </w:rPr>
        <w:t>並不相同，顯示不同案件類型所需的特徵數與</w:t>
      </w:r>
      <w:r>
        <w:rPr>
          <w:b/>
        </w:rPr>
        <w:t xml:space="preserve"> SVM </w:t>
      </w:r>
      <w:r>
        <w:rPr>
          <w:b/>
        </w:rPr>
        <w:t>懲罰參數有所差異。行政資料集最佳</w:t>
      </w:r>
      <w:r>
        <w:rPr>
          <w:b/>
        </w:rPr>
        <w:t xml:space="preserve"> K </w:t>
      </w:r>
      <w:r>
        <w:rPr>
          <w:b/>
        </w:rPr>
        <w:t>為</w:t>
      </w:r>
      <w:r>
        <w:rPr>
          <w:b/>
        </w:rPr>
        <w:t xml:space="preserve"> 3000</w:t>
      </w:r>
      <w:r>
        <w:rPr>
          <w:b/>
        </w:rPr>
        <w:t>，民事與刑事資料集最佳</w:t>
      </w:r>
      <w:r>
        <w:rPr>
          <w:b/>
        </w:rPr>
        <w:t xml:space="preserve"> K </w:t>
      </w:r>
      <w:r>
        <w:rPr>
          <w:b/>
        </w:rPr>
        <w:t>均為</w:t>
      </w:r>
      <w:r>
        <w:rPr>
          <w:b/>
        </w:rPr>
        <w:t xml:space="preserve"> 5000</w:t>
      </w:r>
      <w:r>
        <w:rPr>
          <w:b/>
        </w:rPr>
        <w:t>，刑事附帶民事資料集最佳</w:t>
      </w:r>
      <w:r>
        <w:rPr>
          <w:b/>
        </w:rPr>
        <w:t xml:space="preserve"> K </w:t>
      </w:r>
      <w:r>
        <w:rPr>
          <w:b/>
        </w:rPr>
        <w:t>則為</w:t>
      </w:r>
      <w:r>
        <w:rPr>
          <w:b/>
        </w:rPr>
        <w:t xml:space="preserve"> 3000</w:t>
      </w:r>
      <w:r>
        <w:rPr>
          <w:b/>
        </w:rPr>
        <w:t>。</w:t>
      </w:r>
    </w:p>
    <w:p w14:paraId="5B23C5D3" w14:textId="77777777" w:rsidR="00641412" w:rsidRDefault="00000000">
      <w:pPr>
        <w:spacing w:before="120" w:after="60" w:line="276" w:lineRule="auto"/>
        <w:jc w:val="center"/>
      </w:pPr>
      <w:r>
        <w:rPr>
          <w:b/>
        </w:rPr>
        <w:t>表</w:t>
      </w:r>
      <w:r>
        <w:rPr>
          <w:b/>
        </w:rPr>
        <w:t xml:space="preserve"> 4-5 </w:t>
      </w:r>
      <w:r>
        <w:rPr>
          <w:b/>
        </w:rPr>
        <w:t>各資料集最佳</w:t>
      </w:r>
      <w:r>
        <w:rPr>
          <w:b/>
        </w:rPr>
        <w:t xml:space="preserve"> Direct SVM </w:t>
      </w:r>
      <w:r>
        <w:rPr>
          <w:b/>
        </w:rPr>
        <w:t>模型之參數選擇摘要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134"/>
        <w:gridCol w:w="2551"/>
        <w:gridCol w:w="1433"/>
        <w:gridCol w:w="1923"/>
      </w:tblGrid>
      <w:tr w:rsidR="00641412" w14:paraId="58BCB4A6" w14:textId="77777777" w:rsidTr="00365AD6">
        <w:trPr>
          <w:tblHeader/>
          <w:jc w:val="center"/>
        </w:trPr>
        <w:tc>
          <w:tcPr>
            <w:tcW w:w="1985" w:type="dxa"/>
            <w:shd w:val="clear" w:color="auto" w:fill="D9EA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1"/>
              </w:rPr>
              <w:t>資料集</w:t>
            </w:r>
          </w:p>
        </w:tc>
        <w:tc>
          <w:tcPr>
            <w:tcW w:w="1134" w:type="dxa"/>
            <w:shd w:val="clear" w:color="auto" w:fill="D9EA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1"/>
              </w:rPr>
              <w:t>K</w:t>
            </w:r>
          </w:p>
        </w:tc>
        <w:tc>
          <w:tcPr>
            <w:tcW w:w="2551" w:type="dxa"/>
            <w:shd w:val="clear" w:color="auto" w:fill="D9EA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1"/>
              </w:rPr>
              <w:t>Selected Features</w:t>
            </w:r>
          </w:p>
        </w:tc>
        <w:tc>
          <w:tcPr>
            <w:tcW w:w="1433" w:type="dxa"/>
            <w:shd w:val="clear" w:color="auto" w:fill="D9EA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1"/>
              </w:rPr>
              <w:t>Best C</w:t>
            </w:r>
          </w:p>
        </w:tc>
        <w:tc>
          <w:tcPr>
            <w:tcW w:w="1923" w:type="dxa"/>
            <w:shd w:val="clear" w:color="auto" w:fill="D9EA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1"/>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left"/>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right"/>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left"/>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right"/>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left"/>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right"/>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left"/>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right"/>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right"/>
            </w:pPr>
            <w:r>
              <w:rPr>
                <w:sz w:val="21"/>
              </w:rPr>
              <w:t>0.745</w:t>
            </w:r>
          </w:p>
        </w:tc>
      </w:tr>
    </w:tbl>
    <w:p w14:paraId="58270D6E" w14:textId="77777777" w:rsidR="00641412" w:rsidRDefault="008D36FB">
      <w:pPr>
        <w:spacing w:before="160" w:after="40"/>
        <w:jc w:val="center"/>
      </w:pPr>
      <w:r w:rsidRPr="008D36FB">
        <w:rPr>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2"/>
                    <a:stretch>
                      <a:fillRect/>
                    </a:stretch>
                  </pic:blipFill>
                  <pic:spPr>
                    <a:xfrm>
                      <a:off x="0" y="0"/>
                      <a:ext cx="6645910" cy="4011930"/>
                    </a:xfrm>
                    <a:prstGeom prst="rect">
                      <a:avLst/>
                    </a:prstGeom>
                  </pic:spPr>
                </pic:pic>
              </a:graphicData>
            </a:graphic>
          </wp:inline>
        </w:drawing>
      </w:r>
    </w:p>
    <w:p w14:paraId="6D3B182A" w14:textId="77777777" w:rsidR="00641412" w:rsidRDefault="00000000">
      <w:pPr>
        <w:spacing w:before="60"/>
        <w:jc w:val="center"/>
      </w:pPr>
      <w:r>
        <w:t>圖</w:t>
      </w:r>
      <w:r>
        <w:t xml:space="preserve"> 4-3 Direct SVM </w:t>
      </w:r>
      <w:r>
        <w:t>之</w:t>
      </w:r>
      <w:r>
        <w:t xml:space="preserve"> K × C </w:t>
      </w:r>
      <w:r>
        <w:t>驗證集</w:t>
      </w:r>
      <w:r>
        <w:t xml:space="preserve"> Macro F1 </w:t>
      </w:r>
      <w: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w:t>
      </w:r>
      <w:r>
        <w:lastRenderedPageBreak/>
        <w:t>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spacing w:before="120" w:after="60" w:line="276" w:lineRule="auto"/>
        <w:jc w:val="center"/>
      </w:pPr>
      <w:r>
        <w:rPr>
          <w:b/>
        </w:rPr>
        <w:t>表</w:t>
      </w:r>
      <w:r>
        <w:rPr>
          <w:b/>
        </w:rPr>
        <w:t xml:space="preserve"> 4-6 </w:t>
      </w:r>
      <w:r>
        <w:rPr>
          <w:b/>
        </w:rPr>
        <w:t>民事案件最佳</w:t>
      </w:r>
      <w:r>
        <w:rPr>
          <w:b/>
        </w:rPr>
        <w:t xml:space="preserve"> Direct SVM </w:t>
      </w:r>
      <w:r>
        <w:rPr>
          <w:b/>
        </w:rPr>
        <w:t>模型之測試集混淆矩陣</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86"/>
        <w:gridCol w:w="2280"/>
        <w:gridCol w:w="2280"/>
        <w:gridCol w:w="2280"/>
      </w:tblGrid>
      <w:tr w:rsidR="00641412" w14:paraId="269D2344" w14:textId="77777777">
        <w:trPr>
          <w:tblHeader/>
          <w:jc w:val="center"/>
        </w:trPr>
        <w:tc>
          <w:tcPr>
            <w:tcW w:w="2616" w:type="dxa"/>
            <w:shd w:val="clear" w:color="auto" w:fill="D9EA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1"/>
              </w:rPr>
              <w:t>實際</w:t>
            </w:r>
            <w:r>
              <w:rPr>
                <w:b/>
                <w:sz w:val="21"/>
              </w:rPr>
              <w:t>\</w:t>
            </w:r>
            <w:r>
              <w:rPr>
                <w:b/>
                <w:sz w:val="21"/>
              </w:rPr>
              <w:t>預測</w:t>
            </w:r>
          </w:p>
        </w:tc>
        <w:tc>
          <w:tcPr>
            <w:tcW w:w="2616" w:type="dxa"/>
            <w:shd w:val="clear" w:color="auto" w:fill="D9EA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1"/>
              </w:rPr>
              <w:t>Predicted Lose</w:t>
            </w:r>
          </w:p>
        </w:tc>
        <w:tc>
          <w:tcPr>
            <w:tcW w:w="2616" w:type="dxa"/>
            <w:shd w:val="clear" w:color="auto" w:fill="D9EA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1"/>
              </w:rPr>
              <w:t>Predicted Mixed</w:t>
            </w:r>
          </w:p>
        </w:tc>
        <w:tc>
          <w:tcPr>
            <w:tcW w:w="2616" w:type="dxa"/>
            <w:shd w:val="clear" w:color="auto" w:fill="D9EA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1"/>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left"/>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right"/>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right"/>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right"/>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left"/>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right"/>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right"/>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right"/>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left"/>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right"/>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right"/>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right"/>
            </w:pPr>
            <w:r>
              <w:rPr>
                <w:sz w:val="21"/>
              </w:rPr>
              <w:t>7</w:t>
            </w:r>
          </w:p>
        </w:tc>
      </w:tr>
    </w:tbl>
    <w:p w14:paraId="5DFD34EB" w14:textId="77777777" w:rsidR="00641412" w:rsidRDefault="00000000">
      <w:pPr>
        <w:spacing w:before="120" w:after="60" w:line="276" w:lineRule="auto"/>
        <w:jc w:val="center"/>
      </w:pPr>
      <w:r>
        <w:rPr>
          <w:b/>
        </w:rPr>
        <w:t>表</w:t>
      </w:r>
      <w:r>
        <w:rPr>
          <w:b/>
        </w:rPr>
        <w:t xml:space="preserve"> 4-7 </w:t>
      </w:r>
      <w:r>
        <w:rPr>
          <w:b/>
        </w:rPr>
        <w:t>民事案件最佳</w:t>
      </w:r>
      <w:r>
        <w:rPr>
          <w:b/>
        </w:rPr>
        <w:t xml:space="preserve"> Direct SVM </w:t>
      </w:r>
      <w:r>
        <w:rPr>
          <w:b/>
        </w:rPr>
        <w:t>模型之分類報告</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843"/>
        <w:gridCol w:w="1863"/>
        <w:gridCol w:w="1762"/>
        <w:gridCol w:w="1729"/>
        <w:gridCol w:w="1829"/>
      </w:tblGrid>
      <w:tr w:rsidR="00641412" w14:paraId="1A679EF7" w14:textId="77777777">
        <w:trPr>
          <w:tblHeader/>
          <w:jc w:val="center"/>
        </w:trPr>
        <w:tc>
          <w:tcPr>
            <w:tcW w:w="2093" w:type="dxa"/>
            <w:shd w:val="clear" w:color="auto" w:fill="D9EA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1"/>
              </w:rPr>
              <w:t>類別</w:t>
            </w:r>
          </w:p>
        </w:tc>
        <w:tc>
          <w:tcPr>
            <w:tcW w:w="2093" w:type="dxa"/>
            <w:shd w:val="clear" w:color="auto" w:fill="D9EA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1"/>
              </w:rPr>
              <w:t>Precision</w:t>
            </w:r>
          </w:p>
        </w:tc>
        <w:tc>
          <w:tcPr>
            <w:tcW w:w="2093" w:type="dxa"/>
            <w:shd w:val="clear" w:color="auto" w:fill="D9EA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1"/>
              </w:rPr>
              <w:t>Recall</w:t>
            </w:r>
          </w:p>
        </w:tc>
        <w:tc>
          <w:tcPr>
            <w:tcW w:w="2093" w:type="dxa"/>
            <w:shd w:val="clear" w:color="auto" w:fill="D9EA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1"/>
              </w:rPr>
              <w:t>F1-score</w:t>
            </w:r>
          </w:p>
        </w:tc>
        <w:tc>
          <w:tcPr>
            <w:tcW w:w="2093" w:type="dxa"/>
            <w:shd w:val="clear" w:color="auto" w:fill="D9EA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1"/>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left"/>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right"/>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right"/>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right"/>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left"/>
            </w:pPr>
            <w:r>
              <w:rPr>
                <w:sz w:val="21"/>
              </w:rPr>
              <w:lastRenderedPageBreak/>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right"/>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right"/>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right"/>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left"/>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right"/>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right"/>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right"/>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left"/>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right"/>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right"/>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right"/>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left"/>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right"/>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right"/>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right"/>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before="120" w:after="60" w:line="276" w:lineRule="auto"/>
        <w:jc w:val="center"/>
      </w:pPr>
      <w:r>
        <w:rPr>
          <w:b/>
        </w:rPr>
        <w:t>表</w:t>
      </w:r>
      <w:r>
        <w:rPr>
          <w:b/>
        </w:rPr>
        <w:t xml:space="preserve"> 4-7 </w:t>
      </w:r>
      <w:r>
        <w:rPr>
          <w:b/>
        </w:rPr>
        <w:t>亦呈現相同現象。</w:t>
      </w:r>
      <w:r>
        <w:rPr>
          <w:b/>
        </w:rPr>
        <w:t xml:space="preserve">Lose </w:t>
      </w:r>
      <w:r>
        <w:rPr>
          <w:b/>
        </w:rPr>
        <w:t>類別</w:t>
      </w:r>
      <w:r>
        <w:rPr>
          <w:b/>
        </w:rPr>
        <w:t xml:space="preserve"> F1-score </w:t>
      </w:r>
      <w:r>
        <w:rPr>
          <w:b/>
        </w:rPr>
        <w:t>為</w:t>
      </w:r>
      <w:r>
        <w:rPr>
          <w:b/>
        </w:rPr>
        <w:t xml:space="preserve"> 0.802</w:t>
      </w:r>
      <w:r>
        <w:rPr>
          <w:b/>
        </w:rPr>
        <w:t>，明顯高於</w:t>
      </w:r>
      <w:r>
        <w:rPr>
          <w:b/>
        </w:rPr>
        <w:t xml:space="preserve"> Mixed </w:t>
      </w:r>
      <w:r>
        <w:rPr>
          <w:b/>
        </w:rPr>
        <w:t>類別的</w:t>
      </w:r>
      <w:r>
        <w:rPr>
          <w:b/>
        </w:rPr>
        <w:t xml:space="preserve"> 0.352 </w:t>
      </w:r>
      <w:r>
        <w:rPr>
          <w:b/>
        </w:rPr>
        <w:t>與</w:t>
      </w:r>
      <w:r>
        <w:rPr>
          <w:b/>
        </w:rPr>
        <w:t xml:space="preserve"> Win </w:t>
      </w:r>
      <w:r>
        <w:rPr>
          <w:b/>
        </w:rPr>
        <w:t>類別的</w:t>
      </w:r>
      <w:r>
        <w:rPr>
          <w:b/>
        </w:rPr>
        <w:t xml:space="preserve"> 0.130</w:t>
      </w:r>
      <w:r>
        <w:rPr>
          <w:b/>
        </w:rPr>
        <w:t>。尤其</w:t>
      </w:r>
      <w:r>
        <w:rPr>
          <w:b/>
        </w:rPr>
        <w:t xml:space="preserve"> Win </w:t>
      </w:r>
      <w:r>
        <w:rPr>
          <w:b/>
        </w:rPr>
        <w:t>類別</w:t>
      </w:r>
      <w:r>
        <w:rPr>
          <w:b/>
        </w:rPr>
        <w:t xml:space="preserve"> Recall </w:t>
      </w:r>
      <w:r>
        <w:rPr>
          <w:b/>
        </w:rPr>
        <w:t>僅為</w:t>
      </w:r>
      <w:r>
        <w:rPr>
          <w:b/>
        </w:rPr>
        <w:t xml:space="preserve"> 0.081</w:t>
      </w:r>
      <w:r>
        <w:rPr>
          <w:b/>
        </w:rPr>
        <w:t>，表示實際勝訴案件中，只有極少比例能被模型成功辨識。換言之，民事案件模型雖然整體</w:t>
      </w:r>
      <w:r>
        <w:rPr>
          <w:b/>
        </w:rPr>
        <w:t xml:space="preserve"> Accuracy </w:t>
      </w:r>
      <w:r>
        <w:rPr>
          <w:b/>
        </w:rPr>
        <w:t>達</w:t>
      </w:r>
      <w:r>
        <w:rPr>
          <w:b/>
        </w:rPr>
        <w:t xml:space="preserve"> 0.680</w:t>
      </w:r>
      <w:r>
        <w:rPr>
          <w:b/>
        </w:rPr>
        <w:t>，且高於</w:t>
      </w:r>
      <w:r>
        <w:rPr>
          <w:b/>
        </w:rPr>
        <w:t xml:space="preserve"> Majority Class baseline</w:t>
      </w:r>
      <w:r>
        <w:rPr>
          <w:b/>
        </w:rPr>
        <w:t>，但其分類能力主要來自</w:t>
      </w:r>
      <w:r>
        <w:rPr>
          <w:b/>
        </w:rPr>
        <w:t xml:space="preserve"> Lose </w:t>
      </w:r>
      <w:r>
        <w:rPr>
          <w:b/>
        </w:rPr>
        <w:t>類別；對於</w:t>
      </w:r>
      <w:r>
        <w:rPr>
          <w:b/>
        </w:rPr>
        <w:t xml:space="preserve"> Mixed </w:t>
      </w:r>
      <w:r>
        <w:rPr>
          <w:b/>
        </w:rPr>
        <w:t>與</w:t>
      </w:r>
      <w:r>
        <w:rPr>
          <w:b/>
        </w:rPr>
        <w:t xml:space="preserve"> Win </w:t>
      </w:r>
      <w:r>
        <w:rPr>
          <w:b/>
        </w:rPr>
        <w:t>這兩類較少數且語意界線可能較模糊的裁判結果，模型仍存在明顯辨識限制。</w:t>
      </w:r>
    </w:p>
    <w:p w14:paraId="573FAE72" w14:textId="77777777" w:rsidR="00641412" w:rsidRDefault="00000000">
      <w:pPr>
        <w:spacing w:before="120" w:after="60" w:line="276" w:lineRule="auto"/>
        <w:jc w:val="center"/>
      </w:pPr>
      <w:r>
        <w:rPr>
          <w:b/>
        </w:rPr>
        <w:t>表</w:t>
      </w:r>
      <w:r>
        <w:rPr>
          <w:b/>
        </w:rPr>
        <w:t xml:space="preserve"> 4-8 </w:t>
      </w:r>
      <w:r>
        <w:rPr>
          <w:b/>
        </w:rPr>
        <w:t>各資料集最佳</w:t>
      </w:r>
      <w:r>
        <w:rPr>
          <w:b/>
        </w:rPr>
        <w:t xml:space="preserve"> Direct SVM </w:t>
      </w:r>
      <w:r>
        <w:rPr>
          <w:b/>
        </w:rPr>
        <w:t>模型之類別</w:t>
      </w:r>
      <w:r>
        <w:rPr>
          <w:b/>
        </w:rPr>
        <w:t xml:space="preserve"> F1 </w:t>
      </w:r>
      <w:r>
        <w:rPr>
          <w:b/>
        </w:rPr>
        <w:t>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730"/>
        <w:gridCol w:w="1808"/>
        <w:gridCol w:w="1837"/>
        <w:gridCol w:w="1808"/>
        <w:gridCol w:w="1843"/>
      </w:tblGrid>
      <w:tr w:rsidR="00641412" w14:paraId="5434A7BE" w14:textId="77777777">
        <w:trPr>
          <w:tblHeader/>
          <w:jc w:val="center"/>
        </w:trPr>
        <w:tc>
          <w:tcPr>
            <w:tcW w:w="2093" w:type="dxa"/>
            <w:shd w:val="clear" w:color="auto" w:fill="D9EA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1"/>
              </w:rPr>
              <w:t>Lose F1</w:t>
            </w:r>
          </w:p>
        </w:tc>
        <w:tc>
          <w:tcPr>
            <w:tcW w:w="2093" w:type="dxa"/>
            <w:shd w:val="clear" w:color="auto" w:fill="D9EA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1"/>
              </w:rPr>
              <w:t>Mixed F1</w:t>
            </w:r>
          </w:p>
        </w:tc>
        <w:tc>
          <w:tcPr>
            <w:tcW w:w="2093" w:type="dxa"/>
            <w:shd w:val="clear" w:color="auto" w:fill="D9EA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1"/>
              </w:rPr>
              <w:t>Win F1</w:t>
            </w:r>
          </w:p>
        </w:tc>
        <w:tc>
          <w:tcPr>
            <w:tcW w:w="2093" w:type="dxa"/>
            <w:shd w:val="clear" w:color="auto" w:fill="D9EA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1"/>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right"/>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right"/>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right"/>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right"/>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right"/>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right"/>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right"/>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right"/>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right"/>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right"/>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right"/>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right"/>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right"/>
            </w:pPr>
            <w:r>
              <w:rPr>
                <w:sz w:val="21"/>
              </w:rPr>
              <w:t>0.654</w:t>
            </w:r>
          </w:p>
        </w:tc>
      </w:tr>
    </w:tbl>
    <w:p w14:paraId="6B6AE1E4" w14:textId="77777777" w:rsidR="00641412" w:rsidRDefault="00000000">
      <w:pPr>
        <w:spacing w:before="120" w:after="60" w:line="276" w:lineRule="auto"/>
        <w:jc w:val="center"/>
      </w:pPr>
      <w:r>
        <w:rPr>
          <w:b/>
        </w:rPr>
        <w:t>表</w:t>
      </w:r>
      <w:r>
        <w:rPr>
          <w:b/>
        </w:rPr>
        <w:t xml:space="preserve"> 4-8 </w:t>
      </w:r>
      <w:r>
        <w:rPr>
          <w:b/>
        </w:rPr>
        <w:t>進一步摘要各資料集最佳</w:t>
      </w:r>
      <w:r>
        <w:rPr>
          <w:b/>
        </w:rPr>
        <w:t xml:space="preserve"> Direct SVM </w:t>
      </w:r>
      <w:r>
        <w:rPr>
          <w:b/>
        </w:rPr>
        <w:t>模型之類別</w:t>
      </w:r>
      <w:r>
        <w:rPr>
          <w:b/>
        </w:rPr>
        <w:t xml:space="preserve"> F1</w:t>
      </w:r>
      <w:r>
        <w:rPr>
          <w:b/>
        </w:rPr>
        <w:t>。結果顯示，少數類別辨識不足並非僅出現在民事案件，而是存在於多數資料集。行政、民事與刑事附帶民事資料集的</w:t>
      </w:r>
      <w:r>
        <w:rPr>
          <w:b/>
        </w:rPr>
        <w:t xml:space="preserve"> Win </w:t>
      </w:r>
      <w:r>
        <w:rPr>
          <w:b/>
        </w:rPr>
        <w:t>類別</w:t>
      </w:r>
      <w:r>
        <w:rPr>
          <w:b/>
        </w:rPr>
        <w:t xml:space="preserve"> F1 </w:t>
      </w:r>
      <w:r>
        <w:rPr>
          <w:b/>
        </w:rPr>
        <w:t>分別僅為</w:t>
      </w:r>
      <w:r>
        <w:rPr>
          <w:b/>
        </w:rPr>
        <w:t xml:space="preserve"> 0.119</w:t>
      </w:r>
      <w:r>
        <w:rPr>
          <w:b/>
        </w:rPr>
        <w:t>、</w:t>
      </w:r>
      <w:r>
        <w:rPr>
          <w:b/>
        </w:rPr>
        <w:t xml:space="preserve">0.130 </w:t>
      </w:r>
      <w:r>
        <w:rPr>
          <w:b/>
        </w:rPr>
        <w:t>與</w:t>
      </w:r>
      <w:r>
        <w:rPr>
          <w:b/>
        </w:rPr>
        <w:t xml:space="preserve"> 0.250</w:t>
      </w:r>
      <w:r>
        <w:rPr>
          <w:b/>
        </w:rPr>
        <w:t>；刑事資料集雖然</w:t>
      </w:r>
      <w:r>
        <w:rPr>
          <w:b/>
        </w:rPr>
        <w:t xml:space="preserve"> Win </w:t>
      </w:r>
      <w:r>
        <w:rPr>
          <w:b/>
        </w:rPr>
        <w:t>類別</w:t>
      </w:r>
      <w:r>
        <w:rPr>
          <w:b/>
        </w:rPr>
        <w:t xml:space="preserve"> F1 </w:t>
      </w:r>
      <w:r>
        <w:rPr>
          <w:b/>
        </w:rPr>
        <w:t>較高，達</w:t>
      </w:r>
      <w:r>
        <w:rPr>
          <w:b/>
        </w:rPr>
        <w:t xml:space="preserve"> 0.591</w:t>
      </w:r>
      <w:r>
        <w:rPr>
          <w:b/>
        </w:rPr>
        <w:t>，但</w:t>
      </w:r>
      <w:r>
        <w:rPr>
          <w:b/>
        </w:rPr>
        <w:t xml:space="preserve"> Mixed </w:t>
      </w:r>
      <w:r>
        <w:rPr>
          <w:b/>
        </w:rPr>
        <w:t>類別</w:t>
      </w:r>
      <w:r>
        <w:rPr>
          <w:b/>
        </w:rPr>
        <w:t xml:space="preserve"> F1 </w:t>
      </w:r>
      <w:r>
        <w:rPr>
          <w:b/>
        </w:rPr>
        <w:t>僅為</w:t>
      </w:r>
      <w:r>
        <w:rPr>
          <w:b/>
        </w:rPr>
        <w:t xml:space="preserve"> 0.167</w:t>
      </w:r>
      <w:r>
        <w:rPr>
          <w:b/>
        </w:rPr>
        <w:t>。這表示不同案件類</w:t>
      </w:r>
      <w:r>
        <w:rPr>
          <w:b/>
        </w:rPr>
        <w:lastRenderedPageBreak/>
        <w:t>型的困難類別並不完全相同，但整體而言，模型對樣本數較少或語意特徵較不明顯的裁判結果類別仍較難辨識。</w:t>
      </w:r>
    </w:p>
    <w:p w14:paraId="7E68EAE0" w14:textId="77777777" w:rsidR="00641412" w:rsidRDefault="00000000">
      <w:pPr>
        <w:spacing w:line="276" w:lineRule="auto"/>
        <w:ind w:firstLine="480"/>
      </w:pPr>
      <w:r>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t xml:space="preserve"> class weighting</w:t>
      </w:r>
      <w:r>
        <w:t>、</w:t>
      </w:r>
      <w:r>
        <w:t>resampling</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MNIR+SVM </w:t>
      </w:r>
      <w:r>
        <w:t>未相較</w:t>
      </w:r>
      <w:r>
        <w:t xml:space="preserve"> Direct SVM </w:t>
      </w:r>
      <w:r>
        <w:t>帶來額外增益。四類資料集中，</w:t>
      </w:r>
      <w:r>
        <w:t xml:space="preserve">Direct SVM </w:t>
      </w:r>
      <w:r>
        <w:t>皆取得高於</w:t>
      </w:r>
      <w:r>
        <w:t xml:space="preserve"> MNIR+SVM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t>不同文字特徵表示方面，</w:t>
      </w:r>
      <w:r>
        <w:t>BoW</w:t>
      </w:r>
      <w:r>
        <w:t>、</w:t>
      </w:r>
      <w:r>
        <w:t xml:space="preserve">TF </w:t>
      </w:r>
      <w:r>
        <w:t>與</w:t>
      </w:r>
      <w:r>
        <w:t xml:space="preserve"> TF-IDF </w:t>
      </w:r>
      <w:r>
        <w:t>並無單一方法在所有資料集皆最佳。行政與刑事附帶民事資料集以</w:t>
      </w:r>
      <w:r>
        <w:t xml:space="preserve"> BoW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77777777" w:rsidR="00970794" w:rsidRPr="00970794" w:rsidRDefault="00970794" w:rsidP="00970794">
      <w:pPr>
        <w:widowControl/>
        <w:rPr>
          <w:rFonts w:cs="Times New Roman"/>
          <w:b/>
          <w:bCs/>
          <w:sz w:val="28"/>
          <w:szCs w:val="28"/>
        </w:rPr>
      </w:pPr>
      <w:r w:rsidRPr="00970794">
        <w:rPr>
          <w:rFonts w:cs="Times New Roman"/>
          <w:b/>
          <w:bCs/>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970794" w:rsidRDefault="00970794" w:rsidP="00970794">
      <w:pPr>
        <w:widowControl/>
        <w:rPr>
          <w:rFonts w:cs="Times New Roman"/>
          <w:b/>
          <w:bCs/>
          <w:sz w:val="28"/>
          <w:szCs w:val="28"/>
        </w:rPr>
      </w:pPr>
      <w:r w:rsidRPr="00970794">
        <w:rPr>
          <w:rFonts w:cs="Times New Roman"/>
          <w:b/>
          <w:bCs/>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970794" w:rsidRDefault="00970794" w:rsidP="00970794">
      <w:pPr>
        <w:widowControl/>
        <w:rPr>
          <w:rFonts w:cs="Times New Roman"/>
          <w:b/>
          <w:bCs/>
          <w:sz w:val="28"/>
          <w:szCs w:val="28"/>
        </w:rPr>
      </w:pPr>
      <w:r w:rsidRPr="00970794">
        <w:rPr>
          <w:rFonts w:cs="Times New Roman"/>
          <w:b/>
          <w:bCs/>
          <w:szCs w:val="28"/>
        </w:rPr>
        <w:t>本研究首先以</w:t>
      </w:r>
      <w:r w:rsidRPr="00970794">
        <w:rPr>
          <w:rFonts w:cs="Times New Roman"/>
          <w:b/>
          <w:bCs/>
          <w:szCs w:val="28"/>
        </w:rPr>
        <w:t xml:space="preserve"> Chi-square + MNIR + SVM </w:t>
      </w:r>
      <w:r w:rsidRPr="00970794">
        <w:rPr>
          <w:rFonts w:cs="Times New Roman"/>
          <w:b/>
          <w:bCs/>
          <w:szCs w:val="28"/>
        </w:rPr>
        <w:t>作為核心技術流程，目的在於檢驗</w:t>
      </w:r>
      <w:r w:rsidRPr="00970794">
        <w:rPr>
          <w:rFonts w:cs="Times New Roman"/>
          <w:b/>
          <w:bCs/>
          <w:szCs w:val="28"/>
        </w:rPr>
        <w:t xml:space="preserve"> MNIR </w:t>
      </w:r>
      <w:r w:rsidRPr="00970794">
        <w:rPr>
          <w:rFonts w:cs="Times New Roman"/>
          <w:b/>
          <w:bCs/>
          <w:szCs w:val="28"/>
        </w:rPr>
        <w:t>監督式特徵轉換是否能將高維法律文本特徵轉換為較具判別力的低維表示，進而改善裁判結果分類。然而，實證結果顯示，在本研究資料、標籤設定與超參數範圍下，</w:t>
      </w:r>
      <w:r w:rsidRPr="00970794">
        <w:rPr>
          <w:rFonts w:cs="Times New Roman"/>
          <w:b/>
          <w:bCs/>
          <w:szCs w:val="28"/>
        </w:rPr>
        <w:t xml:space="preserve">MNIR+SVM </w:t>
      </w:r>
      <w:r w:rsidRPr="00970794">
        <w:rPr>
          <w:rFonts w:cs="Times New Roman"/>
          <w:b/>
          <w:bCs/>
          <w:szCs w:val="28"/>
        </w:rPr>
        <w:t>雖可形成一套可執行的分類流程，但未相較於</w:t>
      </w:r>
      <w:r w:rsidRPr="00970794">
        <w:rPr>
          <w:rFonts w:cs="Times New Roman"/>
          <w:b/>
          <w:bCs/>
          <w:szCs w:val="28"/>
        </w:rPr>
        <w:t xml:space="preserve"> Chi-square + Direct SVM </w:t>
      </w:r>
      <w:r w:rsidRPr="00970794">
        <w:rPr>
          <w:rFonts w:cs="Times New Roman"/>
          <w:b/>
          <w:bCs/>
          <w:szCs w:val="28"/>
        </w:rPr>
        <w:t>取得更佳表現。四類案件資料集中，</w:t>
      </w:r>
      <w:r w:rsidRPr="00970794">
        <w:rPr>
          <w:rFonts w:cs="Times New Roman"/>
          <w:b/>
          <w:bCs/>
          <w:szCs w:val="28"/>
        </w:rPr>
        <w:t xml:space="preserve">Direct SVM </w:t>
      </w:r>
      <w:r w:rsidRPr="00970794">
        <w:rPr>
          <w:rFonts w:cs="Times New Roman"/>
          <w:b/>
          <w:bCs/>
          <w:szCs w:val="28"/>
        </w:rPr>
        <w:t>的</w:t>
      </w:r>
      <w:r w:rsidRPr="00970794">
        <w:rPr>
          <w:rFonts w:cs="Times New Roman"/>
          <w:b/>
          <w:bCs/>
          <w:szCs w:val="28"/>
        </w:rPr>
        <w:t xml:space="preserve"> Macro F1 </w:t>
      </w:r>
      <w:r w:rsidRPr="00970794">
        <w:rPr>
          <w:rFonts w:cs="Times New Roman"/>
          <w:b/>
          <w:bCs/>
          <w:szCs w:val="28"/>
        </w:rPr>
        <w:t>皆高於</w:t>
      </w:r>
      <w:r w:rsidRPr="00970794">
        <w:rPr>
          <w:rFonts w:cs="Times New Roman"/>
          <w:b/>
          <w:bCs/>
          <w:szCs w:val="28"/>
        </w:rPr>
        <w:t xml:space="preserve"> MNIR+SVM</w:t>
      </w:r>
      <w:r w:rsidRPr="00970794">
        <w:rPr>
          <w:rFonts w:cs="Times New Roman"/>
          <w:b/>
          <w:bCs/>
          <w:szCs w:val="28"/>
        </w:rPr>
        <w:t>，顯示卡方特徵選擇後的稀疏文字特徵已保留相當程度與裁判結果相關的分類訊息。因此，本研究並不將此結果解讀為</w:t>
      </w:r>
      <w:r w:rsidRPr="00970794">
        <w:rPr>
          <w:rFonts w:cs="Times New Roman"/>
          <w:b/>
          <w:bCs/>
          <w:szCs w:val="28"/>
        </w:rPr>
        <w:t xml:space="preserve"> MNIR </w:t>
      </w:r>
      <w:r w:rsidRPr="00970794">
        <w:rPr>
          <w:rFonts w:cs="Times New Roman"/>
          <w:b/>
          <w:bCs/>
          <w:szCs w:val="28"/>
        </w:rPr>
        <w:t>方法本身無效，而是指出在本研究任務中，直接使用篩選後之高維稀疏詞彙特徵，反而較能保留分類所需訊息。</w:t>
      </w:r>
    </w:p>
    <w:p w14:paraId="57CE46E7" w14:textId="77777777" w:rsidR="00970794" w:rsidRPr="00970794" w:rsidRDefault="00970794" w:rsidP="00970794">
      <w:pPr>
        <w:widowControl/>
        <w:rPr>
          <w:rFonts w:cs="Times New Roman"/>
          <w:b/>
          <w:bCs/>
          <w:sz w:val="28"/>
          <w:szCs w:val="28"/>
        </w:rPr>
      </w:pPr>
      <w:r w:rsidRPr="00970794">
        <w:rPr>
          <w:rFonts w:cs="Times New Roman"/>
          <w:b/>
          <w:bCs/>
          <w:szCs w:val="28"/>
        </w:rPr>
        <w:lastRenderedPageBreak/>
        <w:t>其次，不同文字特徵表示在不同案件類型下呈現不同效果。</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並無單一方法在所有案件類型中皆為最佳。行政與刑事附帶民事案件中，</w:t>
      </w:r>
      <w:proofErr w:type="spellStart"/>
      <w:r w:rsidRPr="00970794">
        <w:rPr>
          <w:rFonts w:cs="Times New Roman"/>
          <w:b/>
          <w:bCs/>
          <w:szCs w:val="28"/>
        </w:rPr>
        <w:t>BoW</w:t>
      </w:r>
      <w:proofErr w:type="spellEnd"/>
      <w:r w:rsidRPr="00970794">
        <w:rPr>
          <w:rFonts w:cs="Times New Roman"/>
          <w:b/>
          <w:bCs/>
          <w:szCs w:val="28"/>
        </w:rPr>
        <w:t xml:space="preserve"> </w:t>
      </w:r>
      <w:r w:rsidRPr="00970794">
        <w:rPr>
          <w:rFonts w:cs="Times New Roman"/>
          <w:b/>
          <w:bCs/>
          <w:szCs w:val="28"/>
        </w:rPr>
        <w:t>表現相對較佳；民事案件中，</w:t>
      </w:r>
      <w:r w:rsidRPr="00970794">
        <w:rPr>
          <w:rFonts w:cs="Times New Roman"/>
          <w:b/>
          <w:bCs/>
          <w:szCs w:val="28"/>
        </w:rPr>
        <w:t xml:space="preserve">TF-IDF </w:t>
      </w:r>
      <w:r w:rsidRPr="00970794">
        <w:rPr>
          <w:rFonts w:cs="Times New Roman"/>
          <w:b/>
          <w:bCs/>
          <w:szCs w:val="28"/>
        </w:rPr>
        <w:t>表現相對較佳；刑事案件中，</w:t>
      </w:r>
      <w:r w:rsidRPr="00970794">
        <w:rPr>
          <w:rFonts w:cs="Times New Roman"/>
          <w:b/>
          <w:bCs/>
          <w:szCs w:val="28"/>
        </w:rPr>
        <w:t xml:space="preserve">TF </w:t>
      </w:r>
      <w:r w:rsidRPr="00970794">
        <w:rPr>
          <w:rFonts w:cs="Times New Roman"/>
          <w:b/>
          <w:bCs/>
          <w:szCs w:val="28"/>
        </w:rPr>
        <w:t>表現相對較佳。此結果說明，法律文本分類不宜預設某一種文字表示必然優於其他方法，而應依案件類型、文本結構與詞彙分布進行比較。</w:t>
      </w:r>
    </w:p>
    <w:p w14:paraId="1F82E349" w14:textId="77777777" w:rsidR="00970794" w:rsidRPr="00970794" w:rsidRDefault="00970794" w:rsidP="00970794">
      <w:pPr>
        <w:widowControl/>
        <w:rPr>
          <w:rFonts w:cs="Times New Roman"/>
          <w:b/>
          <w:bCs/>
          <w:sz w:val="28"/>
          <w:szCs w:val="28"/>
        </w:rPr>
      </w:pPr>
      <w:r w:rsidRPr="00970794">
        <w:rPr>
          <w:rFonts w:cs="Times New Roman"/>
          <w:b/>
          <w:bCs/>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樣本被誤判為</w:t>
      </w:r>
      <w:r w:rsidRPr="00970794">
        <w:rPr>
          <w:rFonts w:cs="Times New Roman"/>
          <w:b/>
          <w:bCs/>
          <w:szCs w:val="28"/>
        </w:rPr>
        <w:t xml:space="preserve"> Lose</w:t>
      </w:r>
      <w:r w:rsidRPr="00970794">
        <w:rPr>
          <w:rFonts w:cs="Times New Roman"/>
          <w:b/>
          <w:bCs/>
          <w:szCs w:val="28"/>
        </w:rPr>
        <w:t>，表示模型仍有偏向多數類別的傾向。此結果說明，即使模型整體</w:t>
      </w:r>
      <w:r w:rsidRPr="00970794">
        <w:rPr>
          <w:rFonts w:cs="Times New Roman"/>
          <w:b/>
          <w:bCs/>
          <w:szCs w:val="28"/>
        </w:rPr>
        <w:t xml:space="preserve"> Accuracy </w:t>
      </w:r>
      <w:r w:rsidRPr="00970794">
        <w:rPr>
          <w:rFonts w:cs="Times New Roman"/>
          <w:b/>
          <w:bCs/>
          <w:szCs w:val="28"/>
        </w:rPr>
        <w:t>與</w:t>
      </w:r>
      <w:r w:rsidRPr="00970794">
        <w:rPr>
          <w:rFonts w:cs="Times New Roman"/>
          <w:b/>
          <w:bCs/>
          <w:szCs w:val="28"/>
        </w:rPr>
        <w:t xml:space="preserve"> Macro F1 </w:t>
      </w:r>
      <w:r w:rsidRPr="00970794">
        <w:rPr>
          <w:rFonts w:cs="Times New Roman"/>
          <w:b/>
          <w:bCs/>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5.2 </w:t>
      </w:r>
      <w:r w:rsidRPr="00970794">
        <w:rPr>
          <w:rFonts w:ascii="Times New Roman" w:eastAsia="標楷體" w:hAnsi="Times New Roman" w:cs="Times New Roman"/>
          <w:bCs/>
          <w:szCs w:val="28"/>
        </w:rPr>
        <w:t>研究貢獻</w:t>
      </w:r>
    </w:p>
    <w:p w14:paraId="35E585CE" w14:textId="77777777" w:rsidR="00970794" w:rsidRPr="00970794" w:rsidRDefault="00970794" w:rsidP="00970794">
      <w:pPr>
        <w:widowControl/>
        <w:rPr>
          <w:rFonts w:cs="Times New Roman"/>
          <w:b/>
          <w:bCs/>
          <w:sz w:val="28"/>
          <w:szCs w:val="28"/>
        </w:rPr>
      </w:pPr>
      <w:r w:rsidRPr="00970794">
        <w:rPr>
          <w:rFonts w:cs="Times New Roman"/>
          <w:b/>
          <w:bCs/>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970794" w:rsidRDefault="00970794" w:rsidP="00970794">
      <w:pPr>
        <w:widowControl/>
        <w:rPr>
          <w:rFonts w:cs="Times New Roman"/>
          <w:b/>
          <w:bCs/>
          <w:sz w:val="28"/>
          <w:szCs w:val="28"/>
        </w:rPr>
      </w:pPr>
      <w:r w:rsidRPr="00970794">
        <w:rPr>
          <w:rFonts w:cs="Times New Roman"/>
          <w:b/>
          <w:bCs/>
          <w:szCs w:val="28"/>
        </w:rPr>
        <w:t>第二，本研究提供</w:t>
      </w:r>
      <w:r w:rsidRPr="00970794">
        <w:rPr>
          <w:rFonts w:cs="Times New Roman"/>
          <w:b/>
          <w:bCs/>
          <w:szCs w:val="28"/>
        </w:rPr>
        <w:t xml:space="preserve"> MNIR </w:t>
      </w:r>
      <w:r w:rsidRPr="00970794">
        <w:rPr>
          <w:rFonts w:cs="Times New Roman"/>
          <w:b/>
          <w:bCs/>
          <w:szCs w:val="28"/>
        </w:rPr>
        <w:t>監督式特徵轉換應用於中文智慧財產權判決文本分類任務之實證檢驗。</w:t>
      </w:r>
      <w:r w:rsidRPr="00970794">
        <w:rPr>
          <w:rFonts w:cs="Times New Roman"/>
          <w:b/>
          <w:bCs/>
          <w:szCs w:val="28"/>
        </w:rPr>
        <w:t xml:space="preserve">MNIR </w:t>
      </w:r>
      <w:r w:rsidRPr="00970794">
        <w:rPr>
          <w:rFonts w:cs="Times New Roman"/>
          <w:b/>
          <w:bCs/>
          <w:szCs w:val="28"/>
        </w:rPr>
        <w:t>理論上可將高維文本資料轉換為與裁判結果相關的低維表徵，進而作為下游分類模型之輸入。然而，本研究結果顯示，在卡方特徵選擇已先行保留高關聯詞彙的情況下，</w:t>
      </w:r>
      <w:r w:rsidRPr="00970794">
        <w:rPr>
          <w:rFonts w:cs="Times New Roman"/>
          <w:b/>
          <w:bCs/>
          <w:szCs w:val="28"/>
        </w:rPr>
        <w:t xml:space="preserve">MNIR+SVM </w:t>
      </w:r>
      <w:r w:rsidRPr="00970794">
        <w:rPr>
          <w:rFonts w:cs="Times New Roman"/>
          <w:b/>
          <w:bCs/>
          <w:szCs w:val="28"/>
        </w:rPr>
        <w:t>未相較於</w:t>
      </w:r>
      <w:r w:rsidRPr="00970794">
        <w:rPr>
          <w:rFonts w:cs="Times New Roman"/>
          <w:b/>
          <w:bCs/>
          <w:szCs w:val="28"/>
        </w:rPr>
        <w:t xml:space="preserve"> Direct SVM </w:t>
      </w:r>
      <w:r w:rsidRPr="00970794">
        <w:rPr>
          <w:rFonts w:cs="Times New Roman"/>
          <w:b/>
          <w:bCs/>
          <w:szCs w:val="28"/>
        </w:rPr>
        <w:t>取得較佳</w:t>
      </w:r>
      <w:r w:rsidRPr="00970794">
        <w:rPr>
          <w:rFonts w:cs="Times New Roman"/>
          <w:b/>
          <w:bCs/>
          <w:szCs w:val="28"/>
        </w:rPr>
        <w:t xml:space="preserve"> Macro F1</w:t>
      </w:r>
      <w:r w:rsidRPr="00970794">
        <w:rPr>
          <w:rFonts w:cs="Times New Roman"/>
          <w:b/>
          <w:bCs/>
          <w:szCs w:val="28"/>
        </w:rPr>
        <w:t>。此結果並不表示</w:t>
      </w:r>
      <w:r w:rsidRPr="00970794">
        <w:rPr>
          <w:rFonts w:cs="Times New Roman"/>
          <w:b/>
          <w:bCs/>
          <w:szCs w:val="28"/>
        </w:rPr>
        <w:t xml:space="preserve"> MNIR </w:t>
      </w:r>
      <w:r w:rsidRPr="00970794">
        <w:rPr>
          <w:rFonts w:cs="Times New Roman"/>
          <w:b/>
          <w:bCs/>
          <w:szCs w:val="28"/>
        </w:rPr>
        <w:t>在所有法律文本任務中皆無效，而是指出在本研究資料、標籤設定與</w:t>
      </w:r>
      <w:r w:rsidRPr="00970794">
        <w:rPr>
          <w:rFonts w:cs="Times New Roman"/>
          <w:b/>
          <w:bCs/>
          <w:szCs w:val="28"/>
        </w:rPr>
        <w:lastRenderedPageBreak/>
        <w:t>超參數範圍下，直接使用卡方篩選後之稀疏文字特徵，反而較能保留分類所需訊息。此發現可作為後續研究選擇特徵轉換方法與建立對照模型時之參考。</w:t>
      </w:r>
    </w:p>
    <w:p w14:paraId="73272CE7" w14:textId="77777777" w:rsidR="00970794" w:rsidRPr="00970794" w:rsidRDefault="00970794" w:rsidP="00970794">
      <w:pPr>
        <w:widowControl/>
        <w:rPr>
          <w:rFonts w:cs="Times New Roman"/>
          <w:b/>
          <w:bCs/>
          <w:sz w:val="28"/>
          <w:szCs w:val="28"/>
        </w:rPr>
      </w:pPr>
      <w:r w:rsidRPr="00970794">
        <w:rPr>
          <w:rFonts w:cs="Times New Roman"/>
          <w:b/>
          <w:bCs/>
          <w:szCs w:val="28"/>
        </w:rPr>
        <w:t>第三，本研究透過</w:t>
      </w:r>
      <w:r w:rsidRPr="00970794">
        <w:rPr>
          <w:rFonts w:cs="Times New Roman"/>
          <w:b/>
          <w:bCs/>
          <w:szCs w:val="28"/>
        </w:rPr>
        <w:t xml:space="preserve"> Direct SVM </w:t>
      </w:r>
      <w:r w:rsidRPr="00970794">
        <w:rPr>
          <w:rFonts w:cs="Times New Roman"/>
          <w:b/>
          <w:bCs/>
          <w:szCs w:val="28"/>
        </w:rPr>
        <w:t>對照流程，說明傳統稀疏文字特徵模型在法律文本分類中仍具有重要基準價值。實證結果顯示，經卡方特徵選擇後之</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特徵，在不同案件類型中呈現不同表現，且</w:t>
      </w:r>
      <w:r w:rsidRPr="00970794">
        <w:rPr>
          <w:rFonts w:cs="Times New Roman"/>
          <w:b/>
          <w:bCs/>
          <w:szCs w:val="28"/>
        </w:rPr>
        <w:t xml:space="preserve"> Direct SVM </w:t>
      </w:r>
      <w:r w:rsidRPr="00970794">
        <w:rPr>
          <w:rFonts w:cs="Times New Roman"/>
          <w:b/>
          <w:bCs/>
          <w:szCs w:val="28"/>
        </w:rPr>
        <w:t>在四類案件中皆高於</w:t>
      </w:r>
      <w:r w:rsidRPr="00970794">
        <w:rPr>
          <w:rFonts w:cs="Times New Roman"/>
          <w:b/>
          <w:bCs/>
          <w:szCs w:val="28"/>
        </w:rPr>
        <w:t xml:space="preserve"> Majority Class baseline</w:t>
      </w:r>
      <w:r w:rsidRPr="00970794">
        <w:rPr>
          <w:rFonts w:cs="Times New Roman"/>
          <w:b/>
          <w:bCs/>
          <w:szCs w:val="28"/>
        </w:rPr>
        <w:t>。這表示在導入更複雜之特徵轉換或語意模型前，仍有必要先建立經過調參與特徵選擇的傳統模型作為比較基準，避免高估複雜模型的實際增益。</w:t>
      </w:r>
    </w:p>
    <w:p w14:paraId="40F281B2" w14:textId="77777777" w:rsidR="00970794" w:rsidRPr="00970794" w:rsidRDefault="00970794" w:rsidP="00970794">
      <w:pPr>
        <w:widowControl/>
        <w:rPr>
          <w:rFonts w:cs="Times New Roman"/>
          <w:b/>
          <w:bCs/>
          <w:sz w:val="28"/>
          <w:szCs w:val="28"/>
        </w:rPr>
      </w:pPr>
      <w:r w:rsidRPr="00970794">
        <w:rPr>
          <w:rFonts w:cs="Times New Roman"/>
          <w:b/>
          <w:bCs/>
          <w:szCs w:val="28"/>
        </w:rPr>
        <w:t>第四，本研究以</w:t>
      </w:r>
      <w:r w:rsidRPr="00970794">
        <w:rPr>
          <w:rFonts w:cs="Times New Roman"/>
          <w:b/>
          <w:bCs/>
          <w:szCs w:val="28"/>
        </w:rPr>
        <w:t xml:space="preserve"> Macro F1</w:t>
      </w:r>
      <w:r w:rsidRPr="00970794">
        <w:rPr>
          <w:rFonts w:cs="Times New Roman"/>
          <w:b/>
          <w:bCs/>
          <w:szCs w:val="28"/>
        </w:rPr>
        <w:t>、分類報告與混淆矩陣揭示類別不平衡對判決結果分類的影響。若僅觀察</w:t>
      </w:r>
      <w:r w:rsidRPr="00970794">
        <w:rPr>
          <w:rFonts w:cs="Times New Roman"/>
          <w:b/>
          <w:bCs/>
          <w:szCs w:val="28"/>
        </w:rPr>
        <w:t xml:space="preserve"> Accuracy</w:t>
      </w:r>
      <w:r w:rsidRPr="00970794">
        <w:rPr>
          <w:rFonts w:cs="Times New Roman"/>
          <w:b/>
          <w:bCs/>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5.3 </w:t>
      </w:r>
      <w:r w:rsidRPr="00970794">
        <w:rPr>
          <w:rFonts w:ascii="Times New Roman" w:eastAsia="標楷體" w:hAnsi="Times New Roman" w:cs="Times New Roman"/>
          <w:bCs/>
          <w:szCs w:val="28"/>
        </w:rPr>
        <w:t>研究限制</w:t>
      </w:r>
    </w:p>
    <w:p w14:paraId="1A9179BB" w14:textId="77777777" w:rsidR="00970794" w:rsidRPr="00970794" w:rsidRDefault="00970794" w:rsidP="00970794">
      <w:pPr>
        <w:widowControl/>
        <w:rPr>
          <w:rFonts w:cs="Times New Roman"/>
          <w:b/>
          <w:bCs/>
          <w:sz w:val="28"/>
          <w:szCs w:val="28"/>
        </w:rPr>
      </w:pPr>
      <w:r w:rsidRPr="00970794">
        <w:rPr>
          <w:rFonts w:cs="Times New Roman"/>
          <w:b/>
          <w:bCs/>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970794" w:rsidRDefault="00970794" w:rsidP="00970794">
      <w:pPr>
        <w:widowControl/>
        <w:rPr>
          <w:rFonts w:cs="Times New Roman"/>
          <w:b/>
          <w:bCs/>
          <w:sz w:val="28"/>
          <w:szCs w:val="28"/>
        </w:rPr>
      </w:pPr>
      <w:r w:rsidRPr="00970794">
        <w:rPr>
          <w:rFonts w:cs="Times New Roman"/>
          <w:b/>
          <w:bCs/>
          <w:szCs w:val="28"/>
        </w:rPr>
        <w:t>第二，本研究資料存在明顯類別不平衡。部分案件類型中，勝訴或部分勝訴樣本數相對較少，使模型較容易偏向預測敗訴類別。即使本研究以</w:t>
      </w:r>
      <w:r w:rsidRPr="00970794">
        <w:rPr>
          <w:rFonts w:cs="Times New Roman"/>
          <w:b/>
          <w:bCs/>
          <w:szCs w:val="28"/>
        </w:rPr>
        <w:t xml:space="preserve"> Macro F1 </w:t>
      </w:r>
      <w:r w:rsidRPr="00970794">
        <w:rPr>
          <w:rFonts w:cs="Times New Roman"/>
          <w:b/>
          <w:bCs/>
          <w:szCs w:val="28"/>
        </w:rPr>
        <w:t>作為主要評估指標，仍無法完全解決少數類別資料不足所造成的學習限制。尤其在民事案件錯誤分析中，</w:t>
      </w:r>
      <w:r w:rsidRPr="00970794">
        <w:rPr>
          <w:rFonts w:cs="Times New Roman"/>
          <w:b/>
          <w:bCs/>
          <w:szCs w:val="28"/>
        </w:rPr>
        <w:t xml:space="preserve">Win </w:t>
      </w:r>
      <w:r w:rsidRPr="00970794">
        <w:rPr>
          <w:rFonts w:cs="Times New Roman"/>
          <w:b/>
          <w:bCs/>
          <w:szCs w:val="28"/>
        </w:rPr>
        <w:t>類別</w:t>
      </w:r>
      <w:r w:rsidRPr="00970794">
        <w:rPr>
          <w:rFonts w:cs="Times New Roman"/>
          <w:b/>
          <w:bCs/>
          <w:szCs w:val="28"/>
        </w:rPr>
        <w:t xml:space="preserve"> recall </w:t>
      </w:r>
      <w:r w:rsidRPr="00970794">
        <w:rPr>
          <w:rFonts w:cs="Times New Roman"/>
          <w:b/>
          <w:bCs/>
          <w:szCs w:val="28"/>
        </w:rPr>
        <w:t>明顯偏低，顯示模型對少數類別的辨識仍有改善空間。</w:t>
      </w:r>
    </w:p>
    <w:p w14:paraId="1040A8EB" w14:textId="77777777" w:rsidR="00970794" w:rsidRPr="00970794" w:rsidRDefault="00970794" w:rsidP="00970794">
      <w:pPr>
        <w:widowControl/>
        <w:rPr>
          <w:rFonts w:cs="Times New Roman"/>
          <w:b/>
          <w:bCs/>
          <w:sz w:val="28"/>
          <w:szCs w:val="28"/>
        </w:rPr>
      </w:pPr>
      <w:r w:rsidRPr="00970794">
        <w:rPr>
          <w:rFonts w:cs="Times New Roman"/>
          <w:b/>
          <w:bCs/>
          <w:szCs w:val="28"/>
        </w:rPr>
        <w:t>第三，本研究主要以</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等稀疏文字特徵進行建模。此類方法具備可解釋性與計算效率，但較難捕捉法律文本中的長距離語意關係、事實脈絡與法理</w:t>
      </w:r>
      <w:r w:rsidRPr="00970794">
        <w:rPr>
          <w:rFonts w:cs="Times New Roman"/>
          <w:b/>
          <w:bCs/>
          <w:szCs w:val="28"/>
        </w:rPr>
        <w:lastRenderedPageBreak/>
        <w:t>推論結構。智慧財產權判決常涉及複雜的技術事實、權利範圍解釋與法律要件判斷，單純依靠詞彙分布可能無法完整呈現法院裁判理由。</w:t>
      </w:r>
    </w:p>
    <w:p w14:paraId="1B9D0B93" w14:textId="77777777" w:rsidR="00970794" w:rsidRDefault="00970794" w:rsidP="00970794">
      <w:pPr>
        <w:widowControl/>
        <w:rPr>
          <w:rFonts w:cs="Times New Roman"/>
          <w:b/>
          <w:bCs/>
          <w:sz w:val="28"/>
          <w:szCs w:val="28"/>
        </w:rPr>
      </w:pPr>
      <w:r w:rsidRPr="00970794">
        <w:rPr>
          <w:rFonts w:cs="Times New Roman"/>
          <w:b/>
          <w:bCs/>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70794" w:rsidRDefault="00970794" w:rsidP="00970794">
      <w:pPr>
        <w:widowControl/>
        <w:rPr>
          <w:rFonts w:cs="Times New Roman"/>
          <w:b/>
          <w:bCs/>
          <w:sz w:val="28"/>
          <w:szCs w:val="28"/>
        </w:rPr>
      </w:pPr>
      <w:r w:rsidRPr="00970794">
        <w:rPr>
          <w:rFonts w:cs="Times New Roman"/>
          <w:b/>
          <w:bCs/>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Pr="00970794">
        <w:rPr>
          <w:rFonts w:ascii="Times New Roman" w:eastAsia="標楷體" w:hAnsi="Times New Roman" w:cs="Times New Roman"/>
          <w:bCs/>
          <w:szCs w:val="28"/>
        </w:rPr>
        <w:t>後續研究建議</w:t>
      </w:r>
    </w:p>
    <w:p w14:paraId="1331E4D4" w14:textId="77777777" w:rsidR="00970794" w:rsidRPr="00970794" w:rsidRDefault="00970794" w:rsidP="00970794">
      <w:pPr>
        <w:widowControl/>
        <w:rPr>
          <w:rFonts w:cs="Times New Roman"/>
          <w:b/>
          <w:bCs/>
          <w:sz w:val="28"/>
          <w:szCs w:val="28"/>
        </w:rPr>
      </w:pPr>
      <w:r w:rsidRPr="00970794">
        <w:rPr>
          <w:rFonts w:cs="Times New Roman"/>
          <w:b/>
          <w:bCs/>
          <w:szCs w:val="28"/>
        </w:rPr>
        <w:t>未來研究可從三個方向延伸。第一，可針對類別不平衡問題進行更細緻處理，例如導入</w:t>
      </w:r>
      <w:r w:rsidRPr="00970794">
        <w:rPr>
          <w:rFonts w:cs="Times New Roman"/>
          <w:b/>
          <w:bCs/>
          <w:szCs w:val="28"/>
        </w:rPr>
        <w:t xml:space="preserve"> class weighting</w:t>
      </w:r>
      <w:r w:rsidRPr="00970794">
        <w:rPr>
          <w:rFonts w:cs="Times New Roman"/>
          <w:b/>
          <w:bCs/>
          <w:szCs w:val="28"/>
        </w:rPr>
        <w:t>、</w:t>
      </w:r>
      <w:r w:rsidRPr="00970794">
        <w:rPr>
          <w:rFonts w:cs="Times New Roman"/>
          <w:b/>
          <w:bCs/>
          <w:szCs w:val="28"/>
        </w:rPr>
        <w:t>over-sampling</w:t>
      </w:r>
      <w:r w:rsidRPr="00970794">
        <w:rPr>
          <w:rFonts w:cs="Times New Roman"/>
          <w:b/>
          <w:bCs/>
          <w:szCs w:val="28"/>
        </w:rPr>
        <w:t>、</w:t>
      </w:r>
      <w:r w:rsidRPr="00970794">
        <w:rPr>
          <w:rFonts w:cs="Times New Roman"/>
          <w:b/>
          <w:bCs/>
          <w:szCs w:val="28"/>
        </w:rPr>
        <w:t xml:space="preserve">under-sampling </w:t>
      </w:r>
      <w:r w:rsidRPr="00970794">
        <w:rPr>
          <w:rFonts w:cs="Times New Roman"/>
          <w:b/>
          <w:bCs/>
          <w:szCs w:val="28"/>
        </w:rPr>
        <w:t>或</w:t>
      </w:r>
      <w:r w:rsidRPr="00970794">
        <w:rPr>
          <w:rFonts w:cs="Times New Roman"/>
          <w:b/>
          <w:bCs/>
          <w:szCs w:val="28"/>
        </w:rPr>
        <w:t xml:space="preserve"> threshold adjustment</w:t>
      </w:r>
      <w:r w:rsidRPr="00970794">
        <w:rPr>
          <w:rFonts w:cs="Times New Roman"/>
          <w:b/>
          <w:bCs/>
          <w:szCs w:val="28"/>
        </w:rPr>
        <w:t>，以提升模型對</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類別的辨識能力。由於智慧財產權案件中的勝訴或部分勝訴結果具有重要實務意義，若模型無法辨識此類少數結果，其實務應用價值將受到限制。</w:t>
      </w:r>
    </w:p>
    <w:p w14:paraId="7C246092" w14:textId="77777777" w:rsidR="00970794" w:rsidRPr="00970794" w:rsidRDefault="00970794" w:rsidP="00970794">
      <w:pPr>
        <w:widowControl/>
        <w:rPr>
          <w:rFonts w:cs="Times New Roman"/>
          <w:b/>
          <w:bCs/>
          <w:sz w:val="28"/>
          <w:szCs w:val="28"/>
        </w:rPr>
      </w:pPr>
      <w:r w:rsidRPr="00970794">
        <w:rPr>
          <w:rFonts w:cs="Times New Roman"/>
          <w:b/>
          <w:bCs/>
          <w:szCs w:val="28"/>
        </w:rPr>
        <w:t>第二，後續研究可進一步分析高卡方詞彙、</w:t>
      </w:r>
      <w:r w:rsidRPr="00970794">
        <w:rPr>
          <w:rFonts w:cs="Times New Roman"/>
          <w:b/>
          <w:bCs/>
          <w:szCs w:val="28"/>
        </w:rPr>
        <w:t xml:space="preserve">SVM </w:t>
      </w:r>
      <w:r w:rsidRPr="00970794">
        <w:rPr>
          <w:rFonts w:cs="Times New Roman"/>
          <w:b/>
          <w:bCs/>
          <w:szCs w:val="28"/>
        </w:rPr>
        <w:t>權重或</w:t>
      </w:r>
      <w:r w:rsidRPr="00970794">
        <w:rPr>
          <w:rFonts w:cs="Times New Roman"/>
          <w:b/>
          <w:bCs/>
          <w:szCs w:val="28"/>
        </w:rPr>
        <w:t xml:space="preserve"> MNIR loading</w:t>
      </w:r>
      <w:r w:rsidRPr="00970794">
        <w:rPr>
          <w:rFonts w:cs="Times New Roman"/>
          <w:b/>
          <w:bCs/>
          <w:szCs w:val="28"/>
        </w:rPr>
        <w:t>，以確認模型究竟依賴哪些法律詞彙或案件語境進行分類。如此可提升模型可解釋性，也有助於判斷模型是否真正捕捉到法律爭點、請求類型與裁判理由，而非僅學習到表面詞彙關聯。</w:t>
      </w:r>
    </w:p>
    <w:p w14:paraId="1A99ACCA" w14:textId="77777777" w:rsidR="00970794" w:rsidRPr="00970794" w:rsidRDefault="00970794" w:rsidP="00970794">
      <w:pPr>
        <w:widowControl/>
        <w:rPr>
          <w:rFonts w:cs="Times New Roman"/>
          <w:b/>
          <w:bCs/>
          <w:sz w:val="28"/>
          <w:szCs w:val="28"/>
        </w:rPr>
      </w:pPr>
      <w:r w:rsidRPr="00970794">
        <w:rPr>
          <w:rFonts w:cs="Times New Roman"/>
          <w:b/>
          <w:bCs/>
          <w:szCs w:val="28"/>
        </w:rPr>
        <w:t>第三，未來可結合傳統稀疏文字模型與語意型模型，例如</w:t>
      </w:r>
      <w:r w:rsidRPr="00970794">
        <w:rPr>
          <w:rFonts w:cs="Times New Roman"/>
          <w:b/>
          <w:bCs/>
          <w:szCs w:val="28"/>
        </w:rPr>
        <w:t xml:space="preserve"> </w:t>
      </w:r>
      <w:proofErr w:type="spellStart"/>
      <w:r w:rsidRPr="00970794">
        <w:rPr>
          <w:rFonts w:cs="Times New Roman"/>
          <w:b/>
          <w:bCs/>
          <w:szCs w:val="28"/>
        </w:rPr>
        <w:t>LegalBERT</w:t>
      </w:r>
      <w:proofErr w:type="spellEnd"/>
      <w:r w:rsidRPr="00970794">
        <w:rPr>
          <w:rFonts w:cs="Times New Roman"/>
          <w:b/>
          <w:bCs/>
          <w:szCs w:val="28"/>
        </w:rPr>
        <w:t>、</w:t>
      </w:r>
      <w:proofErr w:type="spellStart"/>
      <w:r w:rsidRPr="00970794">
        <w:rPr>
          <w:rFonts w:cs="Times New Roman"/>
          <w:b/>
          <w:bCs/>
          <w:szCs w:val="28"/>
        </w:rPr>
        <w:t>Longformer</w:t>
      </w:r>
      <w:proofErr w:type="spellEnd"/>
      <w:r w:rsidRPr="00970794">
        <w:rPr>
          <w:rFonts w:cs="Times New Roman"/>
          <w:b/>
          <w:bCs/>
          <w:szCs w:val="28"/>
        </w:rPr>
        <w:t xml:space="preserve"> </w:t>
      </w:r>
      <w:r w:rsidRPr="00970794">
        <w:rPr>
          <w:rFonts w:cs="Times New Roman"/>
          <w:b/>
          <w:bCs/>
          <w:szCs w:val="28"/>
        </w:rPr>
        <w:t>或其他適合長文本的語言模型。傳統模型具有計算效率與可解釋性優勢，但語意模型可能更能捕捉法律文本中的上下文關係與長距離推論。後續研究可將二者並列比較，檢驗</w:t>
      </w:r>
      <w:r w:rsidRPr="00970794">
        <w:rPr>
          <w:rFonts w:cs="Times New Roman"/>
          <w:b/>
          <w:bCs/>
          <w:szCs w:val="28"/>
        </w:rPr>
        <w:lastRenderedPageBreak/>
        <w:t>在中文智慧財產權判決文本中，複雜語意模型是否能真正改善少數類別辨識，而不只是提升整體</w:t>
      </w:r>
      <w:r w:rsidRPr="00970794">
        <w:rPr>
          <w:rFonts w:cs="Times New Roman"/>
          <w:b/>
          <w:bCs/>
          <w:szCs w:val="28"/>
        </w:rPr>
        <w:t xml:space="preserve"> Accuracy</w:t>
      </w:r>
      <w:r w:rsidRPr="00970794">
        <w:rPr>
          <w:rFonts w:cs="Times New Roman"/>
          <w:b/>
          <w:bCs/>
          <w:szCs w:val="28"/>
        </w:rPr>
        <w:t>。</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0668E026" w14:textId="77777777" w:rsidR="00970794" w:rsidRPr="00970794" w:rsidRDefault="00970794" w:rsidP="00970794">
      <w:pPr>
        <w:widowControl/>
        <w:rPr>
          <w:rFonts w:cs="Times New Roman"/>
          <w:b/>
          <w:bCs/>
          <w:sz w:val="28"/>
          <w:szCs w:val="28"/>
        </w:rPr>
      </w:pPr>
      <w:r w:rsidRPr="00970794">
        <w:rPr>
          <w:rFonts w:cs="Times New Roman"/>
          <w:b/>
          <w:bCs/>
          <w:szCs w:val="28"/>
        </w:rPr>
        <w:t>整體而言，本研究證實，台灣智慧財產權判決文本中確實存在可供機器學習模型辨識之文字訊號。透過卡方特徵選擇、</w:t>
      </w:r>
      <w:r w:rsidRPr="00970794">
        <w:rPr>
          <w:rFonts w:cs="Times New Roman"/>
          <w:b/>
          <w:bCs/>
          <w:szCs w:val="28"/>
        </w:rPr>
        <w:t xml:space="preserve">MNIR </w:t>
      </w:r>
      <w:r w:rsidRPr="00970794">
        <w:rPr>
          <w:rFonts w:cs="Times New Roman"/>
          <w:b/>
          <w:bCs/>
          <w:szCs w:val="28"/>
        </w:rPr>
        <w:t>特徵轉換與</w:t>
      </w:r>
      <w:r w:rsidRPr="00970794">
        <w:rPr>
          <w:rFonts w:cs="Times New Roman"/>
          <w:b/>
          <w:bCs/>
          <w:szCs w:val="28"/>
        </w:rPr>
        <w:t xml:space="preserve"> SVM </w:t>
      </w:r>
      <w:r w:rsidRPr="00970794">
        <w:rPr>
          <w:rFonts w:cs="Times New Roman"/>
          <w:b/>
          <w:bCs/>
          <w:szCs w:val="28"/>
        </w:rPr>
        <w:t>分類模型之比較，本研究發現傳統稀疏文字特徵結合</w:t>
      </w:r>
      <w:r w:rsidRPr="00970794">
        <w:rPr>
          <w:rFonts w:cs="Times New Roman"/>
          <w:b/>
          <w:bCs/>
          <w:szCs w:val="28"/>
        </w:rPr>
        <w:t xml:space="preserve"> Direct SVM</w:t>
      </w:r>
      <w:r w:rsidRPr="00970794">
        <w:rPr>
          <w:rFonts w:cs="Times New Roman"/>
          <w:b/>
          <w:bCs/>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55F5B8AF" w14:textId="77777777" w:rsidR="00AB44DB" w:rsidRDefault="00AB44DB" w:rsidP="00AB44DB">
      <w:pPr>
        <w:ind w:left="420" w:hanging="420"/>
        <w:jc w:val="left"/>
        <w:outlineLvl w:val="0"/>
        <w:rPr>
          <w:rFonts w:cs="Times New Roman"/>
          <w:sz w:val="28"/>
          <w:szCs w:val="28"/>
        </w:rPr>
      </w:pPr>
      <w:r w:rsidRPr="00AB44DB">
        <w:rPr>
          <w:rFonts w:cs="Times New Roman" w:hint="eastAsia"/>
          <w:szCs w:val="28"/>
        </w:rPr>
        <w:t>台灣法律經濟學實證的判決資料－介紹與應用</w:t>
      </w:r>
      <w:hyperlink r:id="rId13" w:history="1">
        <w:r w:rsidR="007730BA" w:rsidRPr="009C5A75">
          <w:rPr>
            <w:rStyle w:val="af0"/>
            <w:rFonts w:cs="Times New Roman"/>
            <w:sz w:val="28"/>
            <w:szCs w:val="28"/>
          </w:rPr>
          <w:t>https://www.airitilibrary.com/Article/Detail/1018161x-201912-201912300022-201912300022-533-546</w:t>
        </w:r>
      </w:hyperlink>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hyperlink r:id="rId17" w:history="1">
        <w:r w:rsidRPr="009C5A75">
          <w:rPr>
            <w:rStyle w:val="af0"/>
            <w:rFonts w:cs="Times New Roman"/>
            <w:sz w:val="28"/>
            <w:szCs w:val="28"/>
          </w:rPr>
          <w:t>https://blog.csdn.net/superY_26/article/details/114844370</w:t>
        </w:r>
      </w:hyperlink>
    </w:p>
    <w:p w14:paraId="370AACDE" w14:textId="77777777" w:rsidR="00C5051C" w:rsidRDefault="004E796F" w:rsidP="007730BA">
      <w:pPr>
        <w:ind w:left="420" w:hanging="420"/>
        <w:jc w:val="left"/>
        <w:outlineLvl w:val="0"/>
        <w:rPr>
          <w:rFonts w:cs="Times New Roman"/>
          <w:sz w:val="28"/>
          <w:szCs w:val="28"/>
        </w:rPr>
      </w:pPr>
      <w:r w:rsidRPr="004E796F">
        <w:rPr>
          <w:rFonts w:cs="Times New Roman"/>
          <w:szCs w:val="28"/>
        </w:rPr>
        <w:t xml:space="preserve">ckiplab/ckip-transformers: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8"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9" w:history="1">
        <w:r w:rsidRPr="00CA65A5">
          <w:rPr>
            <w:rStyle w:val="af0"/>
            <w:rFonts w:cs="Times New Roman"/>
            <w:sz w:val="28"/>
            <w:szCs w:val="28"/>
          </w:rPr>
          <w:t>https://www.researchgate.net/publication/385352804_Natural_Language_Processing_for_the_Legal_Domain_A_Survey_of_Tasks_Datasets_Models_a</w:t>
        </w:r>
        <w:r w:rsidRPr="00CA65A5">
          <w:rPr>
            <w:rStyle w:val="af0"/>
            <w:rFonts w:cs="Times New Roman"/>
            <w:sz w:val="28"/>
            <w:szCs w:val="28"/>
          </w:rPr>
          <w:lastRenderedPageBreak/>
          <w:t>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20"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1"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2"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3"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Processing Long Legal Documents with Pre-trained Transformers: Modding LegalBERT and Longformer</w:t>
      </w:r>
      <w:r>
        <w:rPr>
          <w:rFonts w:cs="Times New Roman" w:hint="eastAsia"/>
          <w:szCs w:val="28"/>
        </w:rPr>
        <w:t xml:space="preserve"> </w:t>
      </w:r>
      <w:hyperlink r:id="rId24"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r w:rsidRPr="00751AD4">
        <w:rPr>
          <w:rFonts w:cs="Times New Roman"/>
          <w:szCs w:val="28"/>
        </w:rPr>
        <w:t>FinMTEB: Finance Massive Text Embedding Benchmark</w:t>
      </w:r>
      <w:r>
        <w:rPr>
          <w:rFonts w:cs="Times New Roman" w:hint="eastAsia"/>
          <w:szCs w:val="28"/>
        </w:rPr>
        <w:t xml:space="preserve"> </w:t>
      </w:r>
      <w:hyperlink r:id="rId25"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6"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7"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8"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 xml:space="preserve">Risk analysis </w:t>
      </w:r>
      <w:r w:rsidRPr="0067454C">
        <w:rPr>
          <w:rFonts w:cs="Times New Roman"/>
          <w:i/>
          <w:iCs/>
          <w:szCs w:val="28"/>
        </w:rPr>
        <w:lastRenderedPageBreak/>
        <w:t>for intellectual property litigation</w:t>
      </w:r>
      <w:r w:rsidRPr="0067454C">
        <w:rPr>
          <w:rFonts w:cs="Times New Roman"/>
          <w:szCs w:val="28"/>
        </w:rPr>
        <w:t>. Proceedings of ICAIL 2011.</w:t>
      </w:r>
      <w:r w:rsidR="00970794">
        <w:rPr>
          <w:rFonts w:cs="Times New Roman" w:hint="eastAsia"/>
          <w:szCs w:val="28"/>
        </w:rPr>
        <w:t xml:space="preserve"> </w:t>
      </w:r>
      <w:hyperlink r:id="rId29"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30"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1"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2" w:history="1">
        <w:r w:rsidRPr="00A13BE7">
          <w:rPr>
            <w:rStyle w:val="af0"/>
            <w:rFonts w:cs="Times New Roman"/>
            <w:sz w:val="28"/>
            <w:szCs w:val="28"/>
          </w:rPr>
          <w:t>https://aclanthology.org/P19-1424/</w:t>
        </w:r>
      </w:hyperlink>
    </w:p>
    <w:p w14:paraId="2E555FFC" w14:textId="361A76B7" w:rsidR="00B164D4" w:rsidRPr="00B164D4" w:rsidRDefault="0056672B" w:rsidP="00365AD6">
      <w:pPr>
        <w:ind w:left="420" w:hanging="420"/>
        <w:jc w:val="left"/>
        <w:outlineLvl w:val="0"/>
        <w:rPr>
          <w:rFonts w:cs="Times New Roman"/>
          <w:sz w:val="28"/>
          <w:szCs w:val="28"/>
        </w:rPr>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3" w:history="1">
        <w:r w:rsidRPr="00C06ABC">
          <w:rPr>
            <w:rStyle w:val="af0"/>
            <w:rFonts w:cs="Times New Roman"/>
            <w:sz w:val="28"/>
            <w:szCs w:val="28"/>
          </w:rPr>
          <w:t>https://arxiv.org/pdf/1012.2098</w:t>
        </w:r>
      </w:hyperlink>
    </w:p>
    <w:sectPr w:rsidR="00B164D4" w:rsidRPr="00B164D4" w:rsidSect="008613E4">
      <w:footerReference w:type="default" r:id="rId3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16548" w14:textId="77777777" w:rsidR="005B25FD" w:rsidRDefault="005B25FD" w:rsidP="00204DC5">
      <w:pPr>
        <w:spacing w:after="0" w:line="240" w:lineRule="auto"/>
      </w:pPr>
      <w:r>
        <w:separator/>
      </w:r>
    </w:p>
  </w:endnote>
  <w:endnote w:type="continuationSeparator" w:id="0">
    <w:p w14:paraId="790FDC07" w14:textId="77777777" w:rsidR="005B25FD" w:rsidRDefault="005B25FD"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84658" w14:textId="77777777" w:rsidR="005B25FD" w:rsidRDefault="005B25FD" w:rsidP="00204DC5">
      <w:pPr>
        <w:spacing w:after="0" w:line="240" w:lineRule="auto"/>
      </w:pPr>
      <w:r>
        <w:separator/>
      </w:r>
    </w:p>
  </w:footnote>
  <w:footnote w:type="continuationSeparator" w:id="0">
    <w:p w14:paraId="4599E851" w14:textId="77777777" w:rsidR="005B25FD" w:rsidRDefault="005B25FD"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32B1"/>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461F"/>
    <w:rsid w:val="00175228"/>
    <w:rsid w:val="001B6901"/>
    <w:rsid w:val="001E4440"/>
    <w:rsid w:val="001E7DED"/>
    <w:rsid w:val="001F2EA2"/>
    <w:rsid w:val="00204DC5"/>
    <w:rsid w:val="00214D9F"/>
    <w:rsid w:val="002274A9"/>
    <w:rsid w:val="00230EA7"/>
    <w:rsid w:val="00241E55"/>
    <w:rsid w:val="00250127"/>
    <w:rsid w:val="002857D8"/>
    <w:rsid w:val="00292760"/>
    <w:rsid w:val="00292DCB"/>
    <w:rsid w:val="002B6C4C"/>
    <w:rsid w:val="002C1295"/>
    <w:rsid w:val="002C20E2"/>
    <w:rsid w:val="002C6512"/>
    <w:rsid w:val="002D643E"/>
    <w:rsid w:val="002E79BA"/>
    <w:rsid w:val="00310DD0"/>
    <w:rsid w:val="00317561"/>
    <w:rsid w:val="003240CC"/>
    <w:rsid w:val="00365AD6"/>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90FB0"/>
    <w:rsid w:val="004E796F"/>
    <w:rsid w:val="004E7D6C"/>
    <w:rsid w:val="004F49D7"/>
    <w:rsid w:val="0051152A"/>
    <w:rsid w:val="00512832"/>
    <w:rsid w:val="005139F9"/>
    <w:rsid w:val="00523799"/>
    <w:rsid w:val="005310E9"/>
    <w:rsid w:val="00556096"/>
    <w:rsid w:val="00564795"/>
    <w:rsid w:val="0056672B"/>
    <w:rsid w:val="005B25FD"/>
    <w:rsid w:val="0060375F"/>
    <w:rsid w:val="00631A3C"/>
    <w:rsid w:val="00633AF3"/>
    <w:rsid w:val="00641412"/>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B2911"/>
    <w:rsid w:val="007C5F68"/>
    <w:rsid w:val="007F065D"/>
    <w:rsid w:val="00812D17"/>
    <w:rsid w:val="00816C7D"/>
    <w:rsid w:val="00823FF7"/>
    <w:rsid w:val="00831403"/>
    <w:rsid w:val="00836709"/>
    <w:rsid w:val="00853B76"/>
    <w:rsid w:val="008613E4"/>
    <w:rsid w:val="00890639"/>
    <w:rsid w:val="00890727"/>
    <w:rsid w:val="008D36FB"/>
    <w:rsid w:val="008E5AB0"/>
    <w:rsid w:val="008F2233"/>
    <w:rsid w:val="00902230"/>
    <w:rsid w:val="009032E7"/>
    <w:rsid w:val="009044D2"/>
    <w:rsid w:val="00907877"/>
    <w:rsid w:val="00925402"/>
    <w:rsid w:val="0095337E"/>
    <w:rsid w:val="00960EBA"/>
    <w:rsid w:val="00970794"/>
    <w:rsid w:val="0098108F"/>
    <w:rsid w:val="009A6180"/>
    <w:rsid w:val="009C2031"/>
    <w:rsid w:val="009D2657"/>
    <w:rsid w:val="009D4756"/>
    <w:rsid w:val="00A0686F"/>
    <w:rsid w:val="00A21C8F"/>
    <w:rsid w:val="00A27B9F"/>
    <w:rsid w:val="00A70996"/>
    <w:rsid w:val="00A70B7A"/>
    <w:rsid w:val="00A82637"/>
    <w:rsid w:val="00A96572"/>
    <w:rsid w:val="00AA12B1"/>
    <w:rsid w:val="00AA522B"/>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BE0F2F"/>
    <w:rsid w:val="00C0276A"/>
    <w:rsid w:val="00C207D2"/>
    <w:rsid w:val="00C5051C"/>
    <w:rsid w:val="00C7356B"/>
    <w:rsid w:val="00C840E9"/>
    <w:rsid w:val="00C97F48"/>
    <w:rsid w:val="00CC5EA4"/>
    <w:rsid w:val="00CD012C"/>
    <w:rsid w:val="00CF117F"/>
    <w:rsid w:val="00D32C54"/>
    <w:rsid w:val="00D35831"/>
    <w:rsid w:val="00D43F38"/>
    <w:rsid w:val="00D520CB"/>
    <w:rsid w:val="00D80278"/>
    <w:rsid w:val="00D85C61"/>
    <w:rsid w:val="00D90634"/>
    <w:rsid w:val="00DE6133"/>
    <w:rsid w:val="00E04535"/>
    <w:rsid w:val="00E335FB"/>
    <w:rsid w:val="00E446DA"/>
    <w:rsid w:val="00E53D0F"/>
    <w:rsid w:val="00E56BC5"/>
    <w:rsid w:val="00E81A55"/>
    <w:rsid w:val="00E86906"/>
    <w:rsid w:val="00EA1EC8"/>
    <w:rsid w:val="00EA27F0"/>
    <w:rsid w:val="00EB1D54"/>
    <w:rsid w:val="00EB286D"/>
    <w:rsid w:val="00EB65DA"/>
    <w:rsid w:val="00EC643A"/>
    <w:rsid w:val="00ED5371"/>
    <w:rsid w:val="00EE558B"/>
    <w:rsid w:val="00F002F7"/>
    <w:rsid w:val="00F1382A"/>
    <w:rsid w:val="00F25D14"/>
    <w:rsid w:val="00F44CEF"/>
    <w:rsid w:val="00F561B8"/>
    <w:rsid w:val="00F6566E"/>
    <w:rsid w:val="00F739DE"/>
    <w:rsid w:val="00F81C85"/>
    <w:rsid w:val="00F9133F"/>
    <w:rsid w:val="00FC111B"/>
    <w:rsid w:val="00FC2E62"/>
    <w:rsid w:val="00FE2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iritilibrary.com/Article/Detail/1018161x-201912-201912300022-201912300022-533-546" TargetMode="External"/><Relationship Id="rId18" Type="http://schemas.openxmlformats.org/officeDocument/2006/relationships/hyperlink" Target="https://github.com/ckiplab/ckip-transformers" TargetMode="External"/><Relationship Id="rId26" Type="http://schemas.openxmlformats.org/officeDocument/2006/relationships/hyperlink" Target="https://www.mdpi.com/2076-3417/11/21/10361" TargetMode="External"/><Relationship Id="rId3" Type="http://schemas.openxmlformats.org/officeDocument/2006/relationships/styles" Target="styles.xml"/><Relationship Id="rId21" Type="http://schemas.openxmlformats.org/officeDocument/2006/relationships/hyperlink" Target="https://www.aeaweb.org/articles?id=10.1257/app.20170223"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blog.csdn.net/superY_26/article/details/114844370" TargetMode="External"/><Relationship Id="rId25" Type="http://schemas.openxmlformats.org/officeDocument/2006/relationships/hyperlink" Target="https://arxiv.org/abs/2502.10990" TargetMode="External"/><Relationship Id="rId33" Type="http://schemas.openxmlformats.org/officeDocument/2006/relationships/hyperlink" Target="https://arxiv.org/pdf/1012.2098" TargetMode="Externa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60390" TargetMode="External"/><Relationship Id="rId29" Type="http://schemas.openxmlformats.org/officeDocument/2006/relationships/hyperlink" Target="https://www.researchgate.net/publication/221539045_Risk_Analysis_for_Intellectual_Property_Litig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211.00974" TargetMode="External"/><Relationship Id="rId32" Type="http://schemas.openxmlformats.org/officeDocument/2006/relationships/hyperlink" Target="https://aclanthology.org/P19-1424/" TargetMode="Externa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papers.ssrn.com/sol3/papers.cfm?abstract_id=2726903" TargetMode="External"/><Relationship Id="rId28" Type="http://schemas.openxmlformats.org/officeDocument/2006/relationships/hyperlink" Target="https://peerj.com/articles/cs-93/"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researchgate.net/publication/385352804_Natural_Language_Processing_for_the_Legal_Domain_A_Survey_of_Tasks_Datasets_Models_and_Challenges" TargetMode="External"/><Relationship Id="rId31" Type="http://schemas.openxmlformats.org/officeDocument/2006/relationships/hyperlink" Target="https://www.researchgate.net/publication/357135854_MVE-FLK_A_multi-task_legal_judgment_prediction_via_multi-view_encoder_fusing_legal_keywords"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lawdata.com.tw/tw/doi/?doi=10.3966/181130952013121002001" TargetMode="External"/><Relationship Id="rId22" Type="http://schemas.openxmlformats.org/officeDocument/2006/relationships/hyperlink" Target="https://academic.oup.com/jleo/article/31/1/93/989593" TargetMode="External"/><Relationship Id="rId27" Type="http://schemas.openxmlformats.org/officeDocument/2006/relationships/hyperlink" Target="https://www.mdpi.com/2227-7390/10/5/683" TargetMode="External"/><Relationship Id="rId30" Type="http://schemas.openxmlformats.org/officeDocument/2006/relationships/hyperlink" Target="https://www.ijcai.org/proceedings/2022/0765.pdf" TargetMode="External"/><Relationship Id="rId35" Type="http://schemas.openxmlformats.org/officeDocument/2006/relationships/fontTable" Target="fontTable.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5317</Words>
  <Characters>30308</Characters>
  <Application>Microsoft Office Word</Application>
  <DocSecurity>0</DocSecurity>
  <Lines>252</Lines>
  <Paragraphs>71</Paragraphs>
  <ScaleCrop>false</ScaleCrop>
  <Company/>
  <LinksUpToDate>false</LinksUpToDate>
  <CharactersWithSpaces>35554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24</cp:revision>
  <dcterms:created xsi:type="dcterms:W3CDTF">2026-01-27T06:28:00Z</dcterms:created>
  <dcterms:modified xsi:type="dcterms:W3CDTF">2026-05-09T15:47:00Z</dcterms:modified>
</cp:coreProperties>
</file>