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A7D22" w:rsidRDefault="00BA7D22">
      <w:pPr>
        <w:widowControl/>
        <w:spacing w:line="900" w:lineRule="atLeast"/>
        <w:jc w:val="center"/>
        <w:rPr>
          <w:rFonts w:ascii="宋体"/>
          <w:sz w:val="51"/>
          <w:shd w:val="clear" w:color="000000" w:fill="FFFFFF"/>
        </w:rPr>
      </w:pPr>
      <w:r>
        <w:rPr>
          <w:rFonts w:ascii="宋体"/>
          <w:sz w:val="51"/>
          <w:shd w:val="clear" w:color="000000" w:fill="FFFFFF"/>
        </w:rPr>
        <w:t>委托融资服务协议</w:t>
      </w:r>
    </w:p>
    <w:p w:rsidR="00BA7D22" w:rsidRPr="00DA21F5" w:rsidRDefault="0081551E" w:rsidP="0081551E">
      <w:pPr>
        <w:widowControl/>
        <w:spacing w:line="900" w:lineRule="atLeast"/>
        <w:jc w:val="center"/>
        <w:rPr>
          <w:rFonts w:ascii="微软雅黑" w:eastAsia="微软雅黑" w:hAnsi="微软雅黑"/>
          <w:shd w:val="clear" w:color="000000" w:fill="FFFFFF"/>
        </w:rPr>
      </w:pPr>
      <w:r w:rsidRPr="00DA21F5">
        <w:rPr>
          <w:rFonts w:ascii="微软雅黑" w:eastAsia="微软雅黑" w:hAnsi="微软雅黑" w:cs="微软雅黑"/>
          <w:shd w:val="clear" w:color="auto" w:fill="FFFFFF"/>
          <w:lang w:bidi="ar"/>
        </w:rPr>
        <w:t>合同编号：</w:t>
      </w:r>
      <w:r w:rsidRPr="00DA21F5">
        <w:rPr>
          <w:rFonts w:ascii="微软雅黑" w:eastAsia="微软雅黑" w:hAnsi="微软雅黑" w:cs="微软雅黑" w:hint="eastAsia"/>
          <w:shd w:val="clear" w:color="auto" w:fill="FFFFFF"/>
          <w:lang w:bidi="ar"/>
        </w:rPr>
        <w:t xml:space="preserve"> </w:t>
      </w:r>
      <w:r w:rsidRPr="00DA21F5">
        <w:rPr>
          <w:rFonts w:ascii="微软雅黑" w:eastAsia="微软雅黑" w:hAnsi="微软雅黑" w:cs="微软雅黑"/>
          <w:shd w:val="clear" w:color="auto" w:fill="FFFFFF"/>
          <w:lang w:bidi="ar"/>
        </w:rPr>
        <w:t xml:space="preserve"> </w:t>
      </w:r>
      <w:r w:rsidRPr="00DA21F5">
        <w:rPr>
          <w:rFonts w:ascii="微软雅黑" w:eastAsia="微软雅黑" w:hAnsi="微软雅黑"/>
          <w:sz w:val="24"/>
        </w:rPr>
        <w:t>${合同编号}</w:t>
      </w:r>
    </w:p>
    <w:p w:rsidR="00BA7D22" w:rsidRDefault="00BA7D22">
      <w:pPr>
        <w:rPr>
          <w:rFonts w:hAnsi="Calibri"/>
        </w:rPr>
      </w:pPr>
    </w:p>
    <w:p w:rsidR="00BA7D22" w:rsidRDefault="00BA7D22">
      <w:pPr>
        <w:rPr>
          <w:rFonts w:hAnsi="Calibri"/>
        </w:rPr>
      </w:pPr>
    </w:p>
    <w:p w:rsidR="00BA7D22" w:rsidRDefault="00BA7D22">
      <w:pPr>
        <w:widowControl/>
        <w:spacing w:line="360" w:lineRule="auto"/>
        <w:ind w:firstLine="480"/>
        <w:jc w:val="left"/>
        <w:rPr>
          <w:rFonts w:hAnsi="Calibri"/>
        </w:rPr>
      </w:pPr>
      <w:r>
        <w:rPr>
          <w:rFonts w:ascii="微软雅黑" w:eastAsia="微软雅黑" w:hAnsi="微软雅黑" w:hint="eastAsia"/>
          <w:b/>
          <w:shd w:val="clear" w:color="000000" w:fill="FFFFFF"/>
        </w:rPr>
        <w:t>本协议由以下双方于</w:t>
      </w:r>
      <w:r w:rsidR="0081551E" w:rsidRPr="00DA21F5">
        <w:rPr>
          <w:rFonts w:ascii="微软雅黑" w:eastAsia="微软雅黑" w:hAnsi="微软雅黑" w:hint="eastAsia"/>
        </w:rPr>
        <w:t>${投资人起息日}</w:t>
      </w:r>
      <w:r>
        <w:rPr>
          <w:rFonts w:ascii="微软雅黑" w:eastAsia="微软雅黑" w:hAnsi="微软雅黑" w:hint="eastAsia"/>
          <w:b/>
          <w:shd w:val="clear" w:color="000000" w:fill="FFFFFF"/>
        </w:rPr>
        <w:t>在北京市签署：</w:t>
      </w:r>
    </w:p>
    <w:p w:rsidR="00BA7D22" w:rsidRDefault="00BA7D22">
      <w:pPr>
        <w:widowControl/>
        <w:spacing w:before="240" w:after="240"/>
        <w:ind w:firstLine="480"/>
        <w:jc w:val="left"/>
        <w:rPr>
          <w:rFonts w:ascii="微软雅黑" w:eastAsia="微软雅黑" w:hAnsi="微软雅黑"/>
          <w:shd w:val="clear" w:color="000000" w:fill="FFFFFF"/>
        </w:rPr>
      </w:pPr>
      <w:r>
        <w:rPr>
          <w:rFonts w:ascii="微软雅黑" w:eastAsia="微软雅黑" w:hAnsi="微软雅黑" w:hint="eastAsia"/>
          <w:shd w:val="clear" w:color="000000" w:fill="FFFFFF"/>
        </w:rPr>
        <w:t>甲方：</w:t>
      </w:r>
      <w:r w:rsidR="0081551E" w:rsidRPr="00DA21F5">
        <w:rPr>
          <w:rFonts w:ascii="微软雅黑" w:eastAsia="微软雅黑" w:hAnsi="微软雅黑" w:hint="eastAsia"/>
          <w:u w:val="single"/>
        </w:rPr>
        <w:t>${借款人姓名}</w:t>
      </w:r>
    </w:p>
    <w:p w:rsidR="00BA7D22" w:rsidRDefault="00BA7D22">
      <w:pPr>
        <w:widowControl/>
        <w:spacing w:before="240" w:after="240"/>
        <w:ind w:firstLine="480"/>
        <w:jc w:val="left"/>
        <w:rPr>
          <w:rFonts w:hAnsi="Calibri"/>
        </w:rPr>
      </w:pPr>
      <w:r>
        <w:rPr>
          <w:rFonts w:ascii="微软雅黑" w:eastAsia="微软雅黑" w:hAnsi="微软雅黑" w:hint="eastAsia"/>
          <w:shd w:val="clear" w:color="000000" w:fill="FFFFFF"/>
        </w:rPr>
        <w:t>营业执照注册号：</w:t>
      </w:r>
      <w:r w:rsidR="0081551E" w:rsidRPr="00DA21F5">
        <w:rPr>
          <w:rFonts w:ascii="微软雅黑" w:eastAsia="微软雅黑" w:hAnsi="微软雅黑" w:hint="eastAsia"/>
          <w:u w:val="single"/>
        </w:rPr>
        <w:t>${借款人证件号码}</w:t>
      </w:r>
    </w:p>
    <w:p w:rsidR="00BA7D22" w:rsidRDefault="00BA7D22">
      <w:pPr>
        <w:widowControl/>
        <w:spacing w:before="240" w:after="240"/>
        <w:ind w:firstLine="480"/>
        <w:jc w:val="left"/>
        <w:rPr>
          <w:rFonts w:ascii="微软雅黑" w:eastAsia="微软雅黑" w:hAnsi="微软雅黑"/>
          <w:shd w:val="clear" w:color="000000" w:fill="FFFFFF"/>
        </w:rPr>
      </w:pPr>
      <w:r>
        <w:rPr>
          <w:rFonts w:ascii="微软雅黑" w:eastAsia="微软雅黑" w:hAnsi="微软雅黑" w:hint="eastAsia"/>
          <w:shd w:val="clear" w:color="000000" w:fill="FFFFFF"/>
        </w:rPr>
        <w:t>地址：</w:t>
      </w:r>
      <w:r w:rsidR="0081551E" w:rsidRPr="00DA21F5">
        <w:rPr>
          <w:rFonts w:ascii="微软雅黑" w:eastAsia="微软雅黑" w:hAnsi="微软雅黑" w:hint="eastAsia"/>
          <w:u w:val="single"/>
        </w:rPr>
        <w:t>${借款人地址}</w:t>
      </w:r>
    </w:p>
    <w:p w:rsidR="00BA7D22" w:rsidRDefault="00BA7D22">
      <w:pPr>
        <w:widowControl/>
        <w:spacing w:before="240" w:after="240"/>
        <w:ind w:firstLine="480"/>
        <w:jc w:val="left"/>
        <w:rPr>
          <w:rFonts w:hAnsi="Calibri"/>
        </w:rPr>
      </w:pPr>
      <w:r>
        <w:rPr>
          <w:rFonts w:ascii="微软雅黑" w:eastAsia="微软雅黑" w:hAnsi="微软雅黑" w:hint="eastAsia"/>
          <w:shd w:val="clear" w:color="000000" w:fill="FFFFFF"/>
        </w:rPr>
        <w:t>乙方：</w:t>
      </w:r>
      <w:r w:rsidRPr="00E51CEB">
        <w:rPr>
          <w:rFonts w:ascii="微软雅黑" w:eastAsia="微软雅黑" w:hAnsi="微软雅黑" w:hint="eastAsia"/>
          <w:u w:val="single"/>
          <w:shd w:val="clear" w:color="000000" w:fill="FFFFFF"/>
        </w:rPr>
        <w:t>中发展信（北京）投资管理有限公司</w:t>
      </w:r>
    </w:p>
    <w:p w:rsidR="00BA7D22" w:rsidRDefault="00BA7D22">
      <w:pPr>
        <w:widowControl/>
        <w:spacing w:before="240" w:after="240"/>
        <w:ind w:firstLine="480"/>
        <w:jc w:val="left"/>
        <w:rPr>
          <w:rFonts w:hAnsi="Calibri"/>
        </w:rPr>
      </w:pPr>
      <w:r>
        <w:rPr>
          <w:rFonts w:ascii="微软雅黑" w:eastAsia="微软雅黑" w:hAnsi="微软雅黑" w:hint="eastAsia"/>
          <w:shd w:val="clear" w:color="000000" w:fill="FFFFFF"/>
        </w:rPr>
        <w:t>营业执照注册号：</w:t>
      </w:r>
      <w:r w:rsidRPr="00E51CEB">
        <w:rPr>
          <w:rFonts w:ascii="微软雅黑" w:eastAsia="微软雅黑" w:hAnsi="微软雅黑" w:hint="eastAsia"/>
          <w:u w:val="single"/>
          <w:shd w:val="clear" w:color="000000" w:fill="FFFFFF"/>
        </w:rPr>
        <w:t>91110105MA004Q9074</w:t>
      </w:r>
    </w:p>
    <w:p w:rsidR="00BA7D22" w:rsidRDefault="00BA7D22">
      <w:pPr>
        <w:widowControl/>
        <w:spacing w:before="240" w:after="240"/>
        <w:ind w:firstLine="480"/>
        <w:jc w:val="left"/>
        <w:rPr>
          <w:rFonts w:ascii="微软雅黑" w:eastAsia="微软雅黑" w:hAnsi="微软雅黑"/>
          <w:shd w:val="clear" w:color="000000" w:fill="FFFFFF"/>
        </w:rPr>
      </w:pPr>
      <w:r>
        <w:rPr>
          <w:rFonts w:ascii="微软雅黑" w:eastAsia="微软雅黑" w:hAnsi="微软雅黑" w:hint="eastAsia"/>
          <w:shd w:val="clear" w:color="000000" w:fill="FFFFFF"/>
        </w:rPr>
        <w:t>地址：</w:t>
      </w:r>
      <w:r w:rsidRPr="00E51CEB">
        <w:rPr>
          <w:rFonts w:ascii="微软雅黑" w:eastAsia="微软雅黑" w:hAnsi="微软雅黑" w:hint="eastAsia"/>
          <w:u w:val="single"/>
          <w:shd w:val="clear" w:color="000000" w:fill="FFFFFF"/>
        </w:rPr>
        <w:t>北京市朝阳区</w:t>
      </w:r>
      <w:r w:rsidR="00FE2394">
        <w:rPr>
          <w:rFonts w:ascii="微软雅黑" w:eastAsia="微软雅黑" w:hAnsi="微软雅黑" w:hint="eastAsia"/>
          <w:u w:val="single"/>
          <w:shd w:val="clear" w:color="000000" w:fill="FFFFFF"/>
        </w:rPr>
        <w:t>东三环中路59号楼23层2702号</w:t>
      </w:r>
    </w:p>
    <w:p w:rsidR="00BA7D22" w:rsidRDefault="00BA7D22">
      <w:pPr>
        <w:widowControl/>
        <w:spacing w:before="240" w:after="240"/>
        <w:ind w:firstLine="480"/>
        <w:jc w:val="left"/>
        <w:rPr>
          <w:rFonts w:hAnsi="Calibri"/>
        </w:rPr>
      </w:pPr>
      <w:r>
        <w:rPr>
          <w:rFonts w:ascii="微软雅黑" w:eastAsia="微软雅黑" w:hAnsi="微软雅黑" w:hint="eastAsia"/>
          <w:b/>
          <w:shd w:val="clear" w:color="000000" w:fill="FFFFFF"/>
        </w:rPr>
        <w:t>鉴于：</w:t>
      </w:r>
    </w:p>
    <w:p w:rsidR="00BA7D22" w:rsidRDefault="00BA7D22">
      <w:pPr>
        <w:widowControl/>
        <w:spacing w:before="240" w:after="240"/>
        <w:ind w:firstLine="480"/>
        <w:jc w:val="left"/>
        <w:rPr>
          <w:rFonts w:ascii="微软雅黑" w:eastAsia="微软雅黑" w:hAnsi="微软雅黑"/>
          <w:szCs w:val="22"/>
          <w:shd w:val="clear" w:color="000000" w:fill="FFFFFF"/>
        </w:rPr>
      </w:pPr>
      <w:r>
        <w:rPr>
          <w:rFonts w:ascii="微软雅黑" w:eastAsia="微软雅黑" w:hAnsi="微软雅黑" w:hint="eastAsia"/>
          <w:shd w:val="clear" w:color="000000" w:fill="FFFFFF"/>
        </w:rPr>
        <w:t>1、甲方【</w:t>
      </w:r>
      <w:r w:rsidR="00425E11" w:rsidRPr="00DA21F5">
        <w:rPr>
          <w:rFonts w:ascii="微软雅黑" w:eastAsia="微软雅黑" w:hAnsi="微软雅黑" w:hint="eastAsia"/>
          <w:u w:val="single"/>
        </w:rPr>
        <w:t>${借款人姓名}</w:t>
      </w:r>
      <w:r w:rsidRPr="00DA21F5">
        <w:rPr>
          <w:rFonts w:ascii="微软雅黑" w:eastAsia="微软雅黑" w:hAnsi="微软雅黑" w:hint="eastAsia"/>
          <w:shd w:val="clear" w:color="000000" w:fill="FFFFFF"/>
        </w:rPr>
        <w:t>】</w:t>
      </w:r>
      <w:r>
        <w:rPr>
          <w:rFonts w:ascii="微软雅黑" w:eastAsia="微软雅黑" w:hAnsi="微软雅黑" w:hint="eastAsia"/>
          <w:shd w:val="clear" w:color="000000" w:fill="FFFFFF"/>
        </w:rPr>
        <w:t>，</w:t>
      </w:r>
      <w:r>
        <w:rPr>
          <w:rFonts w:ascii="微软雅黑" w:eastAsia="微软雅黑" w:hAnsi="微软雅黑" w:hint="eastAsia"/>
          <w:szCs w:val="22"/>
          <w:shd w:val="clear" w:color="000000" w:fill="FFFFFF"/>
        </w:rPr>
        <w:t>现拟融资【</w:t>
      </w:r>
      <w:r w:rsidRPr="00DA21F5">
        <w:rPr>
          <w:rFonts w:ascii="微软雅黑" w:eastAsia="微软雅黑" w:hAnsi="微软雅黑" w:hint="eastAsia"/>
          <w:szCs w:val="22"/>
          <w:shd w:val="clear" w:color="000000" w:fill="FFFFFF"/>
        </w:rPr>
        <w:t> </w:t>
      </w:r>
      <w:r w:rsidR="00425E11" w:rsidRPr="00DA21F5">
        <w:rPr>
          <w:rFonts w:ascii="微软雅黑" w:eastAsia="微软雅黑" w:hAnsi="微软雅黑" w:cs="微软雅黑" w:hint="eastAsia"/>
          <w:szCs w:val="21"/>
          <w:u w:val="single"/>
          <w:shd w:val="clear" w:color="auto" w:fill="FFFFFF"/>
          <w:lang w:bidi="ar"/>
        </w:rPr>
        <w:t>${本次招标金额}</w:t>
      </w:r>
      <w:r>
        <w:rPr>
          <w:rFonts w:ascii="微软雅黑" w:eastAsia="微软雅黑" w:hAnsi="微软雅黑" w:hint="eastAsia"/>
          <w:szCs w:val="22"/>
          <w:shd w:val="clear" w:color="000000" w:fill="FFFFFF"/>
        </w:rPr>
        <w:t>】资金作为生产流动资金、原材料采购。</w:t>
      </w:r>
    </w:p>
    <w:p w:rsidR="00BA7D22" w:rsidRDefault="00BA7D22">
      <w:pPr>
        <w:widowControl/>
        <w:spacing w:before="240" w:after="240"/>
        <w:ind w:firstLine="480"/>
        <w:jc w:val="left"/>
        <w:rPr>
          <w:rFonts w:hAnsi="Calibri"/>
        </w:rPr>
      </w:pPr>
      <w:r>
        <w:rPr>
          <w:rFonts w:ascii="微软雅黑" w:eastAsia="微软雅黑" w:hAnsi="微软雅黑" w:hint="eastAsia"/>
          <w:shd w:val="clear" w:color="000000" w:fill="FFFFFF"/>
        </w:rPr>
        <w:t>2、乙方</w:t>
      </w:r>
      <w:r w:rsidR="00E51CEB">
        <w:rPr>
          <w:rFonts w:ascii="微软雅黑" w:eastAsia="微软雅黑" w:hAnsi="微软雅黑" w:hint="eastAsia"/>
          <w:shd w:val="clear" w:color="000000" w:fill="FFFFFF"/>
        </w:rPr>
        <w:t>【</w:t>
      </w:r>
      <w:r w:rsidRPr="00E51CEB">
        <w:rPr>
          <w:rFonts w:ascii="微软雅黑" w:eastAsia="微软雅黑" w:hAnsi="微软雅黑" w:hint="eastAsia"/>
          <w:u w:val="single"/>
          <w:shd w:val="clear" w:color="000000" w:fill="FFFFFF"/>
        </w:rPr>
        <w:t>中发展信（北京）投资管理有限公司</w:t>
      </w:r>
      <w:r w:rsidR="00E51CEB" w:rsidRPr="00DA21F5">
        <w:rPr>
          <w:rFonts w:ascii="微软雅黑" w:eastAsia="微软雅黑" w:hAnsi="微软雅黑" w:hint="eastAsia"/>
          <w:shd w:val="clear" w:color="000000" w:fill="FFFFFF"/>
        </w:rPr>
        <w:t>】</w:t>
      </w:r>
      <w:r>
        <w:rPr>
          <w:rFonts w:ascii="微软雅黑" w:eastAsia="微软雅黑" w:hAnsi="微软雅黑" w:hint="eastAsia"/>
          <w:shd w:val="clear" w:color="000000" w:fill="FFFFFF"/>
        </w:rPr>
        <w:t>，成功运营升升投网站（www.zxzbol.com），能够为甲方提供较为完备的技术支持，展示甲方的项目，发布融资需求，以期实现互联网便捷融资、投资、管理的目标。</w:t>
      </w:r>
    </w:p>
    <w:p w:rsidR="00BA7D22" w:rsidRDefault="00BA7D22">
      <w:pPr>
        <w:widowControl/>
        <w:spacing w:before="600" w:after="600" w:line="360" w:lineRule="auto"/>
        <w:ind w:firstLine="480"/>
        <w:jc w:val="left"/>
        <w:rPr>
          <w:rFonts w:hAnsi="Calibri"/>
        </w:rPr>
      </w:pPr>
      <w:r>
        <w:rPr>
          <w:rFonts w:ascii="微软雅黑" w:eastAsia="微软雅黑" w:hAnsi="微软雅黑" w:hint="eastAsia"/>
          <w:shd w:val="clear" w:color="000000" w:fill="FFFFFF"/>
        </w:rPr>
        <w:lastRenderedPageBreak/>
        <w:t>现甲乙双方经协商一致达成《委托融资服务协议》（以下简称“本协议”）如下，以资共同遵守：</w:t>
      </w:r>
    </w:p>
    <w:p w:rsidR="00BA7D22" w:rsidRDefault="00BA7D22">
      <w:pPr>
        <w:widowControl/>
        <w:spacing w:before="600" w:after="600" w:line="360" w:lineRule="auto"/>
        <w:ind w:left="1200" w:hanging="720"/>
        <w:jc w:val="left"/>
        <w:rPr>
          <w:rFonts w:hAnsi="Calibri"/>
          <w:sz w:val="24"/>
        </w:rPr>
      </w:pPr>
      <w:r>
        <w:rPr>
          <w:rFonts w:ascii="微软雅黑" w:eastAsia="微软雅黑" w:hAnsi="微软雅黑" w:hint="eastAsia"/>
          <w:b/>
          <w:shd w:val="clear" w:color="000000" w:fill="FFFFFF"/>
        </w:rPr>
        <w:t>第1条</w:t>
      </w:r>
      <w:r>
        <w:rPr>
          <w:rFonts w:ascii="Times New Roman" w:eastAsia="微软雅黑" w:hAnsi="Times New Roman"/>
          <w:b/>
          <w:sz w:val="14"/>
          <w:shd w:val="clear" w:color="000000" w:fill="FFFFFF"/>
        </w:rPr>
        <w:t xml:space="preserve">    </w:t>
      </w:r>
      <w:r>
        <w:rPr>
          <w:rFonts w:ascii="微软雅黑" w:eastAsia="微软雅黑" w:hAnsi="微软雅黑" w:hint="eastAsia"/>
          <w:b/>
          <w:shd w:val="clear" w:color="000000" w:fill="FFFFFF"/>
        </w:rPr>
        <w:t>   委托事项及融资费用</w:t>
      </w:r>
    </w:p>
    <w:p w:rsidR="00BA7D22" w:rsidRDefault="00BA7D22">
      <w:pPr>
        <w:widowControl/>
        <w:spacing w:before="600" w:after="600" w:line="360" w:lineRule="auto"/>
        <w:ind w:left="976" w:hanging="495"/>
        <w:jc w:val="left"/>
        <w:rPr>
          <w:rFonts w:hAnsi="Calibri"/>
          <w:sz w:val="24"/>
        </w:rPr>
      </w:pPr>
      <w:r>
        <w:rPr>
          <w:rFonts w:ascii="微软雅黑" w:eastAsia="微软雅黑" w:hAnsi="微软雅黑" w:hint="eastAsia"/>
          <w:shd w:val="clear" w:color="000000" w:fill="FFFFFF"/>
        </w:rPr>
        <w:t>1.1</w:t>
      </w:r>
      <w:r>
        <w:rPr>
          <w:rFonts w:ascii="Times New Roman" w:eastAsia="微软雅黑" w:hAnsi="Times New Roman"/>
          <w:sz w:val="14"/>
          <w:shd w:val="clear" w:color="000000" w:fill="FFFFFF"/>
        </w:rPr>
        <w:t xml:space="preserve">     </w:t>
      </w:r>
      <w:r>
        <w:rPr>
          <w:rFonts w:ascii="微软雅黑" w:eastAsia="微软雅黑" w:hAnsi="微软雅黑" w:hint="eastAsia"/>
          <w:shd w:val="clear" w:color="000000" w:fill="FFFFFF"/>
        </w:rPr>
        <w:t>在本协议项下，甲方委托乙方通过其管理的升升投网站提供以下服务：展示甲方申报的项目、发布融资需求等，并根据实际情况就交易的结构、定价、尽职调查及其他相关事情做出安排，具体内容双方协商另行签订相关协议。</w:t>
      </w:r>
    </w:p>
    <w:p w:rsidR="00BA7D22" w:rsidRDefault="00BA7D22">
      <w:pPr>
        <w:widowControl/>
        <w:spacing w:before="600" w:after="600" w:line="360" w:lineRule="auto"/>
        <w:ind w:left="976" w:hanging="495"/>
        <w:jc w:val="left"/>
        <w:rPr>
          <w:rFonts w:hAnsi="Calibri"/>
          <w:sz w:val="24"/>
        </w:rPr>
      </w:pPr>
      <w:r>
        <w:rPr>
          <w:rFonts w:ascii="微软雅黑" w:eastAsia="微软雅黑" w:hAnsi="微软雅黑" w:hint="eastAsia"/>
          <w:shd w:val="clear" w:color="000000" w:fill="FFFFFF"/>
        </w:rPr>
        <w:t>1.2</w:t>
      </w:r>
      <w:r>
        <w:rPr>
          <w:rFonts w:ascii="Times New Roman" w:eastAsia="微软雅黑" w:hAnsi="Times New Roman"/>
          <w:sz w:val="14"/>
          <w:shd w:val="clear" w:color="000000" w:fill="FFFFFF"/>
        </w:rPr>
        <w:t xml:space="preserve">     </w:t>
      </w:r>
      <w:r>
        <w:rPr>
          <w:rFonts w:ascii="微软雅黑" w:eastAsia="微软雅黑" w:hAnsi="微软雅黑" w:hint="eastAsia"/>
          <w:shd w:val="clear" w:color="000000" w:fill="FFFFFF"/>
        </w:rPr>
        <w:t>甲方就本协议项下的合作事宜在升升投平台的推广融资期为共计</w:t>
      </w:r>
      <w:r w:rsidR="00A84C4A">
        <w:rPr>
          <w:rFonts w:ascii="微软雅黑" w:eastAsia="微软雅黑" w:hAnsi="微软雅黑" w:hint="eastAsia"/>
          <w:shd w:val="clear" w:color="000000" w:fill="FFFFFF"/>
        </w:rPr>
        <w:t>【</w:t>
      </w:r>
      <w:r w:rsidR="00A84C4A" w:rsidRPr="00DA21F5">
        <w:rPr>
          <w:rFonts w:ascii="微软雅黑" w:eastAsia="微软雅黑" w:hAnsi="微软雅黑" w:cs="微软雅黑" w:hint="eastAsia"/>
          <w:szCs w:val="21"/>
          <w:u w:val="single"/>
          <w:shd w:val="clear" w:color="auto" w:fill="FFFFFF"/>
          <w:lang w:bidi="ar"/>
        </w:rPr>
        <w:t>${</w:t>
      </w:r>
      <w:r w:rsidR="00CF6896">
        <w:rPr>
          <w:rFonts w:ascii="微软雅黑" w:eastAsia="微软雅黑" w:hAnsi="微软雅黑" w:cs="微软雅黑" w:hint="eastAsia"/>
          <w:szCs w:val="21"/>
          <w:u w:val="single"/>
          <w:shd w:val="clear" w:color="auto" w:fill="FFFFFF"/>
          <w:lang w:bidi="ar"/>
        </w:rPr>
        <w:t>还款期数</w:t>
      </w:r>
      <w:r w:rsidR="00A84C4A" w:rsidRPr="00DA21F5">
        <w:rPr>
          <w:rFonts w:ascii="微软雅黑" w:eastAsia="微软雅黑" w:hAnsi="微软雅黑" w:cs="微软雅黑" w:hint="eastAsia"/>
          <w:szCs w:val="21"/>
          <w:u w:val="single"/>
          <w:shd w:val="clear" w:color="auto" w:fill="FFFFFF"/>
          <w:lang w:bidi="ar"/>
        </w:rPr>
        <w:t>}</w:t>
      </w:r>
      <w:r w:rsidR="00A84C4A">
        <w:rPr>
          <w:rFonts w:ascii="微软雅黑" w:eastAsia="微软雅黑" w:hAnsi="微软雅黑" w:hint="eastAsia"/>
          <w:shd w:val="clear" w:color="000000" w:fill="FFFFFF"/>
        </w:rPr>
        <w:t>】</w:t>
      </w:r>
      <w:r>
        <w:rPr>
          <w:rFonts w:ascii="微软雅黑" w:eastAsia="微软雅黑" w:hAnsi="微软雅黑" w:hint="eastAsia"/>
          <w:shd w:val="clear" w:color="000000" w:fill="FFFFFF"/>
        </w:rPr>
        <w:t>期。融资期限为</w:t>
      </w:r>
      <w:r w:rsidR="00DA21F5">
        <w:rPr>
          <w:rFonts w:ascii="微软雅黑" w:eastAsia="微软雅黑" w:hAnsi="微软雅黑" w:hint="eastAsia"/>
          <w:shd w:val="clear" w:color="000000" w:fill="FFFFFF"/>
        </w:rPr>
        <w:t>【</w:t>
      </w:r>
      <w:r w:rsidR="00DA21F5" w:rsidRPr="00DA21F5">
        <w:rPr>
          <w:rFonts w:ascii="微软雅黑" w:eastAsia="微软雅黑" w:hAnsi="微软雅黑" w:cs="微软雅黑" w:hint="eastAsia"/>
          <w:szCs w:val="21"/>
          <w:u w:val="single"/>
          <w:shd w:val="clear" w:color="auto" w:fill="FFFFFF"/>
          <w:lang w:bidi="ar"/>
        </w:rPr>
        <w:t>${</w:t>
      </w:r>
      <w:r w:rsidR="00DA21F5">
        <w:rPr>
          <w:rFonts w:ascii="微软雅黑" w:eastAsia="微软雅黑" w:hAnsi="微软雅黑" w:cs="微软雅黑" w:hint="eastAsia"/>
          <w:szCs w:val="21"/>
          <w:u w:val="single"/>
          <w:shd w:val="clear" w:color="auto" w:fill="FFFFFF"/>
          <w:lang w:bidi="ar"/>
        </w:rPr>
        <w:t>招标贷款期限</w:t>
      </w:r>
      <w:r w:rsidR="00DA21F5" w:rsidRPr="00DA21F5">
        <w:rPr>
          <w:rFonts w:ascii="微软雅黑" w:eastAsia="微软雅黑" w:hAnsi="微软雅黑" w:cs="微软雅黑" w:hint="eastAsia"/>
          <w:szCs w:val="21"/>
          <w:u w:val="single"/>
          <w:shd w:val="clear" w:color="auto" w:fill="FFFFFF"/>
          <w:lang w:bidi="ar"/>
        </w:rPr>
        <w:t>}</w:t>
      </w:r>
      <w:r w:rsidR="00DA21F5">
        <w:rPr>
          <w:rFonts w:ascii="微软雅黑" w:eastAsia="微软雅黑" w:hAnsi="微软雅黑" w:hint="eastAsia"/>
          <w:shd w:val="clear" w:color="000000" w:fill="FFFFFF"/>
        </w:rPr>
        <w:t>】</w:t>
      </w:r>
      <w:r>
        <w:rPr>
          <w:rFonts w:ascii="微软雅黑" w:eastAsia="微软雅黑" w:hAnsi="微软雅黑" w:hint="eastAsia"/>
          <w:shd w:val="clear" w:color="000000" w:fill="FFFFFF"/>
        </w:rPr>
        <w:t>，（融资期起</w:t>
      </w:r>
      <w:r>
        <w:rPr>
          <w:rFonts w:ascii="微软雅黑" w:eastAsia="微软雅黑" w:hAnsi="微软雅黑" w:hint="eastAsia"/>
          <w:shd w:val="clear" w:color="000000" w:fill="FCFCFC"/>
        </w:rPr>
        <w:t>始日以甲方投资款转</w:t>
      </w:r>
      <w:bookmarkStart w:id="0" w:name="_GoBack"/>
      <w:bookmarkEnd w:id="0"/>
      <w:r>
        <w:rPr>
          <w:rFonts w:ascii="微软雅黑" w:eastAsia="微软雅黑" w:hAnsi="微软雅黑" w:hint="eastAsia"/>
          <w:shd w:val="clear" w:color="000000" w:fill="FCFCFC"/>
        </w:rPr>
        <w:t>入</w:t>
      </w:r>
      <w:r>
        <w:rPr>
          <w:rFonts w:ascii="微软雅黑" w:eastAsia="微软雅黑" w:hAnsi="微软雅黑" w:hint="eastAsia"/>
          <w:u w:val="single"/>
          <w:shd w:val="clear" w:color="000000" w:fill="FCFCFC"/>
        </w:rPr>
        <w:t>    云南富滇银行     第三方存管账户</w:t>
      </w:r>
      <w:r>
        <w:rPr>
          <w:rFonts w:ascii="微软雅黑" w:eastAsia="微软雅黑" w:hAnsi="微软雅黑" w:hint="eastAsia"/>
          <w:shd w:val="clear" w:color="000000" w:fill="FCFCFC"/>
        </w:rPr>
        <w:t>后</w:t>
      </w:r>
      <w:r>
        <w:rPr>
          <w:rFonts w:ascii="微软雅黑" w:eastAsia="微软雅黑" w:hAnsi="微软雅黑" w:hint="eastAsia"/>
          <w:shd w:val="clear" w:color="000000" w:fill="FFFFFF"/>
        </w:rPr>
        <w:t>的投资认购日为准），推广融资期结束后，如融资额未达到甲方事先约定的最低融资额【</w:t>
      </w:r>
      <w:r w:rsidR="00425E11" w:rsidRPr="00DA21F5">
        <w:rPr>
          <w:rFonts w:ascii="微软雅黑" w:eastAsia="微软雅黑" w:hAnsi="微软雅黑" w:cs="微软雅黑" w:hint="eastAsia"/>
          <w:szCs w:val="21"/>
          <w:u w:val="single"/>
          <w:shd w:val="clear" w:color="auto" w:fill="FFFFFF"/>
          <w:lang w:bidi="ar"/>
        </w:rPr>
        <w:t>${本次招标金额}</w:t>
      </w:r>
      <w:r>
        <w:rPr>
          <w:rFonts w:ascii="微软雅黑" w:eastAsia="微软雅黑" w:hAnsi="微软雅黑" w:hint="eastAsia"/>
          <w:shd w:val="clear" w:color="000000" w:fill="FFFFFF"/>
        </w:rPr>
        <w:t>】的，视为融资失败，否则视为融资成功。</w:t>
      </w:r>
    </w:p>
    <w:p w:rsidR="00BA7D22" w:rsidRDefault="00BA7D22">
      <w:pPr>
        <w:widowControl/>
        <w:spacing w:before="240" w:after="240"/>
        <w:ind w:firstLine="480"/>
        <w:jc w:val="left"/>
        <w:rPr>
          <w:rFonts w:ascii="微软雅黑" w:eastAsia="微软雅黑" w:hAnsi="微软雅黑"/>
          <w:szCs w:val="22"/>
          <w:shd w:val="clear" w:color="000000" w:fill="FFFFFF"/>
        </w:rPr>
      </w:pPr>
      <w:r>
        <w:rPr>
          <w:rFonts w:ascii="微软雅黑" w:eastAsia="微软雅黑" w:hAnsi="微软雅黑" w:hint="eastAsia"/>
          <w:szCs w:val="22"/>
          <w:shd w:val="clear" w:color="000000" w:fill="FFFFFF"/>
        </w:rPr>
        <w:t>1.3   本次融资费用为实际融资额的 </w:t>
      </w:r>
      <w:r>
        <w:rPr>
          <w:rFonts w:ascii="微软雅黑" w:eastAsia="微软雅黑" w:hAnsi="微软雅黑" w:hint="eastAsia"/>
          <w:szCs w:val="22"/>
          <w:u w:val="single"/>
          <w:shd w:val="clear" w:color="000000" w:fill="FFFFFF"/>
        </w:rPr>
        <w:t xml:space="preserve">   2% </w:t>
      </w:r>
      <w:r>
        <w:rPr>
          <w:rFonts w:ascii="微软雅黑" w:eastAsia="微软雅黑" w:hAnsi="微软雅黑" w:hint="eastAsia"/>
          <w:szCs w:val="22"/>
          <w:shd w:val="clear" w:color="000000" w:fill="FFFFFF"/>
        </w:rPr>
        <w:t>。客户收益及本金由甲方承担。本次融资如发生甲方预期还款或不能还款，所有责任都有甲方承担，与乙方无关，乙方只是作为中介身份出现，不承担甲方的债务及投资者债权兑付责任。</w:t>
      </w:r>
    </w:p>
    <w:p w:rsidR="00BA7D22" w:rsidRDefault="00BA7D22">
      <w:pPr>
        <w:widowControl/>
        <w:spacing w:before="600" w:after="600" w:line="360" w:lineRule="auto"/>
        <w:ind w:left="1200" w:hanging="720"/>
        <w:jc w:val="left"/>
        <w:rPr>
          <w:rFonts w:hAnsi="Calibri"/>
          <w:sz w:val="24"/>
        </w:rPr>
      </w:pPr>
      <w:r>
        <w:rPr>
          <w:rFonts w:ascii="微软雅黑" w:eastAsia="微软雅黑" w:hAnsi="微软雅黑" w:hint="eastAsia"/>
          <w:b/>
          <w:shd w:val="clear" w:color="000000" w:fill="FFFFFF"/>
        </w:rPr>
        <w:t>第2条</w:t>
      </w:r>
      <w:r>
        <w:rPr>
          <w:rFonts w:ascii="Times New Roman" w:eastAsia="微软雅黑" w:hAnsi="Times New Roman"/>
          <w:b/>
          <w:sz w:val="14"/>
          <w:shd w:val="clear" w:color="000000" w:fill="FFFFFF"/>
        </w:rPr>
        <w:t xml:space="preserve">    </w:t>
      </w:r>
      <w:r>
        <w:rPr>
          <w:rFonts w:ascii="微软雅黑" w:eastAsia="微软雅黑" w:hAnsi="微软雅黑" w:hint="eastAsia"/>
          <w:b/>
          <w:shd w:val="clear" w:color="000000" w:fill="FFFFFF"/>
        </w:rPr>
        <w:t>项目融资安排说明</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详细说明项目实施阶段资金安排如下；</w:t>
      </w:r>
    </w:p>
    <w:tbl>
      <w:tblPr>
        <w:tblW w:w="0" w:type="auto"/>
        <w:tblInd w:w="108" w:type="dxa"/>
        <w:tblLayout w:type="fixed"/>
        <w:tblLook w:val="0000" w:firstRow="0" w:lastRow="0" w:firstColumn="0" w:lastColumn="0" w:noHBand="0" w:noVBand="0"/>
      </w:tblPr>
      <w:tblGrid>
        <w:gridCol w:w="889"/>
        <w:gridCol w:w="901"/>
        <w:gridCol w:w="901"/>
        <w:gridCol w:w="889"/>
        <w:gridCol w:w="892"/>
        <w:gridCol w:w="901"/>
        <w:gridCol w:w="889"/>
        <w:gridCol w:w="891"/>
        <w:gridCol w:w="889"/>
      </w:tblGrid>
      <w:tr w:rsidR="00BA7D22">
        <w:tc>
          <w:tcPr>
            <w:tcW w:w="2691"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lastRenderedPageBreak/>
              <w:t>项目启动</w:t>
            </w:r>
          </w:p>
        </w:tc>
        <w:tc>
          <w:tcPr>
            <w:tcW w:w="2682" w:type="dxa"/>
            <w:gridSpan w:val="3"/>
            <w:tcBorders>
              <w:top w:val="single" w:sz="8" w:space="0" w:color="000000"/>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项目筹备</w:t>
            </w:r>
          </w:p>
        </w:tc>
        <w:tc>
          <w:tcPr>
            <w:tcW w:w="1780" w:type="dxa"/>
            <w:gridSpan w:val="2"/>
            <w:tcBorders>
              <w:top w:val="single" w:sz="8" w:space="0" w:color="000000"/>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资金</w:t>
            </w:r>
          </w:p>
        </w:tc>
        <w:tc>
          <w:tcPr>
            <w:tcW w:w="889" w:type="dxa"/>
            <w:tcBorders>
              <w:top w:val="single" w:sz="8" w:space="0" w:color="000000"/>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备用金</w:t>
            </w:r>
          </w:p>
        </w:tc>
      </w:tr>
      <w:tr w:rsidR="00BA7D22">
        <w:tc>
          <w:tcPr>
            <w:tcW w:w="889" w:type="dxa"/>
            <w:tcBorders>
              <w:left w:val="single" w:sz="8" w:space="0" w:color="000000"/>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sz w:val="18"/>
              </w:rPr>
              <w:t>项目方案设计</w:t>
            </w:r>
          </w:p>
        </w:tc>
        <w:tc>
          <w:tcPr>
            <w:tcW w:w="901"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sz w:val="18"/>
              </w:rPr>
              <w:t>选址  费用</w:t>
            </w:r>
          </w:p>
        </w:tc>
        <w:tc>
          <w:tcPr>
            <w:tcW w:w="901"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sz w:val="18"/>
              </w:rPr>
              <w:t>预付  租金</w:t>
            </w:r>
          </w:p>
        </w:tc>
        <w:tc>
          <w:tcPr>
            <w:tcW w:w="889"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sz w:val="18"/>
              </w:rPr>
              <w:t>人员储备开支</w:t>
            </w:r>
          </w:p>
        </w:tc>
        <w:tc>
          <w:tcPr>
            <w:tcW w:w="892"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hAnsi="Calibri" w:hint="eastAsia"/>
              </w:rPr>
              <w:t>商品采购</w:t>
            </w:r>
          </w:p>
        </w:tc>
        <w:tc>
          <w:tcPr>
            <w:tcW w:w="901"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sz w:val="18"/>
              </w:rPr>
              <w:t>固定资产采购</w:t>
            </w:r>
          </w:p>
        </w:tc>
        <w:tc>
          <w:tcPr>
            <w:tcW w:w="889"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sz w:val="18"/>
              </w:rPr>
              <w:t>原材料采购</w:t>
            </w:r>
          </w:p>
        </w:tc>
        <w:tc>
          <w:tcPr>
            <w:tcW w:w="891"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sz w:val="18"/>
              </w:rPr>
              <w:t>流动</w:t>
            </w:r>
          </w:p>
          <w:p w:rsidR="00BA7D22" w:rsidRDefault="00BA7D22">
            <w:pPr>
              <w:widowControl/>
              <w:spacing w:line="360" w:lineRule="auto"/>
              <w:jc w:val="center"/>
              <w:rPr>
                <w:rFonts w:hAnsi="Calibri"/>
              </w:rPr>
            </w:pPr>
            <w:r>
              <w:rPr>
                <w:rFonts w:ascii="微软雅黑" w:eastAsia="微软雅黑" w:hAnsi="微软雅黑" w:hint="eastAsia"/>
                <w:color w:val="444444"/>
                <w:sz w:val="18"/>
              </w:rPr>
              <w:t>资金</w:t>
            </w:r>
          </w:p>
        </w:tc>
        <w:tc>
          <w:tcPr>
            <w:tcW w:w="889"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sz w:val="18"/>
              </w:rPr>
              <w:t>商品采购备用金</w:t>
            </w:r>
          </w:p>
        </w:tc>
      </w:tr>
      <w:tr w:rsidR="00BA7D22">
        <w:tc>
          <w:tcPr>
            <w:tcW w:w="889" w:type="dxa"/>
            <w:tcBorders>
              <w:left w:val="single" w:sz="8" w:space="0" w:color="000000"/>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 0%</w:t>
            </w:r>
          </w:p>
        </w:tc>
        <w:tc>
          <w:tcPr>
            <w:tcW w:w="901"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 0%</w:t>
            </w:r>
          </w:p>
        </w:tc>
        <w:tc>
          <w:tcPr>
            <w:tcW w:w="901"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0% </w:t>
            </w:r>
          </w:p>
        </w:tc>
        <w:tc>
          <w:tcPr>
            <w:tcW w:w="889"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0 </w:t>
            </w:r>
          </w:p>
        </w:tc>
        <w:tc>
          <w:tcPr>
            <w:tcW w:w="892"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 0%</w:t>
            </w:r>
          </w:p>
        </w:tc>
        <w:tc>
          <w:tcPr>
            <w:tcW w:w="901"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 0%</w:t>
            </w:r>
          </w:p>
        </w:tc>
        <w:tc>
          <w:tcPr>
            <w:tcW w:w="889"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 100%</w:t>
            </w:r>
          </w:p>
        </w:tc>
        <w:tc>
          <w:tcPr>
            <w:tcW w:w="891"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 0%</w:t>
            </w:r>
          </w:p>
        </w:tc>
        <w:tc>
          <w:tcPr>
            <w:tcW w:w="889" w:type="dxa"/>
            <w:tcBorders>
              <w:bottom w:val="single" w:sz="8" w:space="0" w:color="000000"/>
              <w:right w:val="single" w:sz="8" w:space="0" w:color="000000"/>
            </w:tcBorders>
            <w:tcMar>
              <w:top w:w="0" w:type="dxa"/>
              <w:left w:w="108" w:type="dxa"/>
              <w:bottom w:w="0" w:type="dxa"/>
              <w:right w:w="108" w:type="dxa"/>
            </w:tcMar>
          </w:tcPr>
          <w:p w:rsidR="00BA7D22" w:rsidRDefault="00BA7D22">
            <w:pPr>
              <w:widowControl/>
              <w:spacing w:line="360" w:lineRule="auto"/>
              <w:jc w:val="center"/>
              <w:rPr>
                <w:rFonts w:hAnsi="Calibri"/>
              </w:rPr>
            </w:pPr>
            <w:r>
              <w:rPr>
                <w:rFonts w:ascii="微软雅黑" w:eastAsia="微软雅黑" w:hAnsi="微软雅黑" w:hint="eastAsia"/>
                <w:color w:val="444444"/>
              </w:rPr>
              <w:t>0% </w:t>
            </w:r>
          </w:p>
        </w:tc>
      </w:tr>
    </w:tbl>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甲方融资的资金【</w:t>
      </w:r>
      <w:r w:rsidR="00425E11" w:rsidRPr="00DA21F5">
        <w:rPr>
          <w:rFonts w:ascii="微软雅黑" w:eastAsia="微软雅黑" w:hAnsi="微软雅黑" w:cs="微软雅黑" w:hint="eastAsia"/>
          <w:szCs w:val="21"/>
          <w:u w:val="single"/>
          <w:shd w:val="clear" w:color="auto" w:fill="FFFFFF"/>
          <w:lang w:bidi="ar"/>
        </w:rPr>
        <w:t>${本次招标金额}</w:t>
      </w:r>
      <w:r>
        <w:rPr>
          <w:rFonts w:ascii="微软雅黑" w:eastAsia="微软雅黑" w:hAnsi="微软雅黑" w:hint="eastAsia"/>
          <w:shd w:val="clear" w:color="000000" w:fill="FFFFFF"/>
        </w:rPr>
        <w:t>】并遵照以上资金计划安排融资，有融资计划在实施中出现偏差10%以上时需向乙方提出申请重新修改《委托融资协议》本协议附：项目融资安排说明。甲方在融资成功后的财务支出需遵照融资安排说明表阶段性使用，为确保项目融资款的安全使用，甲方的融资款使用需遵照项目融资安排表分每日多笔阶段性打款</w:t>
      </w:r>
      <w:r>
        <w:rPr>
          <w:rFonts w:ascii="微软雅黑" w:eastAsia="微软雅黑" w:hAnsi="微软雅黑" w:hint="eastAsia"/>
          <w:szCs w:val="22"/>
          <w:shd w:val="clear" w:color="000000" w:fill="FFFFFF"/>
        </w:rPr>
        <w:t>（每笔打</w:t>
      </w:r>
      <w:proofErr w:type="gramStart"/>
      <w:r>
        <w:rPr>
          <w:rFonts w:ascii="微软雅黑" w:eastAsia="微软雅黑" w:hAnsi="微软雅黑" w:hint="eastAsia"/>
          <w:szCs w:val="22"/>
          <w:shd w:val="clear" w:color="000000" w:fill="FFFFFF"/>
        </w:rPr>
        <w:t>款金融</w:t>
      </w:r>
      <w:proofErr w:type="gramEnd"/>
      <w:r>
        <w:rPr>
          <w:rFonts w:ascii="微软雅黑" w:eastAsia="微软雅黑" w:hAnsi="微软雅黑" w:hint="eastAsia"/>
          <w:szCs w:val="22"/>
          <w:shd w:val="clear" w:color="000000" w:fill="FFFFFF"/>
        </w:rPr>
        <w:t>最低为100元），</w:t>
      </w:r>
      <w:r>
        <w:rPr>
          <w:rFonts w:ascii="微软雅黑" w:eastAsia="微软雅黑" w:hAnsi="微软雅黑" w:hint="eastAsia"/>
          <w:shd w:val="clear" w:color="000000" w:fill="FFFFFF"/>
        </w:rPr>
        <w:t>其融资款使用财务支出情况每周以excel财务报表形式向乙方汇报。</w:t>
      </w:r>
    </w:p>
    <w:p w:rsidR="00BA7D22" w:rsidRDefault="00BA7D22">
      <w:pPr>
        <w:widowControl/>
        <w:spacing w:before="600" w:after="600" w:line="360" w:lineRule="auto"/>
        <w:ind w:left="1200" w:hanging="720"/>
        <w:jc w:val="left"/>
        <w:rPr>
          <w:rFonts w:hAnsi="Calibri"/>
          <w:sz w:val="24"/>
        </w:rPr>
      </w:pPr>
      <w:r>
        <w:rPr>
          <w:rFonts w:ascii="微软雅黑" w:eastAsia="微软雅黑" w:hAnsi="微软雅黑" w:hint="eastAsia"/>
          <w:b/>
          <w:shd w:val="clear" w:color="000000" w:fill="FFFFFF"/>
        </w:rPr>
        <w:t>第3条</w:t>
      </w:r>
      <w:r>
        <w:rPr>
          <w:rFonts w:ascii="Times New Roman" w:eastAsia="微软雅黑" w:hAnsi="Times New Roman"/>
          <w:b/>
          <w:sz w:val="14"/>
          <w:shd w:val="clear" w:color="000000" w:fill="FFFFFF"/>
        </w:rPr>
        <w:t xml:space="preserve">    </w:t>
      </w:r>
      <w:r>
        <w:rPr>
          <w:rFonts w:ascii="微软雅黑" w:eastAsia="微软雅黑" w:hAnsi="微软雅黑" w:hint="eastAsia"/>
          <w:b/>
          <w:shd w:val="clear" w:color="000000" w:fill="FFFFFF"/>
        </w:rPr>
        <w:t> 委托有效期</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本协议的委托有效期自甲方在升升投网站发布项目并通过升升投网站的审核得以公开展示之日至甲方完成融资并实现回款（包含客户收益部分）（以下简称“委托有效期”）。若委托有效期届满而升升投网站或本公司提供的融资服务仍在进行中，则委托有效期自动延长至该服务完成。</w:t>
      </w:r>
    </w:p>
    <w:p w:rsidR="00BA7D22" w:rsidRDefault="00BA7D22">
      <w:pPr>
        <w:widowControl/>
        <w:spacing w:before="600" w:after="600" w:line="360" w:lineRule="auto"/>
        <w:ind w:left="1200" w:hanging="720"/>
        <w:jc w:val="left"/>
        <w:rPr>
          <w:rFonts w:hAnsi="Calibri"/>
          <w:sz w:val="24"/>
        </w:rPr>
      </w:pPr>
      <w:r>
        <w:rPr>
          <w:rFonts w:ascii="微软雅黑" w:eastAsia="微软雅黑" w:hAnsi="微软雅黑" w:hint="eastAsia"/>
          <w:b/>
          <w:shd w:val="clear" w:color="000000" w:fill="FFFFFF"/>
        </w:rPr>
        <w:t>第4条</w:t>
      </w:r>
      <w:r>
        <w:rPr>
          <w:rFonts w:ascii="Times New Roman" w:eastAsia="微软雅黑" w:hAnsi="Times New Roman"/>
          <w:b/>
          <w:sz w:val="14"/>
          <w:shd w:val="clear" w:color="000000" w:fill="FFFFFF"/>
        </w:rPr>
        <w:t xml:space="preserve">    </w:t>
      </w:r>
      <w:r>
        <w:rPr>
          <w:rFonts w:ascii="微软雅黑" w:eastAsia="微软雅黑" w:hAnsi="微软雅黑" w:hint="eastAsia"/>
          <w:b/>
          <w:shd w:val="clear" w:color="000000" w:fill="FFFFFF"/>
        </w:rPr>
        <w:t> 甲方厂区宣传合作方案</w:t>
      </w:r>
    </w:p>
    <w:p w:rsidR="00BA7D22" w:rsidRDefault="00BA7D22">
      <w:pPr>
        <w:widowControl/>
        <w:spacing w:before="600" w:after="600" w:line="360" w:lineRule="auto"/>
        <w:ind w:firstLine="525"/>
        <w:jc w:val="left"/>
        <w:rPr>
          <w:rFonts w:hAnsi="Calibri"/>
        </w:rPr>
      </w:pPr>
      <w:r>
        <w:rPr>
          <w:rFonts w:ascii="微软雅黑" w:eastAsia="微软雅黑" w:hAnsi="微软雅黑" w:hint="eastAsia"/>
          <w:shd w:val="clear" w:color="000000" w:fill="FFFFFF"/>
        </w:rPr>
        <w:lastRenderedPageBreak/>
        <w:t>为发挥甲乙双方自身传媒及各自资源优势互补的原则，甲方同意乙方在合适的位置免费安装宣传牌和放置宣传展示物料，本着平等协商一致的基础上就委托融资项目合作事业约定如下，双方共同遵守。</w:t>
      </w:r>
    </w:p>
    <w:p w:rsidR="00BA7D22" w:rsidRDefault="00BA7D22">
      <w:pPr>
        <w:widowControl/>
        <w:spacing w:before="600" w:after="600"/>
        <w:jc w:val="left"/>
        <w:rPr>
          <w:rFonts w:hAnsi="Calibri"/>
        </w:rPr>
      </w:pPr>
      <w:r>
        <w:rPr>
          <w:rFonts w:ascii="微软雅黑" w:eastAsia="微软雅黑" w:hAnsi="微软雅黑" w:hint="eastAsia"/>
          <w:shd w:val="clear" w:color="000000" w:fill="FFFFFF"/>
        </w:rPr>
        <w:t>     乙方同意给予甲方免费安装宣传物料，并在本协议签署日起五个工作日完成合作宣传物料的安装，甲方在此协议签订后</w:t>
      </w:r>
      <w:r>
        <w:rPr>
          <w:rFonts w:ascii="微软雅黑" w:eastAsia="微软雅黑" w:hAnsi="微软雅黑" w:hint="eastAsia"/>
          <w:u w:val="single"/>
          <w:shd w:val="clear" w:color="000000" w:fill="FFFFFF"/>
        </w:rPr>
        <w:t xml:space="preserve">  3  </w:t>
      </w:r>
      <w:r>
        <w:rPr>
          <w:rFonts w:ascii="微软雅黑" w:eastAsia="微软雅黑" w:hAnsi="微软雅黑" w:hint="eastAsia"/>
          <w:shd w:val="clear" w:color="000000" w:fill="FFFFFF"/>
        </w:rPr>
        <w:t>日内提供宣传内容的图像视频等资料，乙方在取得甲方提供的资料后五个工作日完成宣传广告的包装设计，并合理安装放置于合作方厂区内。</w:t>
      </w:r>
    </w:p>
    <w:p w:rsidR="00BA7D22" w:rsidRDefault="00BA7D22">
      <w:pPr>
        <w:widowControl/>
        <w:spacing w:before="600" w:after="600"/>
        <w:jc w:val="left"/>
        <w:rPr>
          <w:rFonts w:hAnsi="Calibri"/>
        </w:rPr>
      </w:pPr>
      <w:r>
        <w:rPr>
          <w:rFonts w:ascii="微软雅黑" w:eastAsia="微软雅黑" w:hAnsi="微软雅黑" w:hint="eastAsia"/>
          <w:shd w:val="clear" w:color="000000" w:fill="FFFFFF"/>
        </w:rPr>
        <w:t>     甲方同意乙方予其他宣传方式在厂区内免费宣传项目于升升投的合作内容，并免费提供场地放置安装、宣传材料和内容需征得甲方的审核后执行。</w:t>
      </w:r>
    </w:p>
    <w:p w:rsidR="00BA7D22" w:rsidRDefault="00BA7D22">
      <w:pPr>
        <w:widowControl/>
        <w:spacing w:before="600" w:after="600"/>
        <w:ind w:left="1200" w:hanging="720"/>
        <w:jc w:val="left"/>
        <w:rPr>
          <w:rFonts w:hAnsi="Calibri"/>
          <w:sz w:val="24"/>
        </w:rPr>
      </w:pPr>
      <w:r>
        <w:rPr>
          <w:rFonts w:ascii="微软雅黑" w:eastAsia="微软雅黑" w:hAnsi="微软雅黑" w:hint="eastAsia"/>
          <w:b/>
          <w:shd w:val="clear" w:color="000000" w:fill="FFFFFF"/>
        </w:rPr>
        <w:t>第5条</w:t>
      </w:r>
      <w:r>
        <w:rPr>
          <w:rFonts w:ascii="Times New Roman" w:eastAsia="微软雅黑" w:hAnsi="Times New Roman"/>
          <w:b/>
          <w:sz w:val="14"/>
          <w:shd w:val="clear" w:color="000000" w:fill="FFFFFF"/>
        </w:rPr>
        <w:t xml:space="preserve">    </w:t>
      </w:r>
      <w:r>
        <w:rPr>
          <w:rFonts w:ascii="微软雅黑" w:eastAsia="微软雅黑" w:hAnsi="微软雅黑" w:hint="eastAsia"/>
          <w:shd w:val="clear" w:color="000000" w:fill="FFFFFF"/>
        </w:rPr>
        <w:t> </w:t>
      </w:r>
      <w:r>
        <w:rPr>
          <w:rFonts w:ascii="微软雅黑" w:eastAsia="微软雅黑" w:hAnsi="微软雅黑" w:hint="eastAsia"/>
          <w:b/>
          <w:shd w:val="clear" w:color="000000" w:fill="FFFFFF"/>
        </w:rPr>
        <w:t>甲方的权利和义务</w:t>
      </w:r>
    </w:p>
    <w:p w:rsidR="00BA7D22" w:rsidRDefault="00BA7D22">
      <w:pPr>
        <w:widowControl/>
        <w:spacing w:before="600" w:after="600"/>
        <w:ind w:left="480"/>
        <w:jc w:val="left"/>
        <w:rPr>
          <w:rFonts w:hAnsi="Calibri"/>
        </w:rPr>
      </w:pPr>
      <w:r>
        <w:rPr>
          <w:rFonts w:ascii="微软雅黑" w:eastAsia="微软雅黑" w:hAnsi="微软雅黑" w:hint="eastAsia"/>
          <w:shd w:val="clear" w:color="000000" w:fill="FFFFFF"/>
        </w:rPr>
        <w:t>5.1  甲方应按照乙方运营的升升投网站的规则，在签署《委托融资服务协议》的当日</w:t>
      </w:r>
      <w:r>
        <w:rPr>
          <w:rFonts w:ascii="微软雅黑" w:eastAsia="微软雅黑" w:hAnsi="微软雅黑" w:hint="eastAsia"/>
          <w:szCs w:val="22"/>
          <w:shd w:val="clear" w:color="000000" w:fill="FFFFFF"/>
        </w:rPr>
        <w:t>注册升升投会员账号，在融资项目举行第一次投资对接会的前一天将甲方出资款转入 </w:t>
      </w:r>
      <w:r>
        <w:rPr>
          <w:rFonts w:ascii="微软雅黑" w:eastAsia="微软雅黑" w:hAnsi="微软雅黑" w:hint="eastAsia"/>
          <w:szCs w:val="22"/>
          <w:u w:val="single"/>
          <w:shd w:val="clear" w:color="000000" w:fill="FFFFFF"/>
        </w:rPr>
        <w:t>       云南富滇银行    第三方监管账户或甲方以固定资产或其他方式进行投资</w:t>
      </w:r>
      <w:r>
        <w:rPr>
          <w:rFonts w:ascii="微软雅黑" w:eastAsia="微软雅黑" w:hAnsi="微软雅黑" w:hint="eastAsia"/>
          <w:szCs w:val="22"/>
          <w:shd w:val="clear" w:color="000000" w:fill="FFFFFF"/>
        </w:rPr>
        <w:t>。融资成功后，甲方在乙方投融资平台（升升投www.zxzbol.com）提取融资款时自动支付融资费用（总融资款2%）。</w:t>
      </w:r>
    </w:p>
    <w:p w:rsidR="00BA7D22" w:rsidRDefault="00BA7D22">
      <w:pPr>
        <w:widowControl/>
        <w:spacing w:before="600" w:after="600"/>
        <w:ind w:left="480"/>
        <w:jc w:val="left"/>
        <w:rPr>
          <w:rFonts w:ascii="微软雅黑" w:eastAsia="微软雅黑" w:hAnsi="微软雅黑"/>
          <w:szCs w:val="22"/>
          <w:shd w:val="clear" w:color="000000" w:fill="FFFFFF"/>
        </w:rPr>
      </w:pPr>
      <w:r>
        <w:rPr>
          <w:rFonts w:ascii="微软雅黑" w:eastAsia="微软雅黑" w:hAnsi="微软雅黑" w:hint="eastAsia"/>
          <w:szCs w:val="22"/>
          <w:shd w:val="clear" w:color="000000" w:fill="FFFFFF"/>
        </w:rPr>
        <w:t>5.2  甲方应按照乙方运营的升升投网站的规则，在签署《委托融资服务协议》时接受乙方提供的</w:t>
      </w:r>
      <w:proofErr w:type="gramStart"/>
      <w:r>
        <w:rPr>
          <w:rFonts w:ascii="微软雅黑" w:eastAsia="微软雅黑" w:hAnsi="微软雅黑" w:hint="eastAsia"/>
          <w:szCs w:val="22"/>
          <w:shd w:val="clear" w:color="000000" w:fill="FFFFFF"/>
        </w:rPr>
        <w:t>股权众筹或</w:t>
      </w:r>
      <w:proofErr w:type="gramEnd"/>
      <w:r>
        <w:rPr>
          <w:rFonts w:ascii="微软雅黑" w:eastAsia="微软雅黑" w:hAnsi="微软雅黑" w:hint="eastAsia"/>
          <w:szCs w:val="22"/>
          <w:shd w:val="clear" w:color="000000" w:fill="FFFFFF"/>
        </w:rPr>
        <w:t>其他方式的融资服务模式。</w:t>
      </w:r>
    </w:p>
    <w:p w:rsidR="00BA7D22" w:rsidRDefault="00BA7D22">
      <w:pPr>
        <w:widowControl/>
        <w:spacing w:before="600" w:after="600"/>
        <w:ind w:left="480"/>
        <w:jc w:val="left"/>
        <w:rPr>
          <w:rFonts w:hAnsi="Calibri"/>
        </w:rPr>
      </w:pPr>
      <w:r>
        <w:rPr>
          <w:rFonts w:ascii="微软雅黑" w:eastAsia="微软雅黑" w:hAnsi="微软雅黑" w:hint="eastAsia"/>
          <w:shd w:val="clear" w:color="000000" w:fill="FFFFFF"/>
        </w:rPr>
        <w:lastRenderedPageBreak/>
        <w:t>5.3  甲方融资成功后</w:t>
      </w:r>
      <w:proofErr w:type="gramStart"/>
      <w:r>
        <w:rPr>
          <w:rFonts w:ascii="微软雅黑" w:eastAsia="微软雅黑" w:hAnsi="微软雅黑" w:hint="eastAsia"/>
          <w:shd w:val="clear" w:color="000000" w:fill="FFFFFF"/>
        </w:rPr>
        <w:t>怠</w:t>
      </w:r>
      <w:proofErr w:type="gramEnd"/>
      <w:r>
        <w:rPr>
          <w:rFonts w:ascii="微软雅黑" w:eastAsia="微软雅黑" w:hAnsi="微软雅黑" w:hint="eastAsia"/>
          <w:shd w:val="clear" w:color="000000" w:fill="FFFFFF"/>
        </w:rPr>
        <w:t>于履行商品采购、筹划等义务阻碍项目进行的或有其他损害升</w:t>
      </w:r>
      <w:r>
        <w:rPr>
          <w:rFonts w:ascii="微软雅黑" w:eastAsia="微软雅黑" w:hAnsi="微软雅黑" w:hint="eastAsia"/>
          <w:szCs w:val="22"/>
          <w:shd w:val="clear" w:color="000000" w:fill="FFFFFF"/>
        </w:rPr>
        <w:t>升投网站声誉行为的，视为甲方违约，则甲方需向乙方支付融资总额</w:t>
      </w:r>
      <w:r>
        <w:rPr>
          <w:rFonts w:ascii="微软雅黑" w:eastAsia="微软雅黑" w:hAnsi="微软雅黑" w:hint="eastAsia"/>
          <w:szCs w:val="22"/>
          <w:u w:val="single"/>
          <w:shd w:val="clear" w:color="000000" w:fill="FFFFFF"/>
        </w:rPr>
        <w:t>5%</w:t>
      </w:r>
      <w:r>
        <w:rPr>
          <w:rFonts w:ascii="微软雅黑" w:eastAsia="微软雅黑" w:hAnsi="微软雅黑" w:hint="eastAsia"/>
          <w:szCs w:val="22"/>
          <w:shd w:val="clear" w:color="000000" w:fill="FFFFFF"/>
        </w:rPr>
        <w:t>的违约金。甲方同意违约金等由乙方从甲方打入</w:t>
      </w:r>
      <w:r>
        <w:rPr>
          <w:rFonts w:ascii="微软雅黑" w:eastAsia="微软雅黑" w:hAnsi="微软雅黑" w:hint="eastAsia"/>
          <w:szCs w:val="22"/>
          <w:u w:val="single"/>
          <w:shd w:val="clear" w:color="000000" w:fill="FFFFFF"/>
        </w:rPr>
        <w:t>        云南富滇银行     第三方监管账户</w:t>
      </w:r>
      <w:r>
        <w:rPr>
          <w:rFonts w:ascii="微软雅黑" w:eastAsia="微软雅黑" w:hAnsi="微软雅黑" w:hint="eastAsia"/>
          <w:szCs w:val="22"/>
          <w:shd w:val="clear" w:color="000000" w:fill="FFFFFF"/>
        </w:rPr>
        <w:t>的出资款中扣除。</w:t>
      </w:r>
    </w:p>
    <w:p w:rsidR="00BA7D22" w:rsidRDefault="00BA7D22">
      <w:pPr>
        <w:widowControl/>
        <w:spacing w:before="600" w:after="600"/>
        <w:ind w:left="480"/>
        <w:jc w:val="left"/>
        <w:rPr>
          <w:rFonts w:hAnsi="Calibri"/>
        </w:rPr>
      </w:pPr>
      <w:r>
        <w:rPr>
          <w:rFonts w:ascii="微软雅黑" w:eastAsia="微软雅黑" w:hAnsi="微软雅黑" w:hint="eastAsia"/>
          <w:shd w:val="clear" w:color="000000" w:fill="FFFFFF"/>
        </w:rPr>
        <w:t>5.4  甲方承诺，在项目推广融资期开始后不得越过乙方与升升投网站的认证投资人就本协议项下的项目达成任何形式的合作，否则视为甲方违约，则甲方须向乙方支付融资总额的5%的违约金。</w:t>
      </w:r>
      <w:r>
        <w:rPr>
          <w:rFonts w:ascii="微软雅黑" w:eastAsia="微软雅黑" w:hAnsi="微软雅黑" w:hint="eastAsia"/>
          <w:szCs w:val="22"/>
          <w:shd w:val="clear" w:color="000000" w:fill="FFFFFF"/>
        </w:rPr>
        <w:t>甲方同意违约金等由乙方从甲方打入</w:t>
      </w:r>
      <w:r>
        <w:rPr>
          <w:rFonts w:ascii="微软雅黑" w:eastAsia="微软雅黑" w:hAnsi="微软雅黑" w:hint="eastAsia"/>
          <w:szCs w:val="22"/>
          <w:u w:val="single"/>
          <w:shd w:val="clear" w:color="000000" w:fill="FFFFFF"/>
        </w:rPr>
        <w:t>     云南富滇银行   第三方监管账户</w:t>
      </w:r>
      <w:r>
        <w:rPr>
          <w:rFonts w:ascii="微软雅黑" w:eastAsia="微软雅黑" w:hAnsi="微软雅黑" w:hint="eastAsia"/>
          <w:szCs w:val="22"/>
          <w:shd w:val="clear" w:color="000000" w:fill="FFFFFF"/>
        </w:rPr>
        <w:t>的出资款中扣除。</w:t>
      </w:r>
    </w:p>
    <w:p w:rsidR="00BA7D22" w:rsidRDefault="00BA7D22">
      <w:pPr>
        <w:widowControl/>
        <w:spacing w:before="600" w:after="600"/>
        <w:ind w:left="480"/>
        <w:jc w:val="left"/>
        <w:rPr>
          <w:rFonts w:hAnsi="Calibri"/>
        </w:rPr>
      </w:pPr>
      <w:r>
        <w:rPr>
          <w:rFonts w:ascii="微软雅黑" w:eastAsia="微软雅黑" w:hAnsi="微软雅黑" w:hint="eastAsia"/>
          <w:shd w:val="clear" w:color="000000" w:fill="FFFFFF"/>
        </w:rPr>
        <w:t>5.5  当项目推广投资期结束后，乙方不收取任何费用。</w:t>
      </w:r>
    </w:p>
    <w:p w:rsidR="00BA7D22" w:rsidRDefault="00BA7D22">
      <w:pPr>
        <w:widowControl/>
        <w:spacing w:before="600" w:after="600"/>
        <w:ind w:left="480"/>
        <w:jc w:val="left"/>
        <w:rPr>
          <w:rFonts w:hAnsi="Calibri"/>
        </w:rPr>
      </w:pPr>
      <w:r>
        <w:rPr>
          <w:rFonts w:ascii="微软雅黑" w:eastAsia="微软雅黑" w:hAnsi="微软雅黑" w:hint="eastAsia"/>
          <w:shd w:val="clear" w:color="000000" w:fill="FFFFFF"/>
        </w:rPr>
        <w:t>5.6  在融资推广期30天（注：从甲方投资款打入</w:t>
      </w:r>
      <w:r>
        <w:rPr>
          <w:rFonts w:ascii="微软雅黑" w:eastAsia="微软雅黑" w:hAnsi="微软雅黑" w:hint="eastAsia"/>
          <w:szCs w:val="22"/>
          <w:u w:val="single"/>
          <w:shd w:val="clear" w:color="000000" w:fill="FFFFFF"/>
        </w:rPr>
        <w:t>           云南富滇银行   第三方监管账户日为准</w:t>
      </w:r>
      <w:r>
        <w:rPr>
          <w:rFonts w:ascii="微软雅黑" w:eastAsia="微软雅黑" w:hAnsi="微软雅黑" w:hint="eastAsia"/>
          <w:shd w:val="clear" w:color="000000" w:fill="FFFFFF"/>
        </w:rPr>
        <w:t>）后融资失败的，此时甲方有权收回出资款。</w:t>
      </w:r>
    </w:p>
    <w:p w:rsidR="00BA7D22" w:rsidRDefault="00BA7D22">
      <w:pPr>
        <w:widowControl/>
        <w:spacing w:before="600" w:after="600"/>
        <w:ind w:left="480"/>
        <w:jc w:val="left"/>
        <w:rPr>
          <w:rFonts w:hAnsi="Calibri"/>
        </w:rPr>
      </w:pPr>
      <w:r>
        <w:rPr>
          <w:rFonts w:ascii="微软雅黑" w:eastAsia="微软雅黑" w:hAnsi="微软雅黑" w:hint="eastAsia"/>
          <w:b/>
          <w:shd w:val="clear" w:color="000000" w:fill="FFFFFF"/>
        </w:rPr>
        <w:t>第6条  乙方权利义务</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6.1  在升升投网站以适当的方式对甲方进行宣传与推广，通过升升投网站为甲方寻找适合的投资者，在项目预热中（注：项目线上预热周期为10天）可为甲方提供不大于3次的</w:t>
      </w:r>
      <w:proofErr w:type="gramStart"/>
      <w:r>
        <w:rPr>
          <w:rFonts w:ascii="微软雅黑" w:eastAsia="微软雅黑" w:hAnsi="微软雅黑" w:hint="eastAsia"/>
          <w:shd w:val="clear" w:color="000000" w:fill="FFFFFF"/>
        </w:rPr>
        <w:t>融资路</w:t>
      </w:r>
      <w:proofErr w:type="gramEnd"/>
      <w:r>
        <w:rPr>
          <w:rFonts w:ascii="微软雅黑" w:eastAsia="微软雅黑" w:hAnsi="微软雅黑" w:hint="eastAsia"/>
          <w:shd w:val="clear" w:color="000000" w:fill="FFFFFF"/>
        </w:rPr>
        <w:t>演服务；</w:t>
      </w:r>
    </w:p>
    <w:p w:rsidR="00BA7D22" w:rsidRDefault="00BA7D22">
      <w:pPr>
        <w:widowControl/>
        <w:spacing w:before="600" w:after="600"/>
        <w:ind w:left="480"/>
        <w:jc w:val="left"/>
        <w:rPr>
          <w:rFonts w:ascii="微软雅黑" w:eastAsia="微软雅黑" w:hAnsi="微软雅黑"/>
          <w:szCs w:val="22"/>
          <w:shd w:val="clear" w:color="000000" w:fill="FFFFFF"/>
        </w:rPr>
      </w:pPr>
      <w:r>
        <w:rPr>
          <w:rFonts w:ascii="微软雅黑" w:eastAsia="微软雅黑" w:hAnsi="微软雅黑" w:hint="eastAsia"/>
          <w:szCs w:val="22"/>
          <w:shd w:val="clear" w:color="000000" w:fill="FFFFFF"/>
        </w:rPr>
        <w:t>6.2  乙方为甲方提供相关融资资金存管（乙方存管银行--云南富滇银行）</w:t>
      </w:r>
    </w:p>
    <w:p w:rsidR="00BA7D22" w:rsidRDefault="00BA7D22">
      <w:pPr>
        <w:widowControl/>
        <w:spacing w:before="600" w:after="600"/>
        <w:ind w:left="480"/>
        <w:jc w:val="left"/>
        <w:rPr>
          <w:rFonts w:ascii="微软雅黑" w:eastAsia="微软雅黑" w:hAnsi="微软雅黑"/>
          <w:szCs w:val="22"/>
          <w:shd w:val="clear" w:color="000000" w:fill="FFFFFF"/>
        </w:rPr>
      </w:pPr>
      <w:r>
        <w:rPr>
          <w:rFonts w:ascii="微软雅黑" w:eastAsia="微软雅黑" w:hAnsi="微软雅黑" w:hint="eastAsia"/>
          <w:szCs w:val="22"/>
          <w:shd w:val="clear" w:color="000000" w:fill="FFFFFF"/>
        </w:rPr>
        <w:lastRenderedPageBreak/>
        <w:t>6.3  升升投网站与专业律师事务所合作，有偿为甲方提供额外的法律咨询、尽职调查、方案设计、交易协议等法律文件起草等专业法律服务（注：额外有偿服务收费标准一经双方确认后的标准收费）；</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6.4  升升投网站提供信息交流和分享服务；</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6.5  协议甲方通过相关协议的条款设定，保障甲方的经验管理权限，为甲方规范化管理奠定发展基础；乙方作为升升投平台的运营方，有义务保证平台的正常运行。</w:t>
      </w:r>
    </w:p>
    <w:p w:rsidR="00BA7D22" w:rsidRDefault="00BA7D22">
      <w:pPr>
        <w:widowControl/>
        <w:spacing w:before="600" w:after="600"/>
        <w:ind w:left="480"/>
        <w:jc w:val="left"/>
        <w:rPr>
          <w:rFonts w:ascii="微软雅黑" w:eastAsia="微软雅黑" w:hAnsi="微软雅黑"/>
          <w:szCs w:val="22"/>
          <w:shd w:val="clear" w:color="000000" w:fill="FFFFFF"/>
        </w:rPr>
      </w:pPr>
      <w:r>
        <w:rPr>
          <w:rFonts w:ascii="微软雅黑" w:eastAsia="微软雅黑" w:hAnsi="微软雅黑" w:hint="eastAsia"/>
          <w:szCs w:val="22"/>
          <w:shd w:val="clear" w:color="000000" w:fill="FFFFFF"/>
        </w:rPr>
        <w:t>6.6  乙方有权就甲方的融资事宜收取融资费用，融资失败的乙方不承担任何赔偿。如在双方合作中，甲方违约，乙方有权拒绝为甲方继续提供融资服务。</w:t>
      </w:r>
    </w:p>
    <w:p w:rsidR="00BA7D22" w:rsidRDefault="00BA7D22">
      <w:pPr>
        <w:widowControl/>
        <w:tabs>
          <w:tab w:val="left" w:pos="5434"/>
        </w:tabs>
        <w:spacing w:before="600" w:after="600" w:line="360" w:lineRule="auto"/>
        <w:ind w:left="480"/>
        <w:jc w:val="left"/>
        <w:rPr>
          <w:rFonts w:hAnsi="Calibri"/>
        </w:rPr>
      </w:pPr>
      <w:r>
        <w:rPr>
          <w:rFonts w:ascii="微软雅黑" w:eastAsia="微软雅黑" w:hAnsi="微软雅黑" w:hint="eastAsia"/>
          <w:b/>
          <w:shd w:val="clear" w:color="000000" w:fill="FFFFFF"/>
        </w:rPr>
        <w:t>第7条  声明与承诺</w:t>
      </w:r>
      <w:r>
        <w:rPr>
          <w:rFonts w:ascii="微软雅黑" w:eastAsia="微软雅黑" w:hAnsi="微软雅黑" w:hint="eastAsia"/>
          <w:b/>
          <w:shd w:val="clear" w:color="000000" w:fill="FFFFFF"/>
        </w:rPr>
        <w:tab/>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7.1  甲方承诺，在委托有效期内遵守</w:t>
      </w:r>
      <w:proofErr w:type="gramStart"/>
      <w:r>
        <w:rPr>
          <w:rFonts w:ascii="微软雅黑" w:eastAsia="微软雅黑" w:hAnsi="微软雅黑" w:hint="eastAsia"/>
          <w:shd w:val="clear" w:color="000000" w:fill="FFFFFF"/>
        </w:rPr>
        <w:t>升升投站的</w:t>
      </w:r>
      <w:proofErr w:type="gramEnd"/>
      <w:r>
        <w:rPr>
          <w:rFonts w:ascii="微软雅黑" w:eastAsia="微软雅黑" w:hAnsi="微软雅黑" w:hint="eastAsia"/>
          <w:shd w:val="clear" w:color="000000" w:fill="FFFFFF"/>
        </w:rPr>
        <w:t>使用规则，维护升升投网站的公信力，在升升投网站所申报项目的所有信息真实、及时、有效，不存在虚假陈述、重大遗漏及误导性陈述，并且项目信息不存在侵犯他方知识产权或其他权利的情形。</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7.2  甲方承诺，升升投网站提供的为完成本项委托所需要的涉及经营和财务的重要信息和数据是真实、准确、完整的。</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lastRenderedPageBreak/>
        <w:t>7.3  乙方承诺，在甲方签署《委托融资服务协议》后并采集完甲方融资项目的包装文案材料、视频拍摄和项目采访</w:t>
      </w:r>
      <w:r>
        <w:rPr>
          <w:rFonts w:ascii="微软雅黑" w:eastAsia="微软雅黑" w:hAnsi="微软雅黑" w:hint="eastAsia"/>
          <w:szCs w:val="22"/>
          <w:shd w:val="clear" w:color="000000" w:fill="FFFFFF"/>
        </w:rPr>
        <w:t>后</w:t>
      </w:r>
      <w:r>
        <w:rPr>
          <w:rFonts w:ascii="微软雅黑" w:eastAsia="微软雅黑" w:hAnsi="微软雅黑" w:hint="eastAsia"/>
          <w:szCs w:val="22"/>
          <w:u w:val="single"/>
          <w:shd w:val="clear" w:color="000000" w:fill="FFFFFF"/>
        </w:rPr>
        <w:t>七</w:t>
      </w:r>
      <w:r>
        <w:rPr>
          <w:rFonts w:ascii="微软雅黑" w:eastAsia="微软雅黑" w:hAnsi="微软雅黑" w:hint="eastAsia"/>
          <w:szCs w:val="22"/>
          <w:shd w:val="clear" w:color="000000" w:fill="FFFFFF"/>
        </w:rPr>
        <w:t>天</w:t>
      </w:r>
      <w:r>
        <w:rPr>
          <w:rFonts w:ascii="微软雅黑" w:eastAsia="微软雅黑" w:hAnsi="微软雅黑" w:hint="eastAsia"/>
          <w:shd w:val="clear" w:color="000000" w:fill="FFFFFF"/>
        </w:rPr>
        <w:t>内完成项目包装上线预热（特殊情况除外）。</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7.4  乙方承诺，在委托有效期内，勤勉、尽责的履行职责，为甲方提供便利的融资网站，尽最大可能帮助甲方获得融资。</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7.5  乙方承诺，对于甲方明确的保密内容，没有甲方的许可，不向任何第三方公开。</w:t>
      </w:r>
    </w:p>
    <w:p w:rsidR="00BA7D22" w:rsidRDefault="00BA7D22">
      <w:pPr>
        <w:widowControl/>
        <w:spacing w:before="600" w:after="600" w:line="360" w:lineRule="auto"/>
        <w:ind w:left="480"/>
        <w:jc w:val="left"/>
        <w:rPr>
          <w:rFonts w:hAnsi="Calibri"/>
        </w:rPr>
      </w:pPr>
      <w:r>
        <w:rPr>
          <w:rFonts w:ascii="微软雅黑" w:eastAsia="微软雅黑" w:hAnsi="微软雅黑" w:hint="eastAsia"/>
          <w:b/>
          <w:shd w:val="clear" w:color="000000" w:fill="FFFFFF"/>
        </w:rPr>
        <w:t>第8条  文本及生效</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8.1  本协议是双方关于本项委托的最新文本，将取代在此之前达成的任何书面或口头的协议。除非在本协议生效后双方以书面的形式签订补充协议，否则本协议所载条款不能更改。本协议未尽事宜，由双方本着诚信原则友好协商并以签订补充协议的方式处理。</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8.2  本协议经双方签字盖章后生效，一式两份，双方各执壹份，具有同等法律效力。</w:t>
      </w:r>
    </w:p>
    <w:p w:rsidR="00BA7D22" w:rsidRDefault="00BA7D22">
      <w:pPr>
        <w:widowControl/>
        <w:spacing w:before="600" w:after="600" w:line="360" w:lineRule="auto"/>
        <w:ind w:left="480"/>
        <w:jc w:val="left"/>
        <w:rPr>
          <w:rFonts w:hAnsi="Calibri"/>
        </w:rPr>
      </w:pPr>
      <w:r>
        <w:rPr>
          <w:rFonts w:ascii="微软雅黑" w:eastAsia="微软雅黑" w:hAnsi="微软雅黑" w:hint="eastAsia"/>
          <w:b/>
          <w:shd w:val="clear" w:color="000000" w:fill="FFFFFF"/>
        </w:rPr>
        <w:t>第9条  其他</w:t>
      </w:r>
    </w:p>
    <w:p w:rsidR="00BA7D22" w:rsidRDefault="00BA7D22">
      <w:pPr>
        <w:widowControl/>
        <w:spacing w:before="600" w:after="600" w:line="360" w:lineRule="auto"/>
        <w:ind w:left="480"/>
        <w:jc w:val="left"/>
        <w:rPr>
          <w:rFonts w:ascii="微软雅黑" w:eastAsia="微软雅黑" w:hAnsi="微软雅黑"/>
          <w:shd w:val="clear" w:color="000000" w:fill="FFFFFF"/>
        </w:rPr>
      </w:pPr>
      <w:r>
        <w:rPr>
          <w:rFonts w:ascii="微软雅黑" w:eastAsia="微软雅黑" w:hAnsi="微软雅黑" w:hint="eastAsia"/>
          <w:shd w:val="clear" w:color="000000" w:fill="FFFFFF"/>
        </w:rPr>
        <w:t>本协议适用中华人民共和国有关法律。凡因本协议所发生的或与之相关的任何争议，双方应友好协商解决。如不能协商解决的，任何一方均可向乙方所在地的人民法院起诉。</w:t>
      </w:r>
    </w:p>
    <w:p w:rsidR="00BA7D22" w:rsidRDefault="00BA7D22" w:rsidP="00A70FB9">
      <w:pPr>
        <w:widowControl/>
        <w:spacing w:before="240" w:after="240"/>
        <w:ind w:firstLine="420"/>
        <w:jc w:val="left"/>
        <w:rPr>
          <w:rFonts w:ascii="微软雅黑" w:eastAsia="微软雅黑" w:hAnsi="微软雅黑"/>
          <w:color w:val="FFFFFF" w:themeColor="background1"/>
        </w:rPr>
      </w:pPr>
      <w:r>
        <w:rPr>
          <w:rFonts w:ascii="微软雅黑" w:eastAsia="微软雅黑" w:hAnsi="微软雅黑" w:hint="eastAsia"/>
          <w:shd w:val="clear" w:color="000000" w:fill="FFFFFF"/>
        </w:rPr>
        <w:lastRenderedPageBreak/>
        <w:t> 甲方（盖章）：</w:t>
      </w:r>
      <w:r w:rsidRPr="00425E11">
        <w:rPr>
          <w:rFonts w:ascii="宋体" w:hint="eastAsia"/>
          <w:shd w:val="clear" w:color="000000" w:fill="FFFFFF"/>
        </w:rPr>
        <w:t xml:space="preserve"> </w:t>
      </w:r>
      <w:r w:rsidR="00425E11" w:rsidRPr="00DA21F5">
        <w:rPr>
          <w:rFonts w:ascii="微软雅黑" w:eastAsia="微软雅黑" w:hAnsi="微软雅黑" w:hint="eastAsia"/>
          <w:u w:val="single"/>
        </w:rPr>
        <w:t>${借款人姓名}</w:t>
      </w:r>
      <w:r w:rsidR="00AA3806">
        <w:rPr>
          <w:rFonts w:ascii="微软雅黑" w:eastAsia="微软雅黑" w:hAnsi="微软雅黑"/>
        </w:rPr>
        <w:t xml:space="preserve"> </w:t>
      </w:r>
      <w:r w:rsidR="00AA3806" w:rsidRPr="00A70FB9">
        <w:rPr>
          <w:rFonts w:ascii="微软雅黑" w:eastAsia="微软雅黑" w:hAnsi="微软雅黑"/>
          <w:color w:val="FF0000"/>
        </w:rPr>
        <w:t xml:space="preserve"> </w:t>
      </w:r>
      <w:r w:rsidR="00A70FB9">
        <w:rPr>
          <w:rFonts w:ascii="微软雅黑" w:eastAsia="微软雅黑" w:hAnsi="微软雅黑"/>
          <w:color w:val="FF0000"/>
        </w:rPr>
        <w:t xml:space="preserve"> </w:t>
      </w:r>
      <w:r w:rsidR="00A70FB9" w:rsidRPr="00A70FB9">
        <w:rPr>
          <w:rFonts w:ascii="微软雅黑" w:eastAsia="微软雅黑" w:hAnsi="微软雅黑"/>
          <w:color w:val="FFFFFF" w:themeColor="background1"/>
        </w:rPr>
        <w:t xml:space="preserve"> </w:t>
      </w:r>
      <w:r w:rsidR="00740AF1">
        <w:rPr>
          <w:rFonts w:ascii="微软雅黑" w:eastAsia="微软雅黑" w:hAnsi="微软雅黑"/>
          <w:color w:val="FFFFFF" w:themeColor="background1"/>
        </w:rPr>
        <w:t xml:space="preserve">      </w:t>
      </w:r>
    </w:p>
    <w:p w:rsidR="0028462F" w:rsidRPr="008A4E4A" w:rsidRDefault="0028462F" w:rsidP="0028462F">
      <w:pPr>
        <w:widowControl/>
        <w:spacing w:before="240" w:after="240"/>
        <w:ind w:left="1260" w:firstLine="420"/>
        <w:jc w:val="left"/>
        <w:rPr>
          <w:rFonts w:hAnsi="Calibri" w:hint="eastAsia"/>
          <w:color w:val="FFFFFF" w:themeColor="background1"/>
        </w:rPr>
      </w:pPr>
      <w:r w:rsidRPr="008A4E4A">
        <w:rPr>
          <w:rFonts w:ascii="微软雅黑" w:eastAsia="微软雅黑" w:hAnsi="微软雅黑"/>
          <w:color w:val="FFFFFF" w:themeColor="background1"/>
        </w:rPr>
        <w:t xml:space="preserve">  </w:t>
      </w:r>
      <w:r w:rsidRPr="008A4E4A">
        <w:rPr>
          <w:rFonts w:ascii="微软雅黑" w:eastAsia="微软雅黑" w:hAnsi="微软雅黑" w:hint="eastAsia"/>
          <w:color w:val="FFFFFF" w:themeColor="background1"/>
        </w:rPr>
        <w:t>${借款人众签id}</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法定代表人/授权代表人：</w:t>
      </w:r>
      <w:r w:rsidR="00425E11" w:rsidRPr="00DA21F5">
        <w:rPr>
          <w:rFonts w:ascii="微软雅黑" w:eastAsia="微软雅黑" w:hAnsi="微软雅黑" w:hint="eastAsia"/>
          <w:u w:val="single"/>
        </w:rPr>
        <w:t>${借款人法人}</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签约时间：</w:t>
      </w:r>
      <w:bookmarkStart w:id="1" w:name="_Hlk517351855"/>
      <w:r w:rsidR="00425E11" w:rsidRPr="00DA21F5">
        <w:rPr>
          <w:rFonts w:ascii="微软雅黑" w:eastAsia="微软雅黑" w:hAnsi="微软雅黑" w:hint="eastAsia"/>
        </w:rPr>
        <w:t>${投资人起息日}</w:t>
      </w:r>
      <w:bookmarkEnd w:id="1"/>
    </w:p>
    <w:p w:rsidR="00BA7D22" w:rsidRDefault="00BA7D22" w:rsidP="00A70FB9">
      <w:pPr>
        <w:widowControl/>
        <w:spacing w:before="240" w:after="240"/>
        <w:ind w:firstLineChars="200" w:firstLine="420"/>
        <w:jc w:val="left"/>
        <w:rPr>
          <w:rFonts w:ascii="微软雅黑" w:eastAsia="微软雅黑" w:hAnsi="微软雅黑"/>
          <w:color w:val="FF0000"/>
          <w:shd w:val="clear" w:color="000000" w:fill="FFFFFF"/>
        </w:rPr>
      </w:pPr>
      <w:r>
        <w:rPr>
          <w:rFonts w:ascii="微软雅黑" w:eastAsia="微软雅黑" w:hAnsi="微软雅黑" w:hint="eastAsia"/>
          <w:shd w:val="clear" w:color="000000" w:fill="FFFFFF"/>
        </w:rPr>
        <w:t>乙方（盖章）：</w:t>
      </w:r>
      <w:r w:rsidRPr="00E51CEB">
        <w:rPr>
          <w:rFonts w:ascii="微软雅黑" w:eastAsia="微软雅黑" w:hAnsi="微软雅黑" w:hint="eastAsia"/>
          <w:u w:val="single"/>
          <w:shd w:val="clear" w:color="000000" w:fill="FFFFFF"/>
        </w:rPr>
        <w:t>中发展信（北京）投资管理有限公司</w:t>
      </w:r>
      <w:r w:rsidR="00A70FB9">
        <w:rPr>
          <w:rFonts w:ascii="微软雅黑" w:eastAsia="微软雅黑" w:hAnsi="微软雅黑" w:hint="eastAsia"/>
          <w:u w:val="single"/>
          <w:shd w:val="clear" w:color="000000" w:fill="FFFFFF"/>
        </w:rPr>
        <w:t xml:space="preserve"> </w:t>
      </w:r>
      <w:r w:rsidR="00A70FB9" w:rsidRPr="00A70FB9">
        <w:rPr>
          <w:rFonts w:ascii="微软雅黑" w:eastAsia="微软雅黑" w:hAnsi="微软雅黑"/>
          <w:color w:val="FF0000"/>
          <w:shd w:val="clear" w:color="000000" w:fill="FFFFFF"/>
        </w:rPr>
        <w:t xml:space="preserve"> </w:t>
      </w:r>
      <w:r w:rsidR="008A5DD3">
        <w:rPr>
          <w:rFonts w:ascii="微软雅黑" w:eastAsia="微软雅黑" w:hAnsi="微软雅黑"/>
          <w:color w:val="FF0000"/>
          <w:shd w:val="clear" w:color="000000" w:fill="FFFFFF"/>
        </w:rPr>
        <w:t xml:space="preserve">     </w:t>
      </w:r>
    </w:p>
    <w:p w:rsidR="008A4E4A" w:rsidRPr="008A4E4A" w:rsidRDefault="008A4E4A" w:rsidP="008A4E4A">
      <w:pPr>
        <w:widowControl/>
        <w:spacing w:before="240" w:after="240"/>
        <w:ind w:firstLineChars="200" w:firstLine="420"/>
        <w:jc w:val="left"/>
        <w:rPr>
          <w:rFonts w:hAnsi="Calibri" w:hint="eastAsia"/>
          <w:color w:val="FFFFFF" w:themeColor="background1"/>
        </w:rPr>
      </w:pPr>
      <w:r w:rsidRPr="008A4E4A">
        <w:rPr>
          <w:rFonts w:ascii="微软雅黑" w:eastAsia="微软雅黑" w:hAnsi="微软雅黑"/>
          <w:color w:val="FFFFFF" w:themeColor="background1"/>
          <w:shd w:val="clear" w:color="000000" w:fill="FFFFFF"/>
        </w:rPr>
        <w:t xml:space="preserve">     </w:t>
      </w:r>
      <w:r w:rsidRPr="008A4E4A">
        <w:rPr>
          <w:rFonts w:ascii="微软雅黑" w:eastAsia="微软雅黑" w:hAnsi="微软雅黑"/>
          <w:color w:val="FFFFFF" w:themeColor="background1"/>
        </w:rPr>
        <w:t xml:space="preserve">ZFZX </w:t>
      </w:r>
    </w:p>
    <w:p w:rsidR="00BA7D22" w:rsidRDefault="00BA7D22">
      <w:pPr>
        <w:widowControl/>
        <w:spacing w:before="600" w:after="600" w:line="360" w:lineRule="auto"/>
        <w:ind w:left="480"/>
        <w:jc w:val="left"/>
        <w:rPr>
          <w:rFonts w:hAnsi="Calibri"/>
        </w:rPr>
      </w:pPr>
      <w:r>
        <w:rPr>
          <w:rFonts w:ascii="微软雅黑" w:eastAsia="微软雅黑" w:hAnsi="微软雅黑" w:hint="eastAsia"/>
          <w:shd w:val="clear" w:color="000000" w:fill="FFFFFF"/>
        </w:rPr>
        <w:t>法定代表人/授权代表人：</w:t>
      </w:r>
      <w:r w:rsidR="00425E11" w:rsidRPr="00E51CEB">
        <w:rPr>
          <w:rFonts w:ascii="微软雅黑" w:eastAsia="微软雅黑" w:hAnsi="微软雅黑" w:hint="eastAsia"/>
          <w:u w:val="single"/>
          <w:shd w:val="clear" w:color="000000" w:fill="FFFFFF"/>
        </w:rPr>
        <w:t>李作林</w:t>
      </w:r>
    </w:p>
    <w:p w:rsidR="00BA7D22" w:rsidRDefault="00BA7D22" w:rsidP="006A7099">
      <w:pPr>
        <w:widowControl/>
        <w:spacing w:before="600" w:after="600" w:line="360" w:lineRule="auto"/>
        <w:ind w:firstLine="420"/>
        <w:jc w:val="left"/>
        <w:rPr>
          <w:rFonts w:hAnsi="Calibri"/>
        </w:rPr>
      </w:pPr>
      <w:r>
        <w:rPr>
          <w:rFonts w:ascii="微软雅黑" w:eastAsia="微软雅黑" w:hAnsi="微软雅黑" w:hint="eastAsia"/>
          <w:shd w:val="clear" w:color="000000" w:fill="FFFFFF"/>
        </w:rPr>
        <w:t>签约时间：</w:t>
      </w:r>
      <w:r w:rsidR="00425E11" w:rsidRPr="00DA21F5">
        <w:rPr>
          <w:rFonts w:ascii="微软雅黑" w:eastAsia="微软雅黑" w:hAnsi="微软雅黑" w:hint="eastAsia"/>
        </w:rPr>
        <w:t>${投资人起息日}</w:t>
      </w:r>
      <w:r w:rsidRPr="00DA21F5">
        <w:rPr>
          <w:rFonts w:ascii="微软雅黑" w:eastAsia="微软雅黑" w:hAnsi="微软雅黑" w:hint="eastAsia"/>
          <w:shd w:val="clear" w:color="000000" w:fill="FFFFFF"/>
        </w:rPr>
        <w:t> </w:t>
      </w:r>
    </w:p>
    <w:sectPr w:rsidR="00BA7D22">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5F2" w:rsidRDefault="007165F2">
      <w:r>
        <w:separator/>
      </w:r>
    </w:p>
  </w:endnote>
  <w:endnote w:type="continuationSeparator" w:id="0">
    <w:p w:rsidR="007165F2" w:rsidRDefault="0071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D22" w:rsidRDefault="00BA7D22">
    <w:pPr>
      <w:tabs>
        <w:tab w:val="center" w:pos="4153"/>
        <w:tab w:val="right" w:pos="8306"/>
      </w:tabs>
      <w:snapToGrid w:val="0"/>
      <w:ind w:firstLine="6505"/>
      <w:jc w:val="left"/>
      <w:rPr>
        <w:rFonts w:hAnsi="Calibri"/>
        <w:b/>
        <w:sz w:val="18"/>
      </w:rPr>
    </w:pPr>
    <w:r>
      <w:rPr>
        <w:rFonts w:hAnsi="Calibri" w:hint="eastAsia"/>
        <w:b/>
        <w:sz w:val="18"/>
      </w:rPr>
      <w:t>稳健经营</w:t>
    </w:r>
    <w:r>
      <w:rPr>
        <w:rFonts w:hAnsi="Calibri" w:hint="eastAsia"/>
        <w:b/>
        <w:sz w:val="18"/>
      </w:rPr>
      <w:t xml:space="preserve">  </w:t>
    </w:r>
    <w:r>
      <w:rPr>
        <w:rFonts w:hAnsi="Calibri" w:hint="eastAsia"/>
        <w:b/>
        <w:sz w:val="18"/>
      </w:rPr>
      <w:t>专注创新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5F2" w:rsidRDefault="007165F2">
      <w:r>
        <w:separator/>
      </w:r>
    </w:p>
  </w:footnote>
  <w:footnote w:type="continuationSeparator" w:id="0">
    <w:p w:rsidR="007165F2" w:rsidRDefault="00716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D22" w:rsidRDefault="0007764D">
    <w:pPr>
      <w:tabs>
        <w:tab w:val="center" w:pos="4153"/>
        <w:tab w:val="right" w:pos="8306"/>
      </w:tabs>
      <w:snapToGrid w:val="0"/>
      <w:rPr>
        <w:rFonts w:hAnsi="Calibri"/>
        <w:sz w:val="18"/>
      </w:rPr>
    </w:pPr>
    <w:r>
      <w:rPr>
        <w:rFonts w:hAnsi="Calibri"/>
        <w:noProof/>
        <w:sz w:val="18"/>
      </w:rPr>
      <mc:AlternateContent>
        <mc:Choice Requires="wps">
          <w:drawing>
            <wp:anchor distT="0" distB="0" distL="114300" distR="114300" simplePos="0" relativeHeight="251657728" behindDoc="1" locked="0" layoutInCell="1" allowOverlap="1">
              <wp:simplePos x="0" y="0"/>
              <wp:positionH relativeFrom="column">
                <wp:posOffset>225425</wp:posOffset>
              </wp:positionH>
              <wp:positionV relativeFrom="paragraph">
                <wp:posOffset>4406900</wp:posOffset>
              </wp:positionV>
              <wp:extent cx="3322320" cy="1096010"/>
              <wp:effectExtent l="0" t="863600" r="0" b="983615"/>
              <wp:wrapNone/>
              <wp:docPr id="2" name="艺术字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2700000">
                        <a:off x="0" y="0"/>
                        <a:ext cx="3322320" cy="109601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07764D" w:rsidRDefault="0007764D" w:rsidP="0007764D">
                          <w:pPr>
                            <w:pStyle w:val="af"/>
                            <w:jc w:val="right"/>
                            <w:rPr>
                              <w:szCs w:val="24"/>
                            </w:rPr>
                          </w:pPr>
                          <w:proofErr w:type="gramStart"/>
                          <w:r>
                            <w:rPr>
                              <w:rFonts w:ascii="微软雅黑" w:eastAsia="微软雅黑" w:hAnsi="微软雅黑" w:hint="eastAsia"/>
                              <w:color w:val="C0C0C0"/>
                              <w:sz w:val="72"/>
                              <w:szCs w:val="72"/>
                              <w14:textFill>
                                <w14:solidFill>
                                  <w14:srgbClr w14:val="C0C0C0">
                                    <w14:alpha w14:val="50000"/>
                                  </w14:srgbClr>
                                </w14:solidFill>
                              </w14:textFill>
                            </w:rPr>
                            <w:t>展信资本</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艺术字 2" o:spid="_x0000_s1026" type="#_x0000_t202" style="position:absolute;left:0;text-align:left;margin-left:17.75pt;margin-top:347pt;width:261.6pt;height:86.3pt;rotation:-45;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" filled="f" stroked="f">
              <v:stroke joinstyle="round"/>
              <o:lock v:ext="edit" aspectratio="t" shapetype="t"/>
              <v:textbox style="mso-fit-shape-to-text:t">
                <w:txbxContent>
                  <w:p w:rsidR="0007764D" w:rsidRDefault="0007764D" w:rsidP="0007764D">
                    <w:pPr>
                      <w:pStyle w:val="af"/>
                      <w:jc w:val="right"/>
                      <w:rPr>
                        <w:szCs w:val="24"/>
                      </w:rPr>
                    </w:pPr>
                    <w:proofErr w:type="gramStart"/>
                    <w:r>
                      <w:rPr>
                        <w:rFonts w:ascii="微软雅黑" w:eastAsia="微软雅黑" w:hAnsi="微软雅黑" w:hint="eastAsia"/>
                        <w:color w:val="C0C0C0"/>
                        <w:sz w:val="72"/>
                        <w:szCs w:val="72"/>
                        <w14:textFill>
                          <w14:solidFill>
                            <w14:srgbClr w14:val="C0C0C0">
                              <w14:alpha w14:val="50000"/>
                            </w14:srgbClr>
                          </w14:solidFill>
                        </w14:textFill>
                      </w:rPr>
                      <w:t>展信资本</w:t>
                    </w:r>
                    <w:proofErr w:type="gramEnd"/>
                  </w:p>
                </w:txbxContent>
              </v:textbox>
            </v:shape>
          </w:pict>
        </mc:Fallback>
      </mc:AlternateContent>
    </w:r>
    <w:r>
      <w:rPr>
        <w:rFonts w:hAnsi="Calibri"/>
        <w:noProof/>
        <w:sz w:val="18"/>
      </w:rPr>
      <w:drawing>
        <wp:inline distT="0" distB="0" distL="0" distR="0">
          <wp:extent cx="579120" cy="579120"/>
          <wp:effectExtent l="0" t="0" r="0" b="0"/>
          <wp:docPr id="1" name="图片 1" descr="展信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展信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isplayHorizontalDrawingGridEvery w:val="0"/>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1E"/>
    <w:rsid w:val="0007764D"/>
    <w:rsid w:val="00220C07"/>
    <w:rsid w:val="0028462F"/>
    <w:rsid w:val="003C6530"/>
    <w:rsid w:val="00413A5D"/>
    <w:rsid w:val="00425E11"/>
    <w:rsid w:val="00486A4A"/>
    <w:rsid w:val="004C45F0"/>
    <w:rsid w:val="006A7099"/>
    <w:rsid w:val="00705FB0"/>
    <w:rsid w:val="007165F2"/>
    <w:rsid w:val="00740AF1"/>
    <w:rsid w:val="0081551E"/>
    <w:rsid w:val="008A4E4A"/>
    <w:rsid w:val="008A5DD3"/>
    <w:rsid w:val="00910464"/>
    <w:rsid w:val="0091518D"/>
    <w:rsid w:val="0096696B"/>
    <w:rsid w:val="00A70FB9"/>
    <w:rsid w:val="00A84C4A"/>
    <w:rsid w:val="00AA3806"/>
    <w:rsid w:val="00B04986"/>
    <w:rsid w:val="00BA7D22"/>
    <w:rsid w:val="00CF6896"/>
    <w:rsid w:val="00DA21F5"/>
    <w:rsid w:val="00E51CEB"/>
    <w:rsid w:val="00EB66B2"/>
    <w:rsid w:val="00FE2394"/>
    <w:rsid w:val="03D31711"/>
    <w:rsid w:val="0C86185F"/>
    <w:rsid w:val="107C39B5"/>
    <w:rsid w:val="177056C7"/>
    <w:rsid w:val="1A9B36E2"/>
    <w:rsid w:val="26A97BA5"/>
    <w:rsid w:val="2C2619FB"/>
    <w:rsid w:val="2C764659"/>
    <w:rsid w:val="2F13401C"/>
    <w:rsid w:val="353207BD"/>
    <w:rsid w:val="38336750"/>
    <w:rsid w:val="3A992552"/>
    <w:rsid w:val="3DDB34CE"/>
    <w:rsid w:val="53932D62"/>
    <w:rsid w:val="540B7C66"/>
    <w:rsid w:val="5DD948AF"/>
    <w:rsid w:val="602B4BF9"/>
    <w:rsid w:val="60A57844"/>
    <w:rsid w:val="624367DF"/>
    <w:rsid w:val="67CC345B"/>
    <w:rsid w:val="693702C5"/>
    <w:rsid w:val="6A722DBB"/>
    <w:rsid w:val="6EDF5607"/>
    <w:rsid w:val="71C86A7C"/>
    <w:rsid w:val="75B45CBF"/>
    <w:rsid w:val="78A54AE5"/>
    <w:rsid w:val="7DC8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0B00B6B"/>
  <w15:chartTrackingRefBased/>
  <w15:docId w15:val="{995F9329-D8A1-4C54-A066-53F82A4C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等线" w:hAnsi="宋体"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eastAsia="宋体"/>
      <w:sz w:val="21"/>
    </w:rPr>
  </w:style>
  <w:style w:type="paragraph" w:styleId="1">
    <w:name w:val="heading 1"/>
    <w:next w:val="a"/>
    <w:qFormat/>
    <w:pPr>
      <w:wordWrap w:val="0"/>
      <w:spacing w:after="160"/>
      <w:jc w:val="both"/>
      <w:outlineLvl w:val="0"/>
    </w:pPr>
    <w:rPr>
      <w:sz w:val="28"/>
    </w:rPr>
  </w:style>
  <w:style w:type="paragraph" w:styleId="2">
    <w:name w:val="heading 2"/>
    <w:basedOn w:val="a"/>
    <w:next w:val="a"/>
    <w:qFormat/>
    <w:pPr>
      <w:outlineLvl w:val="1"/>
    </w:pPr>
    <w:rPr>
      <w:rFonts w:ascii="宋体"/>
    </w:rPr>
  </w:style>
  <w:style w:type="paragraph" w:styleId="3">
    <w:name w:val="heading 3"/>
    <w:next w:val="a"/>
    <w:qFormat/>
    <w:pPr>
      <w:wordWrap w:val="0"/>
      <w:spacing w:after="160"/>
      <w:ind w:left="1400" w:hanging="400"/>
      <w:jc w:val="both"/>
      <w:outlineLvl w:val="2"/>
    </w:pPr>
    <w:rPr>
      <w:sz w:val="21"/>
    </w:rPr>
  </w:style>
  <w:style w:type="paragraph" w:styleId="4">
    <w:name w:val="heading 4"/>
    <w:next w:val="a"/>
    <w:qFormat/>
    <w:pPr>
      <w:wordWrap w:val="0"/>
      <w:spacing w:after="160"/>
      <w:ind w:left="1600" w:hanging="400"/>
      <w:jc w:val="both"/>
      <w:outlineLvl w:val="3"/>
    </w:pPr>
    <w:rPr>
      <w:b/>
      <w:sz w:val="21"/>
    </w:rPr>
  </w:style>
  <w:style w:type="paragraph" w:styleId="5">
    <w:name w:val="heading 5"/>
    <w:next w:val="a"/>
    <w:qFormat/>
    <w:pPr>
      <w:wordWrap w:val="0"/>
      <w:spacing w:after="160"/>
      <w:ind w:left="1800" w:hanging="400"/>
      <w:jc w:val="both"/>
      <w:outlineLvl w:val="4"/>
    </w:pPr>
    <w:rPr>
      <w:sz w:val="21"/>
    </w:rPr>
  </w:style>
  <w:style w:type="paragraph" w:styleId="6">
    <w:name w:val="heading 6"/>
    <w:next w:val="a"/>
    <w:qFormat/>
    <w:pPr>
      <w:wordWrap w:val="0"/>
      <w:spacing w:after="160"/>
      <w:ind w:left="2000" w:hanging="400"/>
      <w:jc w:val="both"/>
      <w:outlineLvl w:val="5"/>
    </w:pPr>
    <w:rPr>
      <w:b/>
      <w:sz w:val="21"/>
    </w:rPr>
  </w:style>
  <w:style w:type="paragraph" w:styleId="7">
    <w:name w:val="heading 7"/>
    <w:next w:val="a"/>
    <w:qFormat/>
    <w:pPr>
      <w:wordWrap w:val="0"/>
      <w:spacing w:after="160"/>
      <w:ind w:left="2200" w:hanging="400"/>
      <w:jc w:val="both"/>
      <w:outlineLvl w:val="6"/>
    </w:pPr>
    <w:rPr>
      <w:sz w:val="21"/>
    </w:rPr>
  </w:style>
  <w:style w:type="paragraph" w:styleId="8">
    <w:name w:val="heading 8"/>
    <w:next w:val="a"/>
    <w:qFormat/>
    <w:pPr>
      <w:wordWrap w:val="0"/>
      <w:spacing w:after="160"/>
      <w:ind w:left="2400" w:hanging="400"/>
      <w:jc w:val="both"/>
      <w:outlineLvl w:val="7"/>
    </w:pPr>
    <w:rPr>
      <w:sz w:val="21"/>
    </w:rPr>
  </w:style>
  <w:style w:type="paragraph" w:styleId="9">
    <w:name w:val="heading 9"/>
    <w:next w:val="a"/>
    <w:qFormat/>
    <w:pPr>
      <w:wordWrap w:val="0"/>
      <w:spacing w:after="160"/>
      <w:ind w:left="2600" w:hanging="400"/>
      <w:jc w:val="both"/>
      <w:outlineLvl w:val="8"/>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vanish w:val="0"/>
      <w:color w:val="444444"/>
      <w:sz w:val="20"/>
      <w:u w:val="none"/>
    </w:rPr>
  </w:style>
  <w:style w:type="character" w:styleId="a4">
    <w:name w:val="Strong"/>
    <w:qFormat/>
    <w:rPr>
      <w:b/>
      <w:vanish w:val="0"/>
      <w:sz w:val="20"/>
    </w:rPr>
  </w:style>
  <w:style w:type="character" w:styleId="a5">
    <w:name w:val="Hyperlink"/>
    <w:rPr>
      <w:vanish w:val="0"/>
      <w:color w:val="444444"/>
      <w:sz w:val="20"/>
      <w:u w:val="none"/>
    </w:rPr>
  </w:style>
  <w:style w:type="character" w:styleId="a6">
    <w:name w:val="Emphasis"/>
    <w:qFormat/>
    <w:rPr>
      <w:i/>
      <w:vanish w:val="0"/>
      <w:sz w:val="20"/>
    </w:rPr>
  </w:style>
  <w:style w:type="character" w:customStyle="1" w:styleId="zifu">
    <w:name w:val="zifu"/>
    <w:rPr>
      <w:vanish w:val="0"/>
      <w:color w:val="FFFFFF"/>
      <w:sz w:val="20"/>
    </w:rPr>
  </w:style>
  <w:style w:type="character" w:customStyle="1" w:styleId="titile">
    <w:name w:val="titile"/>
    <w:rPr>
      <w:b/>
      <w:vanish w:val="0"/>
      <w:color w:val="444444"/>
      <w:sz w:val="20"/>
    </w:rPr>
  </w:style>
  <w:style w:type="character" w:styleId="a7">
    <w:name w:val="Book Title"/>
    <w:qFormat/>
    <w:rPr>
      <w:b/>
      <w:i/>
      <w:vanish w:val="0"/>
      <w:sz w:val="20"/>
    </w:rPr>
  </w:style>
  <w:style w:type="character" w:customStyle="1" w:styleId="lianzn">
    <w:name w:val="lian_zn"/>
    <w:rPr>
      <w:vanish w:val="0"/>
      <w:color w:val="798188"/>
      <w:sz w:val="20"/>
    </w:rPr>
  </w:style>
  <w:style w:type="character" w:styleId="a8">
    <w:name w:val="Intense Emphasis"/>
    <w:qFormat/>
    <w:rPr>
      <w:i/>
      <w:vanish w:val="0"/>
      <w:sz w:val="20"/>
    </w:rPr>
  </w:style>
  <w:style w:type="character" w:styleId="a9">
    <w:name w:val="Intense Reference"/>
    <w:qFormat/>
    <w:rPr>
      <w:b/>
      <w:vanish w:val="0"/>
      <w:sz w:val="20"/>
    </w:rPr>
  </w:style>
  <w:style w:type="character" w:customStyle="1" w:styleId="yishou">
    <w:name w:val="yishou"/>
    <w:rPr>
      <w:vanish w:val="0"/>
      <w:sz w:val="20"/>
    </w:rPr>
  </w:style>
  <w:style w:type="character" w:customStyle="1" w:styleId="kefu">
    <w:name w:val="kefu"/>
    <w:rPr>
      <w:vanish w:val="0"/>
      <w:color w:val="646E78"/>
      <w:sz w:val="20"/>
    </w:rPr>
  </w:style>
  <w:style w:type="character" w:customStyle="1" w:styleId="kfpho">
    <w:name w:val="kf_pho"/>
    <w:rPr>
      <w:vanish w:val="0"/>
      <w:color w:val="999999"/>
      <w:sz w:val="20"/>
    </w:rPr>
  </w:style>
  <w:style w:type="character" w:styleId="aa">
    <w:name w:val="Subtle Emphasis"/>
    <w:qFormat/>
    <w:rPr>
      <w:i/>
      <w:vanish w:val="0"/>
      <w:sz w:val="20"/>
    </w:rPr>
  </w:style>
  <w:style w:type="character" w:customStyle="1" w:styleId="jsq">
    <w:name w:val="jsq"/>
    <w:rPr>
      <w:vanish w:val="0"/>
      <w:sz w:val="20"/>
    </w:rPr>
  </w:style>
  <w:style w:type="character" w:styleId="ab">
    <w:name w:val="Subtle Reference"/>
    <w:qFormat/>
    <w:rPr>
      <w:vanish w:val="0"/>
      <w:sz w:val="20"/>
    </w:rPr>
  </w:style>
  <w:style w:type="character" w:customStyle="1" w:styleId="shoucang">
    <w:name w:val="shoucang"/>
    <w:rPr>
      <w:vanish w:val="0"/>
      <w:sz w:val="20"/>
    </w:rPr>
  </w:style>
  <w:style w:type="paragraph" w:styleId="ac">
    <w:name w:val="Quote"/>
    <w:next w:val="a"/>
    <w:qFormat/>
    <w:pPr>
      <w:wordWrap w:val="0"/>
      <w:spacing w:before="200" w:after="160"/>
      <w:ind w:left="864" w:right="864"/>
      <w:jc w:val="center"/>
    </w:pPr>
    <w:rPr>
      <w:i/>
      <w:sz w:val="21"/>
    </w:rPr>
  </w:style>
  <w:style w:type="paragraph" w:customStyle="1" w:styleId="TOC31">
    <w:name w:val="TOC 31"/>
    <w:next w:val="a"/>
    <w:pPr>
      <w:wordWrap w:val="0"/>
      <w:ind w:left="850"/>
      <w:jc w:val="both"/>
    </w:pPr>
    <w:rPr>
      <w:sz w:val="21"/>
    </w:rPr>
  </w:style>
  <w:style w:type="paragraph" w:styleId="ad">
    <w:name w:val="footer"/>
    <w:basedOn w:val="a"/>
    <w:next w:val="ae"/>
    <w:rPr>
      <w:sz w:val="18"/>
    </w:rPr>
  </w:style>
  <w:style w:type="paragraph" w:styleId="TOC5">
    <w:name w:val="toc 5"/>
    <w:next w:val="a"/>
    <w:pPr>
      <w:wordWrap w:val="0"/>
      <w:ind w:left="1275"/>
      <w:jc w:val="both"/>
    </w:pPr>
    <w:rPr>
      <w:sz w:val="21"/>
    </w:rPr>
  </w:style>
  <w:style w:type="paragraph" w:styleId="af">
    <w:name w:val="Normal (Web)"/>
    <w:basedOn w:val="a"/>
    <w:next w:val="TOC2"/>
    <w:uiPriority w:val="99"/>
    <w:rPr>
      <w:sz w:val="24"/>
    </w:rPr>
  </w:style>
  <w:style w:type="paragraph" w:styleId="TOC">
    <w:name w:val="TOC Heading"/>
    <w:next w:val="a"/>
    <w:qFormat/>
    <w:pPr>
      <w:wordWrap w:val="0"/>
    </w:pPr>
    <w:rPr>
      <w:sz w:val="32"/>
    </w:rPr>
  </w:style>
  <w:style w:type="paragraph" w:styleId="TOC3">
    <w:name w:val="toc 3"/>
    <w:next w:val="a"/>
    <w:pPr>
      <w:wordWrap w:val="0"/>
      <w:ind w:left="425"/>
      <w:jc w:val="both"/>
    </w:pPr>
    <w:rPr>
      <w:sz w:val="21"/>
    </w:rPr>
  </w:style>
  <w:style w:type="paragraph" w:styleId="TOC2">
    <w:name w:val="toc 2"/>
    <w:next w:val="a"/>
    <w:pPr>
      <w:wordWrap w:val="0"/>
      <w:jc w:val="both"/>
    </w:pPr>
    <w:rPr>
      <w:sz w:val="21"/>
    </w:rPr>
  </w:style>
  <w:style w:type="paragraph" w:styleId="af0">
    <w:name w:val="header"/>
    <w:basedOn w:val="a"/>
    <w:next w:val="TOC"/>
    <w:rPr>
      <w:sz w:val="18"/>
    </w:rPr>
  </w:style>
  <w:style w:type="paragraph" w:styleId="TOC8">
    <w:name w:val="toc 8"/>
    <w:next w:val="a"/>
    <w:pPr>
      <w:wordWrap w:val="0"/>
      <w:ind w:left="2550"/>
      <w:jc w:val="both"/>
    </w:pPr>
    <w:rPr>
      <w:sz w:val="21"/>
    </w:rPr>
  </w:style>
  <w:style w:type="paragraph" w:styleId="TOC9">
    <w:name w:val="toc 9"/>
    <w:next w:val="a"/>
    <w:pPr>
      <w:wordWrap w:val="0"/>
      <w:ind w:left="2975"/>
      <w:jc w:val="both"/>
    </w:pPr>
    <w:rPr>
      <w:sz w:val="21"/>
    </w:rPr>
  </w:style>
  <w:style w:type="paragraph" w:styleId="TOC6">
    <w:name w:val="toc 6"/>
    <w:next w:val="a"/>
    <w:pPr>
      <w:wordWrap w:val="0"/>
      <w:ind w:left="1700"/>
      <w:jc w:val="both"/>
    </w:pPr>
    <w:rPr>
      <w:sz w:val="21"/>
    </w:rPr>
  </w:style>
  <w:style w:type="paragraph" w:styleId="af1">
    <w:name w:val="Subtitle"/>
    <w:next w:val="a"/>
    <w:qFormat/>
    <w:pPr>
      <w:wordWrap w:val="0"/>
      <w:spacing w:after="60"/>
      <w:jc w:val="center"/>
    </w:pPr>
    <w:rPr>
      <w:sz w:val="24"/>
    </w:rPr>
  </w:style>
  <w:style w:type="paragraph" w:styleId="TOC4">
    <w:name w:val="toc 4"/>
    <w:next w:val="a"/>
    <w:pPr>
      <w:wordWrap w:val="0"/>
      <w:ind w:left="850"/>
      <w:jc w:val="both"/>
    </w:pPr>
    <w:rPr>
      <w:sz w:val="21"/>
    </w:rPr>
  </w:style>
  <w:style w:type="paragraph" w:styleId="ae">
    <w:name w:val="List Paragraph"/>
    <w:next w:val="a"/>
    <w:qFormat/>
    <w:pPr>
      <w:wordWrap w:val="0"/>
      <w:ind w:left="850"/>
      <w:jc w:val="both"/>
    </w:pPr>
    <w:rPr>
      <w:sz w:val="21"/>
    </w:rPr>
  </w:style>
  <w:style w:type="paragraph" w:styleId="TOC7">
    <w:name w:val="toc 7"/>
    <w:next w:val="a"/>
    <w:pPr>
      <w:wordWrap w:val="0"/>
      <w:ind w:left="2125"/>
      <w:jc w:val="both"/>
    </w:pPr>
    <w:rPr>
      <w:sz w:val="21"/>
    </w:rPr>
  </w:style>
  <w:style w:type="paragraph" w:customStyle="1" w:styleId="TOC81">
    <w:name w:val="TOC 81"/>
    <w:next w:val="a"/>
    <w:pPr>
      <w:wordWrap w:val="0"/>
      <w:ind w:left="2975"/>
      <w:jc w:val="both"/>
    </w:pPr>
    <w:rPr>
      <w:sz w:val="21"/>
    </w:rPr>
  </w:style>
  <w:style w:type="paragraph" w:styleId="af2">
    <w:name w:val="Normal Indent"/>
    <w:next w:val="a"/>
    <w:pPr>
      <w:wordWrap w:val="0"/>
      <w:ind w:left="3400"/>
      <w:jc w:val="both"/>
    </w:pPr>
    <w:rPr>
      <w:sz w:val="21"/>
    </w:rPr>
  </w:style>
  <w:style w:type="paragraph" w:customStyle="1" w:styleId="toc91">
    <w:name w:val="toc 91"/>
    <w:next w:val="a"/>
    <w:pPr>
      <w:wordWrap w:val="0"/>
      <w:ind w:left="3400"/>
      <w:jc w:val="both"/>
    </w:pPr>
    <w:rPr>
      <w:sz w:val="21"/>
    </w:rPr>
  </w:style>
  <w:style w:type="paragraph" w:customStyle="1" w:styleId="toc71">
    <w:name w:val="toc 71"/>
    <w:next w:val="a"/>
    <w:pPr>
      <w:wordWrap w:val="0"/>
      <w:ind w:left="2550"/>
      <w:jc w:val="both"/>
    </w:pPr>
    <w:rPr>
      <w:sz w:val="21"/>
    </w:rPr>
  </w:style>
  <w:style w:type="paragraph" w:customStyle="1" w:styleId="TOC910">
    <w:name w:val="TOC 91"/>
    <w:next w:val="a"/>
    <w:pPr>
      <w:wordWrap w:val="0"/>
      <w:ind w:left="3400"/>
      <w:jc w:val="both"/>
    </w:pPr>
    <w:rPr>
      <w:sz w:val="21"/>
    </w:rPr>
  </w:style>
  <w:style w:type="paragraph" w:styleId="af3">
    <w:name w:val="Intense Quote"/>
    <w:next w:val="a"/>
    <w:qFormat/>
    <w:pPr>
      <w:wordWrap w:val="0"/>
      <w:spacing w:before="360" w:after="360"/>
      <w:ind w:left="950" w:right="950"/>
      <w:jc w:val="center"/>
    </w:pPr>
    <w:rPr>
      <w:i/>
      <w:sz w:val="21"/>
    </w:rPr>
  </w:style>
  <w:style w:type="paragraph" w:customStyle="1" w:styleId="TOC61">
    <w:name w:val="TOC 61"/>
    <w:next w:val="a"/>
    <w:pPr>
      <w:wordWrap w:val="0"/>
      <w:ind w:left="2125"/>
      <w:jc w:val="both"/>
    </w:pPr>
    <w:rPr>
      <w:sz w:val="21"/>
    </w:rPr>
  </w:style>
  <w:style w:type="paragraph" w:customStyle="1" w:styleId="toc11">
    <w:name w:val="toc 11"/>
    <w:next w:val="a"/>
    <w:pPr>
      <w:wordWrap w:val="0"/>
      <w:jc w:val="both"/>
    </w:pPr>
    <w:rPr>
      <w:sz w:val="21"/>
    </w:rPr>
  </w:style>
  <w:style w:type="paragraph" w:customStyle="1" w:styleId="toc21">
    <w:name w:val="toc 21"/>
    <w:next w:val="a"/>
    <w:pPr>
      <w:wordWrap w:val="0"/>
      <w:ind w:left="425"/>
      <w:jc w:val="both"/>
    </w:pPr>
    <w:rPr>
      <w:sz w:val="21"/>
    </w:rPr>
  </w:style>
  <w:style w:type="paragraph" w:customStyle="1" w:styleId="toc41">
    <w:name w:val="toc 41"/>
    <w:next w:val="a"/>
    <w:pPr>
      <w:wordWrap w:val="0"/>
      <w:ind w:left="1275"/>
      <w:jc w:val="both"/>
    </w:pPr>
    <w:rPr>
      <w:sz w:val="21"/>
    </w:rPr>
  </w:style>
  <w:style w:type="paragraph" w:customStyle="1" w:styleId="TOCHeading2">
    <w:name w:val="TOC Heading2"/>
    <w:next w:val="a"/>
    <w:pPr>
      <w:wordWrap w:val="0"/>
    </w:pPr>
    <w:rPr>
      <w:sz w:val="32"/>
    </w:rPr>
  </w:style>
  <w:style w:type="paragraph" w:customStyle="1" w:styleId="TOC51">
    <w:name w:val="TOC 51"/>
    <w:next w:val="a"/>
    <w:pPr>
      <w:wordWrap w:val="0"/>
      <w:ind w:left="1700"/>
      <w:jc w:val="both"/>
    </w:pPr>
    <w:rPr>
      <w:sz w:val="21"/>
    </w:rPr>
  </w:style>
  <w:style w:type="paragraph" w:customStyle="1" w:styleId="TOC710">
    <w:name w:val="TOC 71"/>
    <w:next w:val="a"/>
    <w:pPr>
      <w:wordWrap w:val="0"/>
      <w:ind w:left="2550"/>
      <w:jc w:val="both"/>
    </w:pPr>
    <w:rPr>
      <w:sz w:val="21"/>
    </w:rPr>
  </w:style>
  <w:style w:type="paragraph" w:customStyle="1" w:styleId="TOCHeading1">
    <w:name w:val="TOC Heading1"/>
    <w:next w:val="a"/>
    <w:pPr>
      <w:wordWrap w:val="0"/>
    </w:pPr>
    <w:rPr>
      <w:sz w:val="32"/>
    </w:rPr>
  </w:style>
  <w:style w:type="paragraph" w:customStyle="1" w:styleId="TOC410">
    <w:name w:val="TOC 41"/>
    <w:next w:val="a"/>
    <w:pPr>
      <w:wordWrap w:val="0"/>
      <w:ind w:left="1275"/>
      <w:jc w:val="both"/>
    </w:pPr>
    <w:rPr>
      <w:sz w:val="21"/>
    </w:rPr>
  </w:style>
  <w:style w:type="paragraph" w:customStyle="1" w:styleId="TOC110">
    <w:name w:val="TOC 11"/>
    <w:next w:val="a"/>
    <w:pPr>
      <w:wordWrap w:val="0"/>
      <w:jc w:val="both"/>
    </w:pPr>
    <w:rPr>
      <w:sz w:val="21"/>
    </w:rPr>
  </w:style>
  <w:style w:type="paragraph" w:customStyle="1" w:styleId="TOC210">
    <w:name w:val="TOC 21"/>
    <w:next w:val="a"/>
    <w:pPr>
      <w:wordWrap w:val="0"/>
      <w:ind w:left="425"/>
      <w:jc w:val="both"/>
    </w:pPr>
    <w:rPr>
      <w:sz w:val="21"/>
    </w:rPr>
  </w:style>
  <w:style w:type="paragraph" w:customStyle="1" w:styleId="toc610">
    <w:name w:val="toc 61"/>
    <w:next w:val="a"/>
    <w:pPr>
      <w:wordWrap w:val="0"/>
      <w:ind w:left="2125"/>
      <w:jc w:val="both"/>
    </w:pPr>
    <w:rPr>
      <w:sz w:val="21"/>
    </w:rPr>
  </w:style>
  <w:style w:type="paragraph" w:customStyle="1" w:styleId="toc810">
    <w:name w:val="toc 81"/>
    <w:next w:val="a"/>
    <w:pPr>
      <w:wordWrap w:val="0"/>
      <w:ind w:left="2975"/>
      <w:jc w:val="both"/>
    </w:pPr>
    <w:rPr>
      <w:sz w:val="21"/>
    </w:rPr>
  </w:style>
  <w:style w:type="paragraph" w:customStyle="1" w:styleId="toc310">
    <w:name w:val="toc 31"/>
    <w:next w:val="a"/>
    <w:pPr>
      <w:wordWrap w:val="0"/>
      <w:ind w:left="850"/>
      <w:jc w:val="both"/>
    </w:pPr>
    <w:rPr>
      <w:sz w:val="21"/>
    </w:rPr>
  </w:style>
  <w:style w:type="paragraph" w:customStyle="1" w:styleId="toc510">
    <w:name w:val="toc 51"/>
    <w:next w:val="a"/>
    <w:pPr>
      <w:wordWrap w:val="0"/>
      <w:ind w:left="1700"/>
      <w:jc w:val="both"/>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501</Words>
  <Characters>2860</Characters>
  <Application>Microsoft Office Word</Application>
  <DocSecurity>0</DocSecurity>
  <Lines>23</Lines>
  <Paragraphs>6</Paragraphs>
  <Notes>0</Note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唐文博</cp:lastModifiedBy>
  <cp:revision>45</cp:revision>
  <dcterms:created xsi:type="dcterms:W3CDTF">2018-06-21T05:54:00Z</dcterms:created>
  <dcterms:modified xsi:type="dcterms:W3CDTF">2018-06-21T08:49:00Z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