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262" w:rsidRPr="00142AE0" w:rsidRDefault="00C86B3A" w:rsidP="003B5262">
      <w:pPr>
        <w:jc w:val="center"/>
        <w:rPr>
          <w:sz w:val="22"/>
        </w:rPr>
      </w:pPr>
      <w:r>
        <w:rPr>
          <w:rFonts w:ascii="Calibri" w:hAnsi="Calibri" w:cs="Calibri"/>
          <w:color w:val="000000"/>
        </w:rPr>
        <w:t>Non-viral vector delivery systems of siRNA as a gene therapy strategy to target brain cancer</w:t>
      </w:r>
    </w:p>
    <w:p w:rsidR="000E09ED" w:rsidRPr="003B5262" w:rsidRDefault="00D21A45" w:rsidP="00D21A45">
      <w:pPr>
        <w:ind w:firstLine="420"/>
        <w:jc w:val="center"/>
        <w:rPr>
          <w:sz w:val="22"/>
        </w:rPr>
      </w:pPr>
      <w:r>
        <w:rPr>
          <w:rFonts w:hint="eastAsia"/>
          <w:sz w:val="22"/>
        </w:rPr>
        <w:t>X</w:t>
      </w:r>
      <w:r>
        <w:rPr>
          <w:sz w:val="22"/>
        </w:rPr>
        <w:t>inai Shen</w:t>
      </w:r>
    </w:p>
    <w:p w:rsidR="005863BE" w:rsidRDefault="006A5FC2" w:rsidP="00B73723">
      <w:pPr>
        <w:ind w:firstLine="420"/>
        <w:rPr>
          <w:sz w:val="22"/>
        </w:rPr>
      </w:pPr>
      <w:r w:rsidRPr="00142AE0">
        <w:rPr>
          <w:sz w:val="22"/>
        </w:rPr>
        <w:t>Glioblastoma</w:t>
      </w:r>
      <w:r w:rsidR="00BF381E">
        <w:rPr>
          <w:sz w:val="22"/>
        </w:rPr>
        <w:t xml:space="preserve"> </w:t>
      </w:r>
      <w:r w:rsidR="002B3BCE">
        <w:rPr>
          <w:sz w:val="22"/>
        </w:rPr>
        <w:t>(GBM)</w:t>
      </w:r>
      <w:r w:rsidRPr="00142AE0">
        <w:rPr>
          <w:sz w:val="22"/>
        </w:rPr>
        <w:t xml:space="preserve"> is the most common and </w:t>
      </w:r>
      <w:r w:rsidR="006D688E">
        <w:rPr>
          <w:sz w:val="22"/>
        </w:rPr>
        <w:t>h</w:t>
      </w:r>
      <w:r w:rsidR="008C329B" w:rsidRPr="008C329B">
        <w:rPr>
          <w:sz w:val="22"/>
        </w:rPr>
        <w:t>igh mortality rate</w:t>
      </w:r>
      <w:r w:rsidR="008C329B">
        <w:rPr>
          <w:sz w:val="22"/>
        </w:rPr>
        <w:t xml:space="preserve"> </w:t>
      </w:r>
      <w:r w:rsidRPr="00142AE0">
        <w:rPr>
          <w:rFonts w:ascii="Helvetica" w:hAnsi="Helvetica" w:cs="Helvetica"/>
          <w:color w:val="333333"/>
          <w:sz w:val="20"/>
          <w:szCs w:val="18"/>
          <w:shd w:val="clear" w:color="auto" w:fill="FFFFFF"/>
        </w:rPr>
        <w:t xml:space="preserve">primary brain tumor, in spite of surgical resection in conjunction with </w:t>
      </w:r>
      <w:r w:rsidR="00471C53">
        <w:rPr>
          <w:rFonts w:ascii="Helvetica" w:hAnsi="Helvetica" w:cs="Helvetica"/>
          <w:color w:val="333333"/>
          <w:sz w:val="20"/>
          <w:szCs w:val="18"/>
          <w:shd w:val="clear" w:color="auto" w:fill="FFFFFF"/>
        </w:rPr>
        <w:t>r</w:t>
      </w:r>
      <w:r w:rsidR="00471C53" w:rsidRPr="00471C53">
        <w:rPr>
          <w:rFonts w:ascii="Helvetica" w:hAnsi="Helvetica" w:cs="Helvetica"/>
          <w:color w:val="333333"/>
          <w:sz w:val="20"/>
          <w:szCs w:val="18"/>
          <w:shd w:val="clear" w:color="auto" w:fill="FFFFFF"/>
        </w:rPr>
        <w:t>adiotherapy and chemotherapy</w:t>
      </w:r>
      <w:r w:rsidR="00B772C3">
        <w:rPr>
          <w:rFonts w:ascii="Helvetica" w:hAnsi="Helvetica" w:cs="Helvetica"/>
          <w:color w:val="333333"/>
          <w:sz w:val="20"/>
          <w:szCs w:val="18"/>
          <w:shd w:val="clear" w:color="auto" w:fill="FFFFFF"/>
        </w:rPr>
        <w:t xml:space="preserve">, the medium survival period for </w:t>
      </w:r>
      <w:r w:rsidR="00C20EA1">
        <w:rPr>
          <w:sz w:val="22"/>
        </w:rPr>
        <w:t>g</w:t>
      </w:r>
      <w:r w:rsidR="00C20EA1" w:rsidRPr="00142AE0">
        <w:rPr>
          <w:sz w:val="22"/>
        </w:rPr>
        <w:t>lioblastoma</w:t>
      </w:r>
      <w:r w:rsidR="00B772C3">
        <w:rPr>
          <w:rFonts w:ascii="Helvetica" w:hAnsi="Helvetica" w:cs="Helvetica"/>
          <w:color w:val="333333"/>
          <w:sz w:val="20"/>
          <w:szCs w:val="18"/>
          <w:shd w:val="clear" w:color="auto" w:fill="FFFFFF"/>
        </w:rPr>
        <w:t xml:space="preserve"> patient</w:t>
      </w:r>
      <w:r w:rsidR="0034568C">
        <w:rPr>
          <w:rFonts w:ascii="Helvetica" w:hAnsi="Helvetica" w:cs="Helvetica"/>
          <w:color w:val="333333"/>
          <w:sz w:val="20"/>
          <w:szCs w:val="18"/>
          <w:shd w:val="clear" w:color="auto" w:fill="FFFFFF"/>
        </w:rPr>
        <w:t>s is presently only 14.6 months</w:t>
      </w:r>
      <w:r w:rsidR="00F03C52">
        <w:rPr>
          <w:rFonts w:ascii="Helvetica" w:hAnsi="Helvetica" w:cs="Helvetica"/>
          <w:color w:val="333333"/>
          <w:sz w:val="20"/>
          <w:szCs w:val="18"/>
          <w:shd w:val="clear" w:color="auto" w:fill="FFFFFF"/>
        </w:rPr>
        <w:t xml:space="preserve"> </w:t>
      </w:r>
      <w:r w:rsidR="00F03C52">
        <w:rPr>
          <w:rStyle w:val="a4"/>
          <w:rFonts w:ascii="Helvetica" w:hAnsi="Helvetica" w:cs="Helvetica"/>
          <w:color w:val="333333"/>
          <w:sz w:val="20"/>
          <w:szCs w:val="18"/>
          <w:shd w:val="clear" w:color="auto" w:fill="FFFFFF"/>
        </w:rPr>
        <w:endnoteReference w:id="1"/>
      </w:r>
      <w:r w:rsidR="0034568C">
        <w:rPr>
          <w:rFonts w:ascii="Helvetica" w:hAnsi="Helvetica" w:cs="Helvetica"/>
          <w:color w:val="333333"/>
          <w:sz w:val="20"/>
          <w:szCs w:val="18"/>
          <w:shd w:val="clear" w:color="auto" w:fill="FFFFFF"/>
        </w:rPr>
        <w:t>, only about 10% patients survived for more than 5 years.</w:t>
      </w:r>
      <w:r w:rsidR="00F03C52">
        <w:rPr>
          <w:rStyle w:val="a4"/>
          <w:rFonts w:ascii="Helvetica" w:hAnsi="Helvetica" w:cs="Helvetica"/>
          <w:color w:val="333333"/>
          <w:sz w:val="20"/>
          <w:szCs w:val="18"/>
          <w:shd w:val="clear" w:color="auto" w:fill="FFFFFF"/>
        </w:rPr>
        <w:endnoteReference w:id="2"/>
      </w:r>
      <w:r w:rsidR="00EC56C8">
        <w:rPr>
          <w:rFonts w:ascii="Helvetica" w:hAnsi="Helvetica" w:cs="Helvetica"/>
          <w:color w:val="333333"/>
          <w:sz w:val="20"/>
          <w:szCs w:val="18"/>
          <w:shd w:val="clear" w:color="auto" w:fill="FFFFFF"/>
        </w:rPr>
        <w:t xml:space="preserve"> GBM is a </w:t>
      </w:r>
      <w:r w:rsidR="006D688E">
        <w:rPr>
          <w:rFonts w:ascii="Helvetica" w:hAnsi="Helvetica" w:cs="Helvetica"/>
          <w:color w:val="333333"/>
          <w:sz w:val="20"/>
          <w:szCs w:val="18"/>
          <w:shd w:val="clear" w:color="auto" w:fill="FFFFFF"/>
        </w:rPr>
        <w:t xml:space="preserve">blood-rich </w:t>
      </w:r>
      <w:r w:rsidR="00EC56C8">
        <w:rPr>
          <w:rFonts w:ascii="Helvetica" w:hAnsi="Helvetica" w:cs="Helvetica" w:hint="eastAsia"/>
          <w:color w:val="333333"/>
          <w:sz w:val="20"/>
          <w:szCs w:val="18"/>
          <w:shd w:val="clear" w:color="auto" w:fill="FFFFFF"/>
        </w:rPr>
        <w:t>t</w:t>
      </w:r>
      <w:r w:rsidR="00EC56C8">
        <w:rPr>
          <w:rFonts w:ascii="Helvetica" w:hAnsi="Helvetica" w:cs="Helvetica"/>
          <w:color w:val="333333"/>
          <w:sz w:val="20"/>
          <w:szCs w:val="18"/>
          <w:shd w:val="clear" w:color="auto" w:fill="FFFFFF"/>
        </w:rPr>
        <w:t xml:space="preserve">umor, </w:t>
      </w:r>
      <w:r w:rsidR="00237006">
        <w:rPr>
          <w:rFonts w:ascii="Helvetica" w:hAnsi="Helvetica" w:cs="Helvetica"/>
          <w:color w:val="333333"/>
          <w:sz w:val="20"/>
          <w:szCs w:val="18"/>
          <w:shd w:val="clear" w:color="auto" w:fill="FFFFFF"/>
        </w:rPr>
        <w:t>and have</w:t>
      </w:r>
      <w:r w:rsidR="009E7FA2">
        <w:rPr>
          <w:rFonts w:ascii="Helvetica" w:hAnsi="Helvetica" w:cs="Helvetica"/>
          <w:color w:val="333333"/>
          <w:sz w:val="20"/>
          <w:szCs w:val="18"/>
          <w:shd w:val="clear" w:color="auto" w:fill="FFFFFF"/>
        </w:rPr>
        <w:t xml:space="preserve"> a variety</w:t>
      </w:r>
      <w:r w:rsidR="00237006">
        <w:rPr>
          <w:rFonts w:ascii="Helvetica" w:hAnsi="Helvetica" w:cs="Helvetica"/>
          <w:color w:val="333333"/>
          <w:sz w:val="20"/>
          <w:szCs w:val="18"/>
          <w:shd w:val="clear" w:color="auto" w:fill="FFFFFF"/>
        </w:rPr>
        <w:t xml:space="preserve"> of </w:t>
      </w:r>
      <w:r w:rsidR="009E7FA2">
        <w:rPr>
          <w:rFonts w:ascii="Helvetica" w:hAnsi="Helvetica" w:cs="Helvetica" w:hint="eastAsia"/>
          <w:color w:val="333333"/>
          <w:sz w:val="20"/>
          <w:szCs w:val="18"/>
          <w:shd w:val="clear" w:color="auto" w:fill="FFFFFF"/>
        </w:rPr>
        <w:t>g</w:t>
      </w:r>
      <w:r w:rsidR="009E7FA2">
        <w:rPr>
          <w:rFonts w:ascii="Helvetica" w:hAnsi="Helvetica" w:cs="Helvetica"/>
          <w:color w:val="333333"/>
          <w:sz w:val="20"/>
          <w:szCs w:val="18"/>
          <w:shd w:val="clear" w:color="auto" w:fill="FFFFFF"/>
        </w:rPr>
        <w:t>rowth and pro-</w:t>
      </w:r>
      <w:proofErr w:type="spellStart"/>
      <w:r w:rsidR="009E7FA2">
        <w:rPr>
          <w:rFonts w:ascii="Helvetica" w:hAnsi="Helvetica" w:cs="Helvetica"/>
          <w:color w:val="333333"/>
          <w:sz w:val="20"/>
          <w:szCs w:val="18"/>
          <w:shd w:val="clear" w:color="auto" w:fill="FFFFFF"/>
        </w:rPr>
        <w:t>angiogenic</w:t>
      </w:r>
      <w:proofErr w:type="spellEnd"/>
      <w:r w:rsidR="009E7FA2">
        <w:rPr>
          <w:rFonts w:ascii="Helvetica" w:hAnsi="Helvetica" w:cs="Helvetica"/>
          <w:color w:val="333333"/>
          <w:sz w:val="20"/>
          <w:szCs w:val="18"/>
          <w:shd w:val="clear" w:color="auto" w:fill="FFFFFF"/>
        </w:rPr>
        <w:t xml:space="preserve"> factors</w:t>
      </w:r>
      <w:r w:rsidR="00A04798">
        <w:rPr>
          <w:rFonts w:ascii="Helvetica" w:hAnsi="Helvetica" w:cs="Helvetica"/>
          <w:color w:val="333333"/>
          <w:sz w:val="20"/>
          <w:szCs w:val="18"/>
          <w:shd w:val="clear" w:color="auto" w:fill="FFFFFF"/>
        </w:rPr>
        <w:t xml:space="preserve">. Research shows that vascular endothelial growth factor - A (VEGF-A) </w:t>
      </w:r>
      <w:r w:rsidR="0007471B">
        <w:rPr>
          <w:rFonts w:ascii="Helvetica" w:hAnsi="Helvetica" w:cs="Helvetica"/>
          <w:color w:val="333333"/>
          <w:sz w:val="20"/>
          <w:szCs w:val="18"/>
          <w:shd w:val="clear" w:color="auto" w:fill="FFFFFF"/>
        </w:rPr>
        <w:t xml:space="preserve">plays an important role </w:t>
      </w:r>
      <w:r w:rsidR="0007471B" w:rsidRPr="0007471B">
        <w:rPr>
          <w:sz w:val="22"/>
        </w:rPr>
        <w:t>in angiogenesis</w:t>
      </w:r>
      <w:r w:rsidR="0007471B">
        <w:rPr>
          <w:sz w:val="22"/>
        </w:rPr>
        <w:t xml:space="preserve">. </w:t>
      </w:r>
      <w:r w:rsidR="00FE2B17">
        <w:rPr>
          <w:sz w:val="22"/>
        </w:rPr>
        <w:t>VEGF-</w:t>
      </w:r>
      <w:proofErr w:type="gramStart"/>
      <w:r w:rsidR="00FE2B17">
        <w:rPr>
          <w:sz w:val="22"/>
        </w:rPr>
        <w:t>A</w:t>
      </w:r>
      <w:proofErr w:type="gramEnd"/>
      <w:r w:rsidR="00FE2B17">
        <w:rPr>
          <w:sz w:val="22"/>
        </w:rPr>
        <w:t xml:space="preserve"> </w:t>
      </w:r>
      <w:r w:rsidR="00B73723">
        <w:rPr>
          <w:sz w:val="22"/>
        </w:rPr>
        <w:t xml:space="preserve">isoform </w:t>
      </w:r>
      <w:r w:rsidR="00FE2B17">
        <w:rPr>
          <w:sz w:val="22"/>
        </w:rPr>
        <w:t>combine with VEGFR</w:t>
      </w:r>
      <w:r w:rsidR="00FE2B17">
        <w:rPr>
          <w:rFonts w:hint="eastAsia"/>
          <w:sz w:val="22"/>
        </w:rPr>
        <w:t>-</w:t>
      </w:r>
      <w:r w:rsidR="00FE2B17">
        <w:rPr>
          <w:sz w:val="22"/>
        </w:rPr>
        <w:t>1</w:t>
      </w:r>
      <w:r w:rsidR="00FE2B17">
        <w:rPr>
          <w:rFonts w:hint="eastAsia"/>
          <w:sz w:val="22"/>
        </w:rPr>
        <w:t>/</w:t>
      </w:r>
      <w:r w:rsidR="00FE2B17">
        <w:rPr>
          <w:sz w:val="22"/>
        </w:rPr>
        <w:t>2</w:t>
      </w:r>
      <w:r w:rsidR="0071696D">
        <w:rPr>
          <w:rFonts w:hint="eastAsia"/>
          <w:sz w:val="22"/>
        </w:rPr>
        <w:t>,</w:t>
      </w:r>
      <w:r w:rsidR="0071696D">
        <w:rPr>
          <w:sz w:val="22"/>
        </w:rPr>
        <w:t xml:space="preserve"> and promote vascular </w:t>
      </w:r>
      <w:r w:rsidR="0071696D" w:rsidRPr="0071696D">
        <w:rPr>
          <w:sz w:val="22"/>
        </w:rPr>
        <w:t>endothelial cells</w:t>
      </w:r>
      <w:r w:rsidR="0071696D">
        <w:rPr>
          <w:sz w:val="22"/>
        </w:rPr>
        <w:t xml:space="preserve"> division and growth</w:t>
      </w:r>
      <w:r w:rsidR="000D013C">
        <w:rPr>
          <w:rStyle w:val="a4"/>
          <w:sz w:val="22"/>
        </w:rPr>
        <w:endnoteReference w:id="3"/>
      </w:r>
      <w:r w:rsidR="0071696D">
        <w:rPr>
          <w:sz w:val="22"/>
        </w:rPr>
        <w:t xml:space="preserve">. </w:t>
      </w:r>
      <w:r w:rsidR="002B3BCE">
        <w:rPr>
          <w:sz w:val="22"/>
        </w:rPr>
        <w:t xml:space="preserve">Because VEGF-A is highly expressed in GBM, it can be used as the target of </w:t>
      </w:r>
      <w:r w:rsidR="009727DC" w:rsidRPr="009727DC">
        <w:rPr>
          <w:sz w:val="22"/>
        </w:rPr>
        <w:t xml:space="preserve">anti-angiogenesis therapy for </w:t>
      </w:r>
      <w:r w:rsidR="009727DC">
        <w:rPr>
          <w:sz w:val="22"/>
        </w:rPr>
        <w:t>GBM</w:t>
      </w:r>
      <w:r w:rsidR="009727DC" w:rsidRPr="009727DC">
        <w:rPr>
          <w:sz w:val="22"/>
        </w:rPr>
        <w:t>.</w:t>
      </w:r>
    </w:p>
    <w:p w:rsidR="0025707A" w:rsidRDefault="00B73723">
      <w:pPr>
        <w:rPr>
          <w:sz w:val="22"/>
        </w:rPr>
      </w:pPr>
      <w:r>
        <w:rPr>
          <w:sz w:val="22"/>
        </w:rPr>
        <w:tab/>
        <w:t>Bevacizumab could specifically bind to the VEGF-</w:t>
      </w:r>
      <w:proofErr w:type="gramStart"/>
      <w:r>
        <w:rPr>
          <w:sz w:val="22"/>
        </w:rPr>
        <w:t>A</w:t>
      </w:r>
      <w:r w:rsidR="0025707A">
        <w:rPr>
          <w:sz w:val="22"/>
        </w:rPr>
        <w:t xml:space="preserve"> and</w:t>
      </w:r>
      <w:proofErr w:type="gramEnd"/>
      <w:r w:rsidR="0025707A">
        <w:rPr>
          <w:sz w:val="22"/>
        </w:rPr>
        <w:t xml:space="preserve"> use in recent and newly diagnosed GBM. However, bevacizumab could reduce vascular permeability so that the transient vascular normalization restricts further drugs penetration into brain parenchyma and reduces therapy on glioma</w:t>
      </w:r>
      <w:r w:rsidR="00016127">
        <w:rPr>
          <w:rStyle w:val="a4"/>
          <w:sz w:val="22"/>
        </w:rPr>
        <w:endnoteReference w:id="4"/>
      </w:r>
      <w:r w:rsidR="0025707A">
        <w:rPr>
          <w:sz w:val="22"/>
        </w:rPr>
        <w:t>.</w:t>
      </w:r>
      <w:r w:rsidR="00445BA8">
        <w:rPr>
          <w:sz w:val="22"/>
        </w:rPr>
        <w:t xml:space="preserve"> </w:t>
      </w:r>
      <w:r w:rsidR="00A62283">
        <w:rPr>
          <w:sz w:val="22"/>
        </w:rPr>
        <w:t>Bevacizuma</w:t>
      </w:r>
      <w:r w:rsidR="0081667E">
        <w:rPr>
          <w:sz w:val="22"/>
        </w:rPr>
        <w:t>b</w:t>
      </w:r>
      <w:r w:rsidR="00A62283">
        <w:rPr>
          <w:sz w:val="22"/>
        </w:rPr>
        <w:t xml:space="preserve"> also </w:t>
      </w:r>
      <w:r w:rsidR="0081667E">
        <w:rPr>
          <w:sz w:val="22"/>
        </w:rPr>
        <w:t>has short effect</w:t>
      </w:r>
      <w:r w:rsidR="00AB7C77">
        <w:rPr>
          <w:rFonts w:hint="eastAsia"/>
          <w:sz w:val="22"/>
        </w:rPr>
        <w:t>,</w:t>
      </w:r>
      <w:r w:rsidR="00AB7C77">
        <w:rPr>
          <w:sz w:val="22"/>
        </w:rPr>
        <w:t xml:space="preserve"> so</w:t>
      </w:r>
      <w:r w:rsidR="0081667E">
        <w:rPr>
          <w:sz w:val="22"/>
        </w:rPr>
        <w:t xml:space="preserve"> most patients’ tumor grow after 6 months.</w:t>
      </w:r>
      <w:r w:rsidR="009672F5">
        <w:rPr>
          <w:rStyle w:val="a4"/>
          <w:sz w:val="22"/>
        </w:rPr>
        <w:endnoteReference w:id="5"/>
      </w:r>
      <w:r w:rsidR="00B11574">
        <w:rPr>
          <w:sz w:val="22"/>
        </w:rPr>
        <w:t xml:space="preserve"> One of the reason is </w:t>
      </w:r>
      <w:r w:rsidR="00A22568">
        <w:rPr>
          <w:sz w:val="22"/>
        </w:rPr>
        <w:t xml:space="preserve">that GBM </w:t>
      </w:r>
      <w:r w:rsidR="0023746D">
        <w:rPr>
          <w:sz w:val="22"/>
        </w:rPr>
        <w:t>is a kind of highly infiltrating inflammatory t</w:t>
      </w:r>
      <w:r w:rsidR="00A22568">
        <w:rPr>
          <w:sz w:val="22"/>
        </w:rPr>
        <w:t xml:space="preserve">umor, </w:t>
      </w:r>
      <w:r w:rsidR="00186559">
        <w:rPr>
          <w:sz w:val="22"/>
        </w:rPr>
        <w:t>hardly</w:t>
      </w:r>
      <w:r w:rsidR="00D47945">
        <w:rPr>
          <w:sz w:val="22"/>
        </w:rPr>
        <w:t xml:space="preserve"> to be completely removed</w:t>
      </w:r>
      <w:r w:rsidR="00186559">
        <w:rPr>
          <w:rFonts w:hint="eastAsia"/>
          <w:sz w:val="22"/>
        </w:rPr>
        <w:t>,</w:t>
      </w:r>
      <w:r w:rsidR="00186559">
        <w:rPr>
          <w:sz w:val="22"/>
        </w:rPr>
        <w:t xml:space="preserve"> so there are </w:t>
      </w:r>
      <w:r w:rsidR="0023746D">
        <w:rPr>
          <w:sz w:val="22"/>
        </w:rPr>
        <w:t>infiltrating</w:t>
      </w:r>
      <w:r w:rsidR="00D47945">
        <w:rPr>
          <w:sz w:val="22"/>
        </w:rPr>
        <w:t xml:space="preserve"> stromal cells</w:t>
      </w:r>
      <w:r w:rsidR="00186559">
        <w:rPr>
          <w:rFonts w:hint="eastAsia"/>
          <w:sz w:val="22"/>
        </w:rPr>
        <w:t>.</w:t>
      </w:r>
      <w:r w:rsidR="00186559">
        <w:rPr>
          <w:sz w:val="22"/>
        </w:rPr>
        <w:t xml:space="preserve"> </w:t>
      </w:r>
      <w:r w:rsidR="005D4C68" w:rsidRPr="005D4C68">
        <w:rPr>
          <w:sz w:val="22"/>
        </w:rPr>
        <w:t xml:space="preserve">The combination of </w:t>
      </w:r>
      <w:proofErr w:type="spellStart"/>
      <w:r w:rsidR="005D4C68" w:rsidRPr="005D4C68">
        <w:rPr>
          <w:sz w:val="22"/>
        </w:rPr>
        <w:t>temozolomide</w:t>
      </w:r>
      <w:proofErr w:type="spellEnd"/>
      <w:r w:rsidR="005D4C68">
        <w:rPr>
          <w:sz w:val="22"/>
        </w:rPr>
        <w:t xml:space="preserve"> (TMZ)</w:t>
      </w:r>
      <w:r w:rsidR="005D4C68" w:rsidRPr="005D4C68">
        <w:rPr>
          <w:sz w:val="22"/>
        </w:rPr>
        <w:t xml:space="preserve"> and </w:t>
      </w:r>
      <w:r w:rsidR="005D4C68">
        <w:rPr>
          <w:sz w:val="22"/>
        </w:rPr>
        <w:t>bevacizumab</w:t>
      </w:r>
      <w:r w:rsidR="005D4C68" w:rsidRPr="005D4C68">
        <w:rPr>
          <w:sz w:val="22"/>
        </w:rPr>
        <w:t xml:space="preserve"> </w:t>
      </w:r>
      <w:r w:rsidR="00060977">
        <w:rPr>
          <w:sz w:val="22"/>
        </w:rPr>
        <w:t>in the treatment of gliomas can be active and safe</w:t>
      </w:r>
      <w:r w:rsidR="005D4C68" w:rsidRPr="005D4C68">
        <w:rPr>
          <w:sz w:val="22"/>
        </w:rPr>
        <w:t>.</w:t>
      </w:r>
      <w:r w:rsidR="00060977">
        <w:rPr>
          <w:sz w:val="22"/>
        </w:rPr>
        <w:t xml:space="preserve"> </w:t>
      </w:r>
    </w:p>
    <w:p w:rsidR="00063804" w:rsidRDefault="008C6E7F" w:rsidP="00B57321">
      <w:pPr>
        <w:rPr>
          <w:sz w:val="22"/>
        </w:rPr>
      </w:pPr>
      <w:r>
        <w:rPr>
          <w:sz w:val="22"/>
        </w:rPr>
        <w:tab/>
      </w:r>
      <w:r w:rsidR="00FD3EBD">
        <w:rPr>
          <w:sz w:val="22"/>
        </w:rPr>
        <w:t xml:space="preserve">In recent years, </w:t>
      </w:r>
      <w:r w:rsidR="005B4C7F">
        <w:rPr>
          <w:sz w:val="22"/>
        </w:rPr>
        <w:t>small interfering RNA (</w:t>
      </w:r>
      <w:r w:rsidR="005B4C7F">
        <w:rPr>
          <w:sz w:val="22"/>
        </w:rPr>
        <w:t>s</w:t>
      </w:r>
      <w:r w:rsidR="005B4C7F">
        <w:rPr>
          <w:sz w:val="22"/>
        </w:rPr>
        <w:t>i</w:t>
      </w:r>
      <w:r w:rsidR="005B4C7F">
        <w:rPr>
          <w:sz w:val="22"/>
        </w:rPr>
        <w:t>RNA</w:t>
      </w:r>
      <w:r w:rsidR="005B4C7F">
        <w:rPr>
          <w:sz w:val="22"/>
        </w:rPr>
        <w:t>)</w:t>
      </w:r>
      <w:r w:rsidR="001C65C7">
        <w:rPr>
          <w:sz w:val="22"/>
        </w:rPr>
        <w:t xml:space="preserve"> </w:t>
      </w:r>
      <w:r w:rsidR="00EB6A06">
        <w:rPr>
          <w:sz w:val="22"/>
        </w:rPr>
        <w:t xml:space="preserve">has been found in </w:t>
      </w:r>
      <w:r w:rsidR="000114B1">
        <w:rPr>
          <w:sz w:val="22"/>
        </w:rPr>
        <w:t xml:space="preserve">malignant tumor, which </w:t>
      </w:r>
      <w:r w:rsidR="00CB427E">
        <w:rPr>
          <w:sz w:val="22"/>
        </w:rPr>
        <w:t>is a powerful tool for gene therapy</w:t>
      </w:r>
      <w:r w:rsidR="0018454A">
        <w:rPr>
          <w:rStyle w:val="a4"/>
          <w:sz w:val="22"/>
        </w:rPr>
        <w:endnoteReference w:id="6"/>
      </w:r>
      <w:r w:rsidR="00CB427E">
        <w:rPr>
          <w:sz w:val="22"/>
        </w:rPr>
        <w:t xml:space="preserve"> like control</w:t>
      </w:r>
      <w:r w:rsidR="00E11C71">
        <w:rPr>
          <w:sz w:val="22"/>
        </w:rPr>
        <w:t>l</w:t>
      </w:r>
      <w:r w:rsidR="00CB427E">
        <w:rPr>
          <w:sz w:val="22"/>
        </w:rPr>
        <w:t>ing</w:t>
      </w:r>
      <w:r w:rsidR="00414B6A">
        <w:rPr>
          <w:sz w:val="22"/>
        </w:rPr>
        <w:t xml:space="preserve"> </w:t>
      </w:r>
      <w:r w:rsidR="00414B6A" w:rsidRPr="00414B6A">
        <w:rPr>
          <w:sz w:val="22"/>
        </w:rPr>
        <w:t>the occurrence and development of glioma.</w:t>
      </w:r>
      <w:r w:rsidR="00C50522">
        <w:rPr>
          <w:sz w:val="22"/>
        </w:rPr>
        <w:t xml:space="preserve"> </w:t>
      </w:r>
      <w:r w:rsidR="00053B1E">
        <w:rPr>
          <w:sz w:val="22"/>
        </w:rPr>
        <w:t>A variety</w:t>
      </w:r>
      <w:r w:rsidR="00C50522">
        <w:rPr>
          <w:sz w:val="22"/>
        </w:rPr>
        <w:t xml:space="preserve"> of </w:t>
      </w:r>
      <w:r w:rsidR="005B4C7F">
        <w:rPr>
          <w:sz w:val="22"/>
        </w:rPr>
        <w:t>s</w:t>
      </w:r>
      <w:r w:rsidR="001C65C7">
        <w:rPr>
          <w:sz w:val="22"/>
        </w:rPr>
        <w:t>i</w:t>
      </w:r>
      <w:r w:rsidR="00C50522">
        <w:rPr>
          <w:sz w:val="22"/>
        </w:rPr>
        <w:t xml:space="preserve">RNA </w:t>
      </w:r>
      <w:r w:rsidR="00F164A0">
        <w:rPr>
          <w:sz w:val="22"/>
        </w:rPr>
        <w:t xml:space="preserve">perhaps </w:t>
      </w:r>
      <w:r w:rsidR="00053B1E" w:rsidRPr="00053B1E">
        <w:rPr>
          <w:sz w:val="22"/>
        </w:rPr>
        <w:t xml:space="preserve">inhibit </w:t>
      </w:r>
      <w:r w:rsidR="00B41086">
        <w:rPr>
          <w:sz w:val="22"/>
        </w:rPr>
        <w:t>glioma, especially i</w:t>
      </w:r>
      <w:r w:rsidR="00B41086" w:rsidRPr="00B41086">
        <w:rPr>
          <w:sz w:val="22"/>
        </w:rPr>
        <w:t xml:space="preserve">t can </w:t>
      </w:r>
      <w:r w:rsidR="00CF6075">
        <w:rPr>
          <w:sz w:val="22"/>
        </w:rPr>
        <w:t>be designed to target</w:t>
      </w:r>
      <w:r w:rsidR="00D0714E">
        <w:rPr>
          <w:sz w:val="22"/>
        </w:rPr>
        <w:t xml:space="preserve"> specific genes involved in the</w:t>
      </w:r>
      <w:r w:rsidR="00B41086" w:rsidRPr="00B41086">
        <w:rPr>
          <w:sz w:val="22"/>
        </w:rPr>
        <w:t xml:space="preserve"> proliferation, invasion, migration</w:t>
      </w:r>
      <w:r w:rsidR="00D4370E">
        <w:rPr>
          <w:sz w:val="22"/>
        </w:rPr>
        <w:t xml:space="preserve"> and angiogenesis</w:t>
      </w:r>
      <w:r w:rsidR="008C2598">
        <w:rPr>
          <w:sz w:val="22"/>
        </w:rPr>
        <w:t xml:space="preserve">. </w:t>
      </w:r>
      <w:r w:rsidR="00382E49">
        <w:rPr>
          <w:rStyle w:val="a4"/>
          <w:sz w:val="22"/>
        </w:rPr>
        <w:endnoteReference w:id="7"/>
      </w:r>
      <w:r w:rsidR="00483BFB" w:rsidRPr="00483BFB">
        <w:rPr>
          <w:sz w:val="22"/>
        </w:rPr>
        <w:t xml:space="preserve"> </w:t>
      </w:r>
      <w:r w:rsidR="001A76B0">
        <w:rPr>
          <w:sz w:val="22"/>
        </w:rPr>
        <w:t xml:space="preserve">I learnt that siRNA can express RNA interference (RNAi), </w:t>
      </w:r>
      <w:r w:rsidR="00BC28B7">
        <w:rPr>
          <w:sz w:val="22"/>
        </w:rPr>
        <w:t xml:space="preserve">which is the process of </w:t>
      </w:r>
      <w:proofErr w:type="spellStart"/>
      <w:r w:rsidR="00BC28B7">
        <w:rPr>
          <w:sz w:val="22"/>
        </w:rPr>
        <w:t>sequenc-spacific</w:t>
      </w:r>
      <w:proofErr w:type="spellEnd"/>
      <w:r w:rsidR="00BC28B7">
        <w:rPr>
          <w:sz w:val="22"/>
        </w:rPr>
        <w:t>, post-transcriptional gene silencing in animals and plants.</w:t>
      </w:r>
      <w:r w:rsidR="00BC28B7">
        <w:rPr>
          <w:rStyle w:val="a4"/>
          <w:sz w:val="22"/>
        </w:rPr>
        <w:endnoteReference w:id="8"/>
      </w:r>
      <w:r w:rsidR="00FE5C85">
        <w:rPr>
          <w:sz w:val="22"/>
        </w:rPr>
        <w:t xml:space="preserve"> </w:t>
      </w:r>
      <w:r w:rsidR="00063804">
        <w:rPr>
          <w:sz w:val="22"/>
        </w:rPr>
        <w:t>SiRNA are powerful reagents for mediating gene silencing, and t</w:t>
      </w:r>
      <w:r w:rsidR="00063804" w:rsidRPr="00063804">
        <w:rPr>
          <w:sz w:val="22"/>
        </w:rPr>
        <w:t>he concentration of siRNAs is effective when it is several orders of magnitude lower than that used in traditi</w:t>
      </w:r>
      <w:r w:rsidR="00063804">
        <w:rPr>
          <w:sz w:val="22"/>
        </w:rPr>
        <w:t>onal antisense or ribozyme gene-</w:t>
      </w:r>
      <w:r w:rsidR="00063804" w:rsidRPr="00063804">
        <w:rPr>
          <w:sz w:val="22"/>
        </w:rPr>
        <w:t>targeting experiments.</w:t>
      </w:r>
      <w:r w:rsidR="00063804">
        <w:rPr>
          <w:rStyle w:val="a4"/>
          <w:sz w:val="22"/>
        </w:rPr>
        <w:endnoteReference w:id="9"/>
      </w:r>
    </w:p>
    <w:p w:rsidR="0025707A" w:rsidRPr="00A805C8" w:rsidRDefault="00483BFB" w:rsidP="00B57321">
      <w:pPr>
        <w:rPr>
          <w:sz w:val="22"/>
        </w:rPr>
      </w:pPr>
      <w:r>
        <w:rPr>
          <w:sz w:val="22"/>
        </w:rPr>
        <w:t xml:space="preserve">A specific </w:t>
      </w:r>
      <w:r w:rsidR="00FE5C85">
        <w:rPr>
          <w:sz w:val="22"/>
        </w:rPr>
        <w:t>si</w:t>
      </w:r>
      <w:r>
        <w:rPr>
          <w:sz w:val="22"/>
        </w:rPr>
        <w:t>RNA may be a pro</w:t>
      </w:r>
      <w:r w:rsidR="00C17A46">
        <w:rPr>
          <w:sz w:val="22"/>
        </w:rPr>
        <w:t xml:space="preserve">mising target for treat GBM, so I would </w:t>
      </w:r>
      <w:r w:rsidR="00C17A46" w:rsidRPr="00C17A46">
        <w:rPr>
          <w:sz w:val="22"/>
        </w:rPr>
        <w:t xml:space="preserve">learn more about the effects of various </w:t>
      </w:r>
      <w:r w:rsidR="00FE5C85">
        <w:rPr>
          <w:sz w:val="22"/>
        </w:rPr>
        <w:t>si</w:t>
      </w:r>
      <w:r w:rsidR="00C17A46" w:rsidRPr="00C17A46">
        <w:rPr>
          <w:sz w:val="22"/>
        </w:rPr>
        <w:t>RNA.</w:t>
      </w:r>
      <w:r w:rsidR="00A805C8" w:rsidRPr="00D84C2A">
        <w:rPr>
          <w:rFonts w:hint="eastAsia"/>
          <w:color w:val="FF0000"/>
          <w:sz w:val="22"/>
        </w:rPr>
        <w:t xml:space="preserve"> </w:t>
      </w:r>
    </w:p>
    <w:p w:rsidR="00AC3607" w:rsidRPr="008F53A9" w:rsidRDefault="00AC3607" w:rsidP="00AC3607">
      <w:pPr>
        <w:rPr>
          <w:sz w:val="22"/>
        </w:rPr>
      </w:pPr>
      <w:r>
        <w:rPr>
          <w:sz w:val="22"/>
        </w:rPr>
        <w:tab/>
        <w:t xml:space="preserve">Blood-brain barrier (BBB) is a major limitation to the use of drugs in the brain. Besides, the feeding capillaries in glioma reserve the characteristics of the BBB and form a blood-brain tumor barrier (BTB), which is similar to BBB. </w:t>
      </w:r>
      <w:r w:rsidR="00163213">
        <w:rPr>
          <w:sz w:val="22"/>
        </w:rPr>
        <w:t xml:space="preserve">Though BTB is more permeable than BBB, </w:t>
      </w:r>
      <w:r w:rsidR="007737DB">
        <w:rPr>
          <w:sz w:val="22"/>
        </w:rPr>
        <w:t>t</w:t>
      </w:r>
      <w:r w:rsidR="007737DB" w:rsidRPr="007737DB">
        <w:rPr>
          <w:sz w:val="22"/>
        </w:rPr>
        <w:t xml:space="preserve">he blood vessels of brain tumors often </w:t>
      </w:r>
      <w:r w:rsidR="008F53A9">
        <w:rPr>
          <w:sz w:val="22"/>
        </w:rPr>
        <w:t xml:space="preserve">highly </w:t>
      </w:r>
      <w:r w:rsidR="007737DB" w:rsidRPr="007737DB">
        <w:rPr>
          <w:sz w:val="22"/>
        </w:rPr>
        <w:t>express receptors, thus facilitating</w:t>
      </w:r>
      <w:r w:rsidR="008F53A9">
        <w:rPr>
          <w:sz w:val="22"/>
        </w:rPr>
        <w:t xml:space="preserve"> ligand-dependent drug delivery, </w:t>
      </w:r>
      <w:r w:rsidR="00163213">
        <w:rPr>
          <w:sz w:val="22"/>
        </w:rPr>
        <w:t xml:space="preserve">it still blocks drugs from entering the brain. </w:t>
      </w:r>
      <w:r>
        <w:rPr>
          <w:sz w:val="22"/>
        </w:rPr>
        <w:t>Therefore, methods that can help pass the BTB and BBB could enable the use of many anti-tumor agents in glioma therapy.</w:t>
      </w:r>
      <w:r w:rsidR="00E260E2">
        <w:rPr>
          <w:sz w:val="22"/>
        </w:rPr>
        <w:t xml:space="preserve"> </w:t>
      </w:r>
    </w:p>
    <w:p w:rsidR="001A242A" w:rsidRDefault="00452EF6" w:rsidP="00AC3607">
      <w:pPr>
        <w:rPr>
          <w:sz w:val="22"/>
        </w:rPr>
      </w:pPr>
      <w:r>
        <w:rPr>
          <w:sz w:val="22"/>
        </w:rPr>
        <w:tab/>
      </w:r>
      <w:r w:rsidR="00DB6926">
        <w:rPr>
          <w:sz w:val="22"/>
        </w:rPr>
        <w:t>P</w:t>
      </w:r>
      <w:r w:rsidR="00DB6926" w:rsidRPr="00DB6926">
        <w:rPr>
          <w:sz w:val="22"/>
        </w:rPr>
        <w:t>olypeptide</w:t>
      </w:r>
      <w:r w:rsidR="00DB6926">
        <w:rPr>
          <w:sz w:val="22"/>
        </w:rPr>
        <w:t xml:space="preserve"> Angiopep-2 can actively penetrate into the brain compartment by binding to specific receptor </w:t>
      </w:r>
      <w:r w:rsidR="007D2AA6">
        <w:rPr>
          <w:sz w:val="22"/>
        </w:rPr>
        <w:t>of low-density lipoprotein receptor-related protein</w:t>
      </w:r>
      <w:r w:rsidR="00394B9A">
        <w:rPr>
          <w:sz w:val="22"/>
        </w:rPr>
        <w:t xml:space="preserve"> 1</w:t>
      </w:r>
      <w:r w:rsidR="007D2AA6">
        <w:rPr>
          <w:sz w:val="22"/>
        </w:rPr>
        <w:t xml:space="preserve"> (LRP</w:t>
      </w:r>
      <w:r w:rsidR="00394B9A">
        <w:rPr>
          <w:sz w:val="22"/>
        </w:rPr>
        <w:t>-1</w:t>
      </w:r>
      <w:r w:rsidR="007D2AA6">
        <w:rPr>
          <w:sz w:val="22"/>
        </w:rPr>
        <w:t>)</w:t>
      </w:r>
      <w:r w:rsidR="006F2DB4">
        <w:rPr>
          <w:sz w:val="22"/>
        </w:rPr>
        <w:t xml:space="preserve">, which is highly expressed on the surface of the BBB. </w:t>
      </w:r>
      <w:r w:rsidR="001C7D9C">
        <w:rPr>
          <w:sz w:val="22"/>
        </w:rPr>
        <w:t xml:space="preserve">It is expressed in both </w:t>
      </w:r>
      <w:r w:rsidR="001C7D9C" w:rsidRPr="00DB439B">
        <w:rPr>
          <w:sz w:val="22"/>
        </w:rPr>
        <w:t>cytoplasm and cell surface of gliomas.</w:t>
      </w:r>
      <w:r w:rsidR="00DB439B" w:rsidRPr="00DB439B">
        <w:rPr>
          <w:rStyle w:val="a4"/>
          <w:sz w:val="22"/>
        </w:rPr>
        <w:t xml:space="preserve"> </w:t>
      </w:r>
      <w:r w:rsidR="00DB439B">
        <w:rPr>
          <w:rStyle w:val="a4"/>
          <w:sz w:val="22"/>
        </w:rPr>
        <w:endnoteReference w:id="10"/>
      </w:r>
      <w:r w:rsidR="00DB439B">
        <w:rPr>
          <w:sz w:val="22"/>
        </w:rPr>
        <w:t xml:space="preserve"> LRP-1 enters brain tissue by </w:t>
      </w:r>
      <w:proofErr w:type="spellStart"/>
      <w:r w:rsidR="00DB439B" w:rsidRPr="00DB439B">
        <w:rPr>
          <w:sz w:val="22"/>
        </w:rPr>
        <w:t>receptormediated</w:t>
      </w:r>
      <w:proofErr w:type="spellEnd"/>
      <w:r w:rsidR="00DB439B" w:rsidRPr="00DB439B">
        <w:rPr>
          <w:sz w:val="22"/>
        </w:rPr>
        <w:t xml:space="preserve"> transcytosis</w:t>
      </w:r>
      <w:r w:rsidR="00D21AA3">
        <w:rPr>
          <w:sz w:val="22"/>
        </w:rPr>
        <w:t xml:space="preserve"> (RMT)</w:t>
      </w:r>
      <w:r w:rsidR="0073074C">
        <w:rPr>
          <w:sz w:val="22"/>
        </w:rPr>
        <w:t xml:space="preserve"> transport mechanism.</w:t>
      </w:r>
      <w:r w:rsidR="0073074C">
        <w:rPr>
          <w:rFonts w:hint="eastAsia"/>
          <w:sz w:val="22"/>
        </w:rPr>
        <w:t xml:space="preserve"> </w:t>
      </w:r>
      <w:r w:rsidR="00394B9A">
        <w:rPr>
          <w:sz w:val="22"/>
        </w:rPr>
        <w:t xml:space="preserve">It can help drug cross the BBB, increase the drug concentration in brain tissue, and then improve the cure rate. </w:t>
      </w:r>
      <w:r w:rsidR="000B16BD">
        <w:rPr>
          <w:sz w:val="22"/>
        </w:rPr>
        <w:t xml:space="preserve">For this reason, I think this is an immense method to increase the proposition of drug entering the brain. </w:t>
      </w:r>
      <w:r w:rsidR="0047193A">
        <w:rPr>
          <w:sz w:val="22"/>
        </w:rPr>
        <w:t>Angiopep-2</w:t>
      </w:r>
      <w:r w:rsidR="0047193A" w:rsidRPr="00FC5242">
        <w:rPr>
          <w:sz w:val="22"/>
        </w:rPr>
        <w:t xml:space="preserve"> can be used to modify TMZ</w:t>
      </w:r>
      <w:r w:rsidR="0047193A">
        <w:rPr>
          <w:sz w:val="22"/>
        </w:rPr>
        <w:t>, bevacizumab</w:t>
      </w:r>
      <w:r w:rsidR="0047193A" w:rsidRPr="00FC5242">
        <w:rPr>
          <w:sz w:val="22"/>
        </w:rPr>
        <w:t xml:space="preserve"> and </w:t>
      </w:r>
      <w:r w:rsidR="00063804">
        <w:rPr>
          <w:sz w:val="22"/>
        </w:rPr>
        <w:t>si</w:t>
      </w:r>
      <w:r w:rsidR="0047193A" w:rsidRPr="00FC5242">
        <w:rPr>
          <w:sz w:val="22"/>
        </w:rPr>
        <w:t>RNA to promote crossing BBB.</w:t>
      </w:r>
      <w:r w:rsidR="0047193A">
        <w:rPr>
          <w:sz w:val="22"/>
        </w:rPr>
        <w:t xml:space="preserve"> Then </w:t>
      </w:r>
      <w:r w:rsidR="0047193A">
        <w:rPr>
          <w:rFonts w:ascii="Arial" w:hAnsi="Arial" w:cs="Arial"/>
          <w:color w:val="333333"/>
          <w:szCs w:val="21"/>
          <w:shd w:val="clear" w:color="auto" w:fill="FAFBFC"/>
        </w:rPr>
        <w:t>succeeding study</w:t>
      </w:r>
      <w:r w:rsidR="0047193A" w:rsidRPr="006E0A20">
        <w:rPr>
          <w:rFonts w:ascii="Arial" w:hAnsi="Arial" w:cs="Arial"/>
          <w:color w:val="333333"/>
          <w:szCs w:val="21"/>
          <w:shd w:val="clear" w:color="auto" w:fill="FAFBFC"/>
        </w:rPr>
        <w:t xml:space="preserve"> need to investigate the targeting</w:t>
      </w:r>
      <w:r w:rsidR="0047193A">
        <w:rPr>
          <w:rFonts w:ascii="Arial" w:hAnsi="Arial" w:cs="Arial"/>
          <w:color w:val="333333"/>
          <w:szCs w:val="21"/>
          <w:shd w:val="clear" w:color="auto" w:fill="FAFBFC"/>
        </w:rPr>
        <w:t xml:space="preserve"> efficiency</w:t>
      </w:r>
      <w:r w:rsidR="0047193A" w:rsidRPr="006E0A20">
        <w:rPr>
          <w:rFonts w:ascii="Arial" w:hAnsi="Arial" w:cs="Arial"/>
          <w:color w:val="333333"/>
          <w:szCs w:val="21"/>
          <w:shd w:val="clear" w:color="auto" w:fill="FAFBFC"/>
        </w:rPr>
        <w:t xml:space="preserve"> and pharmacodynamics.</w:t>
      </w:r>
    </w:p>
    <w:p w:rsidR="005863BE" w:rsidRDefault="001A242A" w:rsidP="00B22579">
      <w:pPr>
        <w:rPr>
          <w:sz w:val="22"/>
        </w:rPr>
      </w:pPr>
      <w:r>
        <w:rPr>
          <w:sz w:val="22"/>
        </w:rPr>
        <w:lastRenderedPageBreak/>
        <w:tab/>
      </w:r>
      <w:proofErr w:type="spellStart"/>
      <w:r w:rsidRPr="001A242A">
        <w:rPr>
          <w:sz w:val="22"/>
        </w:rPr>
        <w:t>Polylactic</w:t>
      </w:r>
      <w:proofErr w:type="spellEnd"/>
      <w:r w:rsidRPr="001A242A">
        <w:rPr>
          <w:sz w:val="22"/>
        </w:rPr>
        <w:t xml:space="preserve"> acid (PLA) has become one of the commonly used drug carriers because of its good biocom</w:t>
      </w:r>
      <w:r>
        <w:rPr>
          <w:sz w:val="22"/>
        </w:rPr>
        <w:t>patibility and biodegradability,</w:t>
      </w:r>
      <w:r w:rsidRPr="001A242A">
        <w:rPr>
          <w:sz w:val="22"/>
        </w:rPr>
        <w:t xml:space="preserve"> but its hydrophilicity is poor.</w:t>
      </w:r>
      <w:r>
        <w:rPr>
          <w:sz w:val="22"/>
        </w:rPr>
        <w:t xml:space="preserve"> </w:t>
      </w:r>
      <w:proofErr w:type="spellStart"/>
      <w:r w:rsidR="002B1069">
        <w:rPr>
          <w:sz w:val="22"/>
        </w:rPr>
        <w:t>P</w:t>
      </w:r>
      <w:r w:rsidR="002B1069" w:rsidRPr="002B1069">
        <w:rPr>
          <w:sz w:val="22"/>
        </w:rPr>
        <w:t>olyethyleneglycol</w:t>
      </w:r>
      <w:proofErr w:type="spellEnd"/>
      <w:r w:rsidR="002B1069" w:rsidRPr="002B1069">
        <w:rPr>
          <w:sz w:val="22"/>
        </w:rPr>
        <w:t xml:space="preserve"> </w:t>
      </w:r>
      <w:r w:rsidR="002B1069">
        <w:rPr>
          <w:sz w:val="22"/>
        </w:rPr>
        <w:t>(</w:t>
      </w:r>
      <w:r w:rsidR="002B1069" w:rsidRPr="002B1069">
        <w:rPr>
          <w:sz w:val="22"/>
        </w:rPr>
        <w:t>PEG</w:t>
      </w:r>
      <w:r w:rsidR="002B1069">
        <w:rPr>
          <w:sz w:val="22"/>
        </w:rPr>
        <w:t>)</w:t>
      </w:r>
      <w:r w:rsidR="002B1069" w:rsidRPr="002B1069">
        <w:rPr>
          <w:sz w:val="22"/>
        </w:rPr>
        <w:t xml:space="preserve"> has attracted much attention as a common hydrophilic modified material.</w:t>
      </w:r>
      <w:r w:rsidR="00337BAC">
        <w:rPr>
          <w:sz w:val="22"/>
        </w:rPr>
        <w:t xml:space="preserve"> </w:t>
      </w:r>
      <w:r w:rsidR="00337BAC">
        <w:rPr>
          <w:rStyle w:val="a4"/>
          <w:sz w:val="22"/>
        </w:rPr>
        <w:endnoteReference w:id="11"/>
      </w:r>
      <w:r w:rsidR="00585ED2">
        <w:rPr>
          <w:sz w:val="22"/>
        </w:rPr>
        <w:t xml:space="preserve"> It can be considered that PLA-PEG </w:t>
      </w:r>
      <w:r w:rsidR="00585ED2" w:rsidRPr="00585ED2">
        <w:rPr>
          <w:sz w:val="22"/>
        </w:rPr>
        <w:t>polymeric materials</w:t>
      </w:r>
      <w:r w:rsidR="00DD721E">
        <w:rPr>
          <w:sz w:val="22"/>
        </w:rPr>
        <w:t xml:space="preserve"> carry </w:t>
      </w:r>
      <w:r w:rsidR="009B5277">
        <w:rPr>
          <w:sz w:val="22"/>
        </w:rPr>
        <w:t>bevacizumab</w:t>
      </w:r>
      <w:r w:rsidR="00364FD0">
        <w:rPr>
          <w:sz w:val="22"/>
        </w:rPr>
        <w:t>, TMZ</w:t>
      </w:r>
      <w:r w:rsidR="009B5277">
        <w:rPr>
          <w:sz w:val="22"/>
        </w:rPr>
        <w:t xml:space="preserve"> and </w:t>
      </w:r>
      <w:r w:rsidR="00063804">
        <w:rPr>
          <w:sz w:val="22"/>
        </w:rPr>
        <w:t>si</w:t>
      </w:r>
      <w:r w:rsidR="009B5277">
        <w:rPr>
          <w:sz w:val="22"/>
        </w:rPr>
        <w:t xml:space="preserve">RNA </w:t>
      </w:r>
      <w:r w:rsidR="00364FD0">
        <w:rPr>
          <w:sz w:val="22"/>
        </w:rPr>
        <w:t>and ind</w:t>
      </w:r>
      <w:r w:rsidR="00167EEA">
        <w:rPr>
          <w:sz w:val="22"/>
        </w:rPr>
        <w:t>uce intracellular release to reduce dosage.</w:t>
      </w:r>
    </w:p>
    <w:sectPr w:rsidR="005863BE">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C11" w:rsidRDefault="00C87C11" w:rsidP="00146F86">
      <w:r>
        <w:separator/>
      </w:r>
    </w:p>
  </w:endnote>
  <w:endnote w:type="continuationSeparator" w:id="0">
    <w:p w:rsidR="00C87C11" w:rsidRDefault="00C87C11" w:rsidP="00146F86">
      <w:r>
        <w:continuationSeparator/>
      </w:r>
    </w:p>
  </w:endnote>
  <w:endnote w:id="1">
    <w:p w:rsidR="00F03C52" w:rsidRDefault="00F03C52" w:rsidP="00F03C52">
      <w:pPr>
        <w:pStyle w:val="a3"/>
      </w:pPr>
      <w:r>
        <w:rPr>
          <w:rStyle w:val="a4"/>
        </w:rPr>
        <w:endnoteRef/>
      </w:r>
      <w:r w:rsidR="007A026C">
        <w:t xml:space="preserve"> Wong ET, Hess KR, Gleason MJ, </w:t>
      </w:r>
      <w:proofErr w:type="spellStart"/>
      <w:r w:rsidR="007A026C">
        <w:t>Jaeckle</w:t>
      </w:r>
      <w:proofErr w:type="spellEnd"/>
      <w:r w:rsidR="007A026C">
        <w:t xml:space="preserve"> KA, Kyritsis AP, </w:t>
      </w:r>
      <w:proofErr w:type="spellStart"/>
      <w:r>
        <w:t>Prados</w:t>
      </w:r>
      <w:proofErr w:type="spellEnd"/>
      <w:r w:rsidR="007A026C">
        <w:t xml:space="preserve"> MD, Levin VA, Yung WK.  Outcomes and prognostic factors in recurrent glioma patients </w:t>
      </w:r>
      <w:r>
        <w:t>enrolled onto phase 1I clinical trials</w:t>
      </w:r>
      <w:r>
        <w:rPr>
          <w:rFonts w:hint="eastAsia"/>
        </w:rPr>
        <w:t>．</w:t>
      </w:r>
      <w:r>
        <w:t xml:space="preserve">J </w:t>
      </w:r>
      <w:proofErr w:type="spellStart"/>
      <w:r>
        <w:t>Clin</w:t>
      </w:r>
      <w:proofErr w:type="spellEnd"/>
      <w:r>
        <w:t xml:space="preserve"> </w:t>
      </w:r>
      <w:proofErr w:type="spellStart"/>
      <w:r>
        <w:t>Oncol</w:t>
      </w:r>
      <w:proofErr w:type="spellEnd"/>
      <w:r>
        <w:rPr>
          <w:rFonts w:hint="eastAsia"/>
        </w:rPr>
        <w:t>,</w:t>
      </w:r>
      <w:r>
        <w:t xml:space="preserve"> 1999</w:t>
      </w:r>
      <w:r>
        <w:rPr>
          <w:rFonts w:hint="eastAsia"/>
        </w:rPr>
        <w:t>，</w:t>
      </w:r>
      <w:r>
        <w:t>17 (8)</w:t>
      </w:r>
      <w:r>
        <w:rPr>
          <w:rFonts w:hint="eastAsia"/>
        </w:rPr>
        <w:t>：</w:t>
      </w:r>
      <w:r>
        <w:t>2572-2578</w:t>
      </w:r>
      <w:r>
        <w:rPr>
          <w:rFonts w:hint="eastAsia"/>
        </w:rPr>
        <w:t>．</w:t>
      </w:r>
    </w:p>
  </w:endnote>
  <w:endnote w:id="2">
    <w:p w:rsidR="00F03C52" w:rsidRDefault="00F03C52" w:rsidP="00F03C52">
      <w:pPr>
        <w:pStyle w:val="a3"/>
      </w:pPr>
      <w:r>
        <w:rPr>
          <w:rStyle w:val="a4"/>
        </w:rPr>
        <w:endnoteRef/>
      </w:r>
      <w:r>
        <w:t xml:space="preserve"> </w:t>
      </w:r>
      <w:proofErr w:type="spellStart"/>
      <w:r>
        <w:t>Stupp</w:t>
      </w:r>
      <w:proofErr w:type="spellEnd"/>
      <w:r>
        <w:t xml:space="preserve"> R, </w:t>
      </w:r>
      <w:proofErr w:type="spellStart"/>
      <w:r>
        <w:t>Hegi</w:t>
      </w:r>
      <w:proofErr w:type="spellEnd"/>
      <w:r>
        <w:t xml:space="preserve"> ME, Mason WP, van den Bent MJ, </w:t>
      </w:r>
      <w:proofErr w:type="spellStart"/>
      <w:r>
        <w:t>Taphoorn</w:t>
      </w:r>
      <w:proofErr w:type="spellEnd"/>
      <w:r>
        <w:t xml:space="preserve"> MJ, </w:t>
      </w:r>
      <w:proofErr w:type="spellStart"/>
      <w:r>
        <w:t>Janzer</w:t>
      </w:r>
      <w:proofErr w:type="spellEnd"/>
      <w:r>
        <w:t xml:space="preserve"> RC, </w:t>
      </w:r>
      <w:proofErr w:type="spellStart"/>
      <w:r>
        <w:t>Ludwin</w:t>
      </w:r>
      <w:proofErr w:type="spellEnd"/>
      <w:r>
        <w:t xml:space="preserve"> </w:t>
      </w:r>
      <w:r w:rsidRPr="00F03C52">
        <w:t xml:space="preserve">SK,  </w:t>
      </w:r>
      <w:proofErr w:type="spellStart"/>
      <w:r w:rsidRPr="00F03C52">
        <w:t>Allgeier</w:t>
      </w:r>
      <w:proofErr w:type="spellEnd"/>
      <w:r w:rsidRPr="00F03C52">
        <w:t xml:space="preserve">  A,  Fisher  B,  Belanger  K,  </w:t>
      </w:r>
      <w:proofErr w:type="spellStart"/>
      <w:r w:rsidRPr="00F03C52">
        <w:t>Hau</w:t>
      </w:r>
      <w:proofErr w:type="spellEnd"/>
      <w:r w:rsidRPr="00F03C52">
        <w:t xml:space="preserve">  P,  </w:t>
      </w:r>
      <w:proofErr w:type="spellStart"/>
      <w:r w:rsidRPr="00F03C52">
        <w:t>Brandes</w:t>
      </w:r>
      <w:proofErr w:type="spellEnd"/>
      <w:r w:rsidRPr="00F03C52">
        <w:t xml:space="preserve">  AA,  </w:t>
      </w:r>
      <w:proofErr w:type="spellStart"/>
      <w:r w:rsidRPr="00F03C52">
        <w:t>Gijtenbeek</w:t>
      </w:r>
      <w:proofErr w:type="spellEnd"/>
      <w:r w:rsidRPr="00F03C52">
        <w:t xml:space="preserve">  J,  </w:t>
      </w:r>
      <w:proofErr w:type="spellStart"/>
      <w:r w:rsidRPr="00F03C52">
        <w:t>Marosi</w:t>
      </w:r>
      <w:proofErr w:type="spellEnd"/>
      <w:r w:rsidRPr="00F03C52">
        <w:t xml:space="preserve">  C, </w:t>
      </w:r>
      <w:proofErr w:type="spellStart"/>
      <w:r w:rsidRPr="00F03C52">
        <w:t>Vecht</w:t>
      </w:r>
      <w:proofErr w:type="spellEnd"/>
      <w:r w:rsidRPr="00F03C52">
        <w:t xml:space="preserve">  CJ,  </w:t>
      </w:r>
      <w:proofErr w:type="spellStart"/>
      <w:r w:rsidRPr="00F03C52">
        <w:t>Mokhtari</w:t>
      </w:r>
      <w:proofErr w:type="spellEnd"/>
      <w:r w:rsidRPr="00F03C52">
        <w:t xml:space="preserve">  K,  </w:t>
      </w:r>
      <w:proofErr w:type="spellStart"/>
      <w:r w:rsidRPr="00F03C52">
        <w:t>Wesseling</w:t>
      </w:r>
      <w:proofErr w:type="spellEnd"/>
      <w:r w:rsidRPr="00F03C52">
        <w:t xml:space="preserve">  P,  Villa  S,  </w:t>
      </w:r>
      <w:proofErr w:type="spellStart"/>
      <w:r w:rsidRPr="00F03C52">
        <w:t>Eisenhauer</w:t>
      </w:r>
      <w:proofErr w:type="spellEnd"/>
      <w:r w:rsidRPr="00F03C52">
        <w:t xml:space="preserve">  E,  </w:t>
      </w:r>
      <w:proofErr w:type="spellStart"/>
      <w:r w:rsidRPr="00F03C52">
        <w:t>Gorlia</w:t>
      </w:r>
      <w:proofErr w:type="spellEnd"/>
      <w:r w:rsidRPr="00F03C52">
        <w:t xml:space="preserve">  T,  Weller  M, </w:t>
      </w:r>
      <w:r>
        <w:t xml:space="preserve">Lacombe D, </w:t>
      </w:r>
      <w:proofErr w:type="spellStart"/>
      <w:r>
        <w:t>Cairncross</w:t>
      </w:r>
      <w:proofErr w:type="spellEnd"/>
      <w:r>
        <w:t xml:space="preserve"> JG, </w:t>
      </w:r>
      <w:proofErr w:type="spellStart"/>
      <w:r>
        <w:t>Mirimanoff</w:t>
      </w:r>
      <w:proofErr w:type="spellEnd"/>
      <w:r>
        <w:t xml:space="preserve"> RO. Effects of radiotherapy with concomitant and adjuvant </w:t>
      </w:r>
      <w:proofErr w:type="spellStart"/>
      <w:r>
        <w:t>temozolomide</w:t>
      </w:r>
      <w:proofErr w:type="spellEnd"/>
      <w:r>
        <w:t xml:space="preserve"> versus radiotherapy alone on survival in glioblastoma in a </w:t>
      </w:r>
      <w:proofErr w:type="spellStart"/>
      <w:r>
        <w:t>randomised</w:t>
      </w:r>
      <w:proofErr w:type="spellEnd"/>
      <w:r>
        <w:t xml:space="preserve"> phase III study: 5-year analysis of the EORTC-NCIC trial. Lancet </w:t>
      </w:r>
      <w:proofErr w:type="spellStart"/>
      <w:r>
        <w:t>Oncol</w:t>
      </w:r>
      <w:proofErr w:type="spellEnd"/>
      <w:r>
        <w:t>, 2009, 10: 459-466.</w:t>
      </w:r>
    </w:p>
  </w:endnote>
  <w:endnote w:id="3">
    <w:p w:rsidR="000D013C" w:rsidRDefault="000D013C">
      <w:pPr>
        <w:pStyle w:val="a3"/>
      </w:pPr>
      <w:r>
        <w:rPr>
          <w:rStyle w:val="a4"/>
        </w:rPr>
        <w:endnoteRef/>
      </w:r>
      <w:r>
        <w:t xml:space="preserve"> </w:t>
      </w:r>
      <w:r w:rsidRPr="000D013C">
        <w:t xml:space="preserve">Mohammad N ,  Hamid S Z ,  </w:t>
      </w:r>
      <w:proofErr w:type="spellStart"/>
      <w:r w:rsidRPr="000D013C">
        <w:t>Kourosh</w:t>
      </w:r>
      <w:proofErr w:type="spellEnd"/>
      <w:r w:rsidRPr="000D013C">
        <w:t xml:space="preserve"> J K , et al. Prediction of Glioblastoma Multiform Response to Bevacizumab Treatment Using Multi-Parametric MRI[J]. </w:t>
      </w:r>
      <w:proofErr w:type="spellStart"/>
      <w:r w:rsidRPr="000D013C">
        <w:t>PLoS</w:t>
      </w:r>
      <w:proofErr w:type="spellEnd"/>
      <w:r w:rsidRPr="000D013C">
        <w:t xml:space="preserve"> ONE, 2012, 7(1):e29945-.</w:t>
      </w:r>
    </w:p>
  </w:endnote>
  <w:endnote w:id="4">
    <w:p w:rsidR="00016127" w:rsidRDefault="00016127" w:rsidP="00016127">
      <w:pPr>
        <w:pStyle w:val="a3"/>
      </w:pPr>
      <w:r>
        <w:rPr>
          <w:rStyle w:val="a4"/>
        </w:rPr>
        <w:endnoteRef/>
      </w:r>
      <w:r w:rsidRPr="00053B1E">
        <w:rPr>
          <w:lang w:val="de-DE"/>
        </w:rPr>
        <w:t xml:space="preserve"> Taylor  J  and  Gerstner  ER.  </w:t>
      </w:r>
      <w:r>
        <w:t>Anti-</w:t>
      </w:r>
      <w:proofErr w:type="gramStart"/>
      <w:r>
        <w:t>angiogenic  therapy</w:t>
      </w:r>
      <w:proofErr w:type="gramEnd"/>
      <w:r>
        <w:t xml:space="preserve">  in  high-grade  glioma  (treatment and toxicity). </w:t>
      </w:r>
      <w:proofErr w:type="spellStart"/>
      <w:r>
        <w:t>Curr</w:t>
      </w:r>
      <w:proofErr w:type="spellEnd"/>
      <w:r>
        <w:t xml:space="preserve"> Treat Options </w:t>
      </w:r>
      <w:proofErr w:type="spellStart"/>
      <w:r>
        <w:t>Neurol</w:t>
      </w:r>
      <w:proofErr w:type="spellEnd"/>
      <w:r>
        <w:t>, 2013, 15: 328-337.</w:t>
      </w:r>
    </w:p>
  </w:endnote>
  <w:endnote w:id="5">
    <w:p w:rsidR="009672F5" w:rsidRPr="009672F5" w:rsidRDefault="009672F5">
      <w:pPr>
        <w:pStyle w:val="a3"/>
      </w:pPr>
      <w:r>
        <w:rPr>
          <w:rStyle w:val="a4"/>
        </w:rPr>
        <w:endnoteRef/>
      </w:r>
      <w:r w:rsidRPr="009672F5">
        <w:t xml:space="preserve"> Lu KV, Chang JP, </w:t>
      </w:r>
      <w:proofErr w:type="spellStart"/>
      <w:r w:rsidRPr="009672F5">
        <w:t>Parachoniak</w:t>
      </w:r>
      <w:proofErr w:type="spellEnd"/>
      <w:r w:rsidRPr="009672F5">
        <w:t xml:space="preserve"> CA, et a</w:t>
      </w:r>
      <w:r>
        <w:t xml:space="preserve">l. VEGF inhibits tumor cell invasion and mesenchymal transition </w:t>
      </w:r>
      <w:r w:rsidR="00350974">
        <w:t>through a MET/VEGFR2</w:t>
      </w:r>
      <w:r>
        <w:t xml:space="preserve"> complex. Cancer Cell 2012; 22:21-35</w:t>
      </w:r>
    </w:p>
  </w:endnote>
  <w:endnote w:id="6">
    <w:p w:rsidR="0018454A" w:rsidRPr="0018454A" w:rsidRDefault="0018454A" w:rsidP="0018454A">
      <w:pPr>
        <w:pStyle w:val="a3"/>
        <w:rPr>
          <w:rFonts w:hint="eastAsia"/>
        </w:rPr>
      </w:pPr>
      <w:r>
        <w:rPr>
          <w:rStyle w:val="a4"/>
        </w:rPr>
        <w:endnoteRef/>
      </w:r>
      <w:r w:rsidRPr="0018454A">
        <w:rPr>
          <w:lang w:val="de-DE"/>
        </w:rPr>
        <w:t xml:space="preserve"> </w:t>
      </w:r>
      <w:r>
        <w:rPr>
          <w:lang w:val="de-DE"/>
        </w:rPr>
        <w:t xml:space="preserve">Elbashir SM, Harborth J, Lendeckel W, et al. </w:t>
      </w:r>
      <w:r>
        <w:t xml:space="preserve">Duplexes of 21-nucleotide RNAs mediate RNA interference in cultured mammalian cells. Nature. 2001; 411(6836): </w:t>
      </w:r>
      <w:r>
        <w:t>494-498.</w:t>
      </w:r>
    </w:p>
  </w:endnote>
  <w:endnote w:id="7">
    <w:p w:rsidR="00382E49" w:rsidRDefault="00382E49">
      <w:pPr>
        <w:pStyle w:val="a3"/>
      </w:pPr>
      <w:r>
        <w:rPr>
          <w:rStyle w:val="a4"/>
        </w:rPr>
        <w:endnoteRef/>
      </w:r>
      <w:r>
        <w:t xml:space="preserve"> Zheng A, </w:t>
      </w:r>
      <w:proofErr w:type="gramStart"/>
      <w:r>
        <w:t>Yin ,</w:t>
      </w:r>
      <w:proofErr w:type="gramEnd"/>
      <w:r>
        <w:t xml:space="preserve"> Li Y, et al. miR-129-5p targets Wnt5a to block PKC/ERK/NF-KB and JNK pathways in glioblastoma. Cell Death Dis. 2018; 9:394</w:t>
      </w:r>
    </w:p>
  </w:endnote>
  <w:endnote w:id="8">
    <w:p w:rsidR="00BC28B7" w:rsidRPr="00BC28B7" w:rsidRDefault="00BC28B7">
      <w:pPr>
        <w:pStyle w:val="a3"/>
        <w:rPr>
          <w:rFonts w:hint="eastAsia"/>
        </w:rPr>
      </w:pPr>
      <w:r>
        <w:rPr>
          <w:rStyle w:val="a4"/>
        </w:rPr>
        <w:endnoteRef/>
      </w:r>
      <w:r w:rsidRPr="00BC28B7">
        <w:rPr>
          <w:lang w:val="de-DE"/>
        </w:rPr>
        <w:t xml:space="preserve"> </w:t>
      </w:r>
      <w:r w:rsidRPr="00BC28B7">
        <w:rPr>
          <w:lang w:val="de-DE"/>
        </w:rPr>
        <w:t xml:space="preserve">Elbashir, Sayda, M, et al. </w:t>
      </w:r>
      <w:r w:rsidRPr="00BC28B7">
        <w:t>Duplexes of 21 -nucleotide RNAs mediate RNA interference in cultured mammalian cells</w:t>
      </w:r>
      <w:proofErr w:type="gramStart"/>
      <w:r w:rsidRPr="00BC28B7">
        <w:t>.[</w:t>
      </w:r>
      <w:proofErr w:type="gramEnd"/>
      <w:r w:rsidRPr="00BC28B7">
        <w:t>J]. Nature, 2001.</w:t>
      </w:r>
    </w:p>
  </w:endnote>
  <w:endnote w:id="9">
    <w:p w:rsidR="00063804" w:rsidRPr="00063804" w:rsidRDefault="00063804" w:rsidP="00063804">
      <w:pPr>
        <w:pStyle w:val="a3"/>
        <w:rPr>
          <w:rFonts w:hint="eastAsia"/>
        </w:rPr>
      </w:pPr>
      <w:r>
        <w:rPr>
          <w:rStyle w:val="a4"/>
        </w:rPr>
        <w:endnoteRef/>
      </w:r>
      <w:r>
        <w:t xml:space="preserve"> </w:t>
      </w:r>
      <w:proofErr w:type="spellStart"/>
      <w:r>
        <w:t>Macejak</w:t>
      </w:r>
      <w:proofErr w:type="spellEnd"/>
      <w:r>
        <w:t>, D. G. et al. Inhibition of hepatitis C virus (HCV</w:t>
      </w:r>
      <w:r>
        <w:t xml:space="preserve">)-RNA-dependent translation </w:t>
      </w:r>
      <w:proofErr w:type="spellStart"/>
      <w:r>
        <w:t>and</w:t>
      </w:r>
      <w:r>
        <w:t>replication</w:t>
      </w:r>
      <w:proofErr w:type="spellEnd"/>
      <w:r>
        <w:t xml:space="preserve"> of a chimeric HCV poliovirus using synthetic stabilized</w:t>
      </w:r>
      <w:r>
        <w:t xml:space="preserve"> ribozymes. </w:t>
      </w:r>
      <w:r>
        <w:t>Hepatology 31, 769–</w:t>
      </w:r>
      <w:bookmarkStart w:id="0" w:name="_GoBack"/>
      <w:bookmarkEnd w:id="0"/>
      <w:r>
        <w:t>776 (2000).</w:t>
      </w:r>
    </w:p>
  </w:endnote>
  <w:endnote w:id="10">
    <w:p w:rsidR="00DB439B" w:rsidRDefault="00DB439B" w:rsidP="00DB439B">
      <w:pPr>
        <w:pStyle w:val="a3"/>
      </w:pPr>
      <w:r>
        <w:rPr>
          <w:rStyle w:val="a4"/>
        </w:rPr>
        <w:endnoteRef/>
      </w:r>
      <w:r>
        <w:t xml:space="preserve"> </w:t>
      </w:r>
      <w:r w:rsidRPr="004A3C30">
        <w:t xml:space="preserve">Sun X, Chen Y, Zhao H, </w:t>
      </w:r>
      <w:proofErr w:type="spellStart"/>
      <w:r w:rsidRPr="004A3C30">
        <w:t>Qiao</w:t>
      </w:r>
      <w:proofErr w:type="spellEnd"/>
      <w:r w:rsidRPr="004A3C30">
        <w:t xml:space="preserve"> G, Liu M, Zhang C, Cui D, Ma L. Dual-modified cationic liposomes loaded with paclitaxel and </w:t>
      </w:r>
      <w:proofErr w:type="spellStart"/>
      <w:r w:rsidRPr="004A3C30">
        <w:t>survivin</w:t>
      </w:r>
      <w:proofErr w:type="spellEnd"/>
      <w:r w:rsidRPr="004A3C30">
        <w:t xml:space="preserve"> siRNA for targeted imaging and therapy of cancer stem cells in brain glioma. Drug </w:t>
      </w:r>
      <w:proofErr w:type="spellStart"/>
      <w:r w:rsidRPr="004A3C30">
        <w:t>Deliv</w:t>
      </w:r>
      <w:proofErr w:type="spellEnd"/>
      <w:r w:rsidRPr="004A3C30">
        <w:t>. 2018 Nov</w:t>
      </w:r>
      <w:proofErr w:type="gramStart"/>
      <w:r w:rsidRPr="004A3C30">
        <w:t>;25</w:t>
      </w:r>
      <w:proofErr w:type="gramEnd"/>
      <w:r w:rsidRPr="004A3C30">
        <w:t>(1):1718-1727.</w:t>
      </w:r>
    </w:p>
  </w:endnote>
  <w:endnote w:id="11">
    <w:p w:rsidR="00337BAC" w:rsidRDefault="00337BAC">
      <w:pPr>
        <w:pStyle w:val="a3"/>
      </w:pPr>
      <w:r>
        <w:rPr>
          <w:rStyle w:val="a4"/>
        </w:rPr>
        <w:endnoteRef/>
      </w:r>
      <w:r>
        <w:t xml:space="preserve"> Moffatt S</w:t>
      </w:r>
      <w:r w:rsidR="0023312B">
        <w:rPr>
          <w:rFonts w:ascii="Calibri" w:hAnsi="Calibri" w:cs="Calibri"/>
        </w:rPr>
        <w:t xml:space="preserve">, </w:t>
      </w:r>
      <w:r>
        <w:t>Cristiano R J</w:t>
      </w:r>
      <w:r w:rsidR="0023312B">
        <w:rPr>
          <w:rFonts w:hint="eastAsia"/>
        </w:rPr>
        <w:t>.</w:t>
      </w:r>
      <w:r w:rsidR="0023312B">
        <w:t xml:space="preserve"> </w:t>
      </w:r>
      <w:r>
        <w:t>Int</w:t>
      </w:r>
      <w:r w:rsidR="0023312B">
        <w:rPr>
          <w:rFonts w:hint="eastAsia"/>
        </w:rPr>
        <w:t>.</w:t>
      </w:r>
      <w:r w:rsidR="0023312B">
        <w:t xml:space="preserve"> </w:t>
      </w:r>
      <w:r>
        <w:t>J</w:t>
      </w:r>
      <w:r w:rsidR="0023312B">
        <w:rPr>
          <w:rFonts w:hint="eastAsia"/>
        </w:rPr>
        <w:t>.</w:t>
      </w:r>
      <w:r w:rsidR="0023312B">
        <w:t xml:space="preserve"> </w:t>
      </w:r>
      <w:r>
        <w:t>Pharm</w:t>
      </w:r>
      <w:r w:rsidR="0023312B">
        <w:rPr>
          <w:rFonts w:hint="eastAsia"/>
        </w:rPr>
        <w:t>.</w:t>
      </w:r>
      <w:r w:rsidR="0023312B">
        <w:t xml:space="preserve"> </w:t>
      </w:r>
      <w:r>
        <w:t>2006</w:t>
      </w:r>
      <w:r w:rsidR="0023312B">
        <w:rPr>
          <w:rFonts w:ascii="Calibri" w:hAnsi="Calibri" w:cs="Calibri"/>
        </w:rPr>
        <w:t xml:space="preserve">, </w:t>
      </w:r>
      <w:r>
        <w:t>317</w:t>
      </w:r>
      <w:r w:rsidR="0023312B">
        <w:rPr>
          <w:rFonts w:hint="eastAsia"/>
        </w:rPr>
        <w:t>:</w:t>
      </w:r>
      <w:r>
        <w:t>10—13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C11" w:rsidRDefault="00C87C11" w:rsidP="00146F86">
      <w:r>
        <w:separator/>
      </w:r>
    </w:p>
  </w:footnote>
  <w:footnote w:type="continuationSeparator" w:id="0">
    <w:p w:rsidR="00C87C11" w:rsidRDefault="00C87C11" w:rsidP="00146F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D3"/>
    <w:rsid w:val="000114B1"/>
    <w:rsid w:val="00016127"/>
    <w:rsid w:val="00053B1E"/>
    <w:rsid w:val="00060977"/>
    <w:rsid w:val="00063804"/>
    <w:rsid w:val="0007471B"/>
    <w:rsid w:val="000B002A"/>
    <w:rsid w:val="000B16BD"/>
    <w:rsid w:val="000D013C"/>
    <w:rsid w:val="000E09ED"/>
    <w:rsid w:val="0011768A"/>
    <w:rsid w:val="001378D3"/>
    <w:rsid w:val="00142AE0"/>
    <w:rsid w:val="00146F86"/>
    <w:rsid w:val="00163213"/>
    <w:rsid w:val="00167EEA"/>
    <w:rsid w:val="0018454A"/>
    <w:rsid w:val="00186559"/>
    <w:rsid w:val="001A242A"/>
    <w:rsid w:val="001A37D9"/>
    <w:rsid w:val="001A76B0"/>
    <w:rsid w:val="001C65C7"/>
    <w:rsid w:val="001C7D9C"/>
    <w:rsid w:val="00220F3B"/>
    <w:rsid w:val="0023312B"/>
    <w:rsid w:val="00237006"/>
    <w:rsid w:val="0023746D"/>
    <w:rsid w:val="0025707A"/>
    <w:rsid w:val="002B1069"/>
    <w:rsid w:val="002B3BCE"/>
    <w:rsid w:val="002E05E1"/>
    <w:rsid w:val="00337BAC"/>
    <w:rsid w:val="0034568C"/>
    <w:rsid w:val="00350974"/>
    <w:rsid w:val="00364FD0"/>
    <w:rsid w:val="00382E49"/>
    <w:rsid w:val="00383675"/>
    <w:rsid w:val="00394B9A"/>
    <w:rsid w:val="003B5262"/>
    <w:rsid w:val="004016A6"/>
    <w:rsid w:val="0040623F"/>
    <w:rsid w:val="00414B6A"/>
    <w:rsid w:val="00445BA8"/>
    <w:rsid w:val="00452EF6"/>
    <w:rsid w:val="0047193A"/>
    <w:rsid w:val="00471C53"/>
    <w:rsid w:val="004816B1"/>
    <w:rsid w:val="00483BFB"/>
    <w:rsid w:val="004A3C30"/>
    <w:rsid w:val="004A4DF3"/>
    <w:rsid w:val="004E27F7"/>
    <w:rsid w:val="004F5210"/>
    <w:rsid w:val="00523752"/>
    <w:rsid w:val="0058411C"/>
    <w:rsid w:val="00585ED2"/>
    <w:rsid w:val="005863BE"/>
    <w:rsid w:val="005B4C7F"/>
    <w:rsid w:val="005D3A51"/>
    <w:rsid w:val="005D4C68"/>
    <w:rsid w:val="0063539F"/>
    <w:rsid w:val="00636954"/>
    <w:rsid w:val="006469FD"/>
    <w:rsid w:val="006A5FC2"/>
    <w:rsid w:val="006D688E"/>
    <w:rsid w:val="006E0A20"/>
    <w:rsid w:val="006F2DB4"/>
    <w:rsid w:val="0071696D"/>
    <w:rsid w:val="0073074C"/>
    <w:rsid w:val="007737DB"/>
    <w:rsid w:val="007A026C"/>
    <w:rsid w:val="007D2AA6"/>
    <w:rsid w:val="0081667E"/>
    <w:rsid w:val="00840336"/>
    <w:rsid w:val="008B5417"/>
    <w:rsid w:val="008C2598"/>
    <w:rsid w:val="008C329B"/>
    <w:rsid w:val="008C6E7F"/>
    <w:rsid w:val="008F00D4"/>
    <w:rsid w:val="008F2AE9"/>
    <w:rsid w:val="008F53A9"/>
    <w:rsid w:val="00932FBE"/>
    <w:rsid w:val="009672F5"/>
    <w:rsid w:val="009727DC"/>
    <w:rsid w:val="00995CD3"/>
    <w:rsid w:val="009B5277"/>
    <w:rsid w:val="009E3325"/>
    <w:rsid w:val="009E7FA2"/>
    <w:rsid w:val="00A04798"/>
    <w:rsid w:val="00A22568"/>
    <w:rsid w:val="00A62283"/>
    <w:rsid w:val="00A752E5"/>
    <w:rsid w:val="00A805C8"/>
    <w:rsid w:val="00AB59E5"/>
    <w:rsid w:val="00AB7C77"/>
    <w:rsid w:val="00AC3607"/>
    <w:rsid w:val="00AC4B7E"/>
    <w:rsid w:val="00B11574"/>
    <w:rsid w:val="00B22579"/>
    <w:rsid w:val="00B24178"/>
    <w:rsid w:val="00B41086"/>
    <w:rsid w:val="00B57321"/>
    <w:rsid w:val="00B73723"/>
    <w:rsid w:val="00B772C3"/>
    <w:rsid w:val="00B828B9"/>
    <w:rsid w:val="00BC28B7"/>
    <w:rsid w:val="00BD6E6C"/>
    <w:rsid w:val="00BF381E"/>
    <w:rsid w:val="00C17A46"/>
    <w:rsid w:val="00C20EA1"/>
    <w:rsid w:val="00C50522"/>
    <w:rsid w:val="00C86B3A"/>
    <w:rsid w:val="00C87C11"/>
    <w:rsid w:val="00CB427E"/>
    <w:rsid w:val="00CF6075"/>
    <w:rsid w:val="00D0714E"/>
    <w:rsid w:val="00D1598E"/>
    <w:rsid w:val="00D21A45"/>
    <w:rsid w:val="00D21AA3"/>
    <w:rsid w:val="00D4370E"/>
    <w:rsid w:val="00D47945"/>
    <w:rsid w:val="00D84C2A"/>
    <w:rsid w:val="00DB439B"/>
    <w:rsid w:val="00DB6926"/>
    <w:rsid w:val="00DD721E"/>
    <w:rsid w:val="00E11C71"/>
    <w:rsid w:val="00E260E2"/>
    <w:rsid w:val="00EB6A06"/>
    <w:rsid w:val="00EC56C8"/>
    <w:rsid w:val="00F03C52"/>
    <w:rsid w:val="00F164A0"/>
    <w:rsid w:val="00F64F0E"/>
    <w:rsid w:val="00F718DE"/>
    <w:rsid w:val="00FC5242"/>
    <w:rsid w:val="00FD3EBD"/>
    <w:rsid w:val="00FE2B17"/>
    <w:rsid w:val="00FE5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618FB-20A2-42F5-BEAE-B0AAF920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146F86"/>
    <w:pPr>
      <w:snapToGrid w:val="0"/>
      <w:jc w:val="left"/>
    </w:pPr>
  </w:style>
  <w:style w:type="character" w:customStyle="1" w:styleId="Char">
    <w:name w:val="尾注文本 Char"/>
    <w:basedOn w:val="a0"/>
    <w:link w:val="a3"/>
    <w:uiPriority w:val="99"/>
    <w:semiHidden/>
    <w:rsid w:val="00146F86"/>
  </w:style>
  <w:style w:type="character" w:styleId="a4">
    <w:name w:val="endnote reference"/>
    <w:basedOn w:val="a0"/>
    <w:uiPriority w:val="99"/>
    <w:semiHidden/>
    <w:unhideWhenUsed/>
    <w:rsid w:val="00146F86"/>
    <w:rPr>
      <w:vertAlign w:val="superscript"/>
    </w:rPr>
  </w:style>
  <w:style w:type="paragraph" w:styleId="a5">
    <w:name w:val="footnote text"/>
    <w:basedOn w:val="a"/>
    <w:link w:val="Char0"/>
    <w:uiPriority w:val="99"/>
    <w:semiHidden/>
    <w:unhideWhenUsed/>
    <w:rsid w:val="0081667E"/>
    <w:pPr>
      <w:snapToGrid w:val="0"/>
      <w:jc w:val="left"/>
    </w:pPr>
    <w:rPr>
      <w:sz w:val="18"/>
      <w:szCs w:val="18"/>
    </w:rPr>
  </w:style>
  <w:style w:type="character" w:customStyle="1" w:styleId="Char0">
    <w:name w:val="脚注文本 Char"/>
    <w:basedOn w:val="a0"/>
    <w:link w:val="a5"/>
    <w:uiPriority w:val="99"/>
    <w:semiHidden/>
    <w:rsid w:val="0081667E"/>
    <w:rPr>
      <w:sz w:val="18"/>
      <w:szCs w:val="18"/>
    </w:rPr>
  </w:style>
  <w:style w:type="character" w:styleId="a6">
    <w:name w:val="footnote reference"/>
    <w:basedOn w:val="a0"/>
    <w:uiPriority w:val="99"/>
    <w:semiHidden/>
    <w:unhideWhenUsed/>
    <w:rsid w:val="0081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69262-D224-4AA2-A608-E499082D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彬</dc:creator>
  <cp:keywords/>
  <dc:description/>
  <cp:lastModifiedBy>周 彬</cp:lastModifiedBy>
  <cp:revision>124</cp:revision>
  <dcterms:created xsi:type="dcterms:W3CDTF">2022-04-12T13:00:00Z</dcterms:created>
  <dcterms:modified xsi:type="dcterms:W3CDTF">2022-04-13T16:49:00Z</dcterms:modified>
</cp:coreProperties>
</file>