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E4E71A" w14:textId="13EB725A" w:rsidR="00FA54C5" w:rsidRDefault="00FA54C5" w:rsidP="00FA54C5">
      <w:pPr>
        <w:rPr>
          <w:b/>
          <w:bCs/>
        </w:rPr>
      </w:pPr>
      <w:r w:rsidRPr="00FA54C5">
        <w:rPr>
          <w:rFonts w:hint="eastAsia"/>
          <w:b/>
          <w:bCs/>
        </w:rPr>
        <w:t xml:space="preserve">Science 第388卷 6752期 </w:t>
      </w:r>
      <w:r>
        <w:rPr>
          <w:b/>
          <w:bCs/>
        </w:rPr>
        <w:t xml:space="preserve"> </w:t>
      </w:r>
    </w:p>
    <w:p w14:paraId="06B9EE53" w14:textId="073105CC" w:rsidR="00FA54C5" w:rsidRDefault="00FA54C5" w:rsidP="00FA54C5">
      <w:pPr>
        <w:rPr>
          <w:rFonts w:hint="eastAsia"/>
          <w:b/>
          <w:bCs/>
        </w:rPr>
      </w:pPr>
      <w:r w:rsidRPr="00FA54C5">
        <w:rPr>
          <w:b/>
          <w:bCs/>
        </w:rPr>
        <w:t>地球能量不平衡趋势：对低气候敏感性模型的约束</w:t>
      </w:r>
      <w:r>
        <w:rPr>
          <w:rFonts w:hint="eastAsia"/>
          <w:b/>
          <w:bCs/>
        </w:rPr>
        <w:t>(</w:t>
      </w:r>
      <w:r w:rsidRPr="00FA54C5">
        <w:rPr>
          <w:b/>
          <w:bCs/>
        </w:rPr>
        <w:t>Observed trend in Earth energy imbalance may provide a constraint for low climate sensitivity models</w:t>
      </w:r>
      <w:r>
        <w:rPr>
          <w:rFonts w:hint="eastAsia"/>
          <w:b/>
          <w:bCs/>
        </w:rPr>
        <w:t>)</w:t>
      </w:r>
    </w:p>
    <w:p w14:paraId="5C361639" w14:textId="6F2B467A" w:rsidR="00FA54C5" w:rsidRDefault="00FA54C5" w:rsidP="00FA54C5">
      <w:pPr>
        <w:rPr>
          <w:b/>
          <w:bCs/>
        </w:rPr>
      </w:pPr>
      <w:r>
        <w:rPr>
          <w:rFonts w:hint="eastAsia"/>
          <w:b/>
          <w:bCs/>
        </w:rPr>
        <w:t>DOI:</w:t>
      </w:r>
      <w:r w:rsidRPr="00FA54C5">
        <w:rPr>
          <w:rFonts w:hint="eastAsia"/>
        </w:rPr>
        <w:t xml:space="preserve"> </w:t>
      </w:r>
      <w:hyperlink r:id="rId4" w:history="1">
        <w:r w:rsidR="00243D18" w:rsidRPr="004C0213">
          <w:rPr>
            <w:rStyle w:val="ae"/>
            <w:rFonts w:hint="eastAsia"/>
            <w:b/>
            <w:bCs/>
          </w:rPr>
          <w:t>https://doi.org/10.1126/science.ad</w:t>
        </w:r>
        <w:r w:rsidR="00243D18" w:rsidRPr="004C0213">
          <w:rPr>
            <w:rStyle w:val="ae"/>
            <w:rFonts w:hint="eastAsia"/>
            <w:b/>
            <w:bCs/>
          </w:rPr>
          <w:t>t</w:t>
        </w:r>
        <w:r w:rsidR="00243D18" w:rsidRPr="004C0213">
          <w:rPr>
            <w:rStyle w:val="ae"/>
            <w:rFonts w:hint="eastAsia"/>
            <w:b/>
            <w:bCs/>
          </w:rPr>
          <w:t>0647</w:t>
        </w:r>
      </w:hyperlink>
    </w:p>
    <w:p w14:paraId="0A4AAC9F" w14:textId="0C0E2893" w:rsidR="001C0AFD" w:rsidRPr="001C0AFD" w:rsidRDefault="003716DA" w:rsidP="00FA54C5">
      <w:pPr>
        <w:rPr>
          <w:rFonts w:hint="eastAsia"/>
          <w:b/>
          <w:bCs/>
        </w:rPr>
      </w:pPr>
      <w:r>
        <w:rPr>
          <w:rFonts w:hint="eastAsia"/>
          <w:b/>
          <w:bCs/>
        </w:rPr>
        <w:t>总结：</w:t>
      </w:r>
      <w:r w:rsidR="009E5918">
        <w:rPr>
          <w:rFonts w:hint="eastAsia"/>
          <w:b/>
          <w:bCs/>
        </w:rPr>
        <w:t>气候变暖或变冷取决于来自入射太阳辐射的净能量通量分别大于或小于地球大气层顶部出射的长波辐射的净能量通量。</w:t>
      </w:r>
      <w:r w:rsidR="001C0AFD" w:rsidRPr="001C0AFD">
        <w:rPr>
          <w:rFonts w:hint="eastAsia"/>
          <w:b/>
          <w:bCs/>
        </w:rPr>
        <w:t>温室气体和气溶胶的气候强迫导致大气层</w:t>
      </w:r>
      <w:proofErr w:type="gramStart"/>
      <w:r w:rsidR="001C0AFD" w:rsidRPr="001C0AFD">
        <w:rPr>
          <w:rFonts w:hint="eastAsia"/>
          <w:b/>
          <w:bCs/>
        </w:rPr>
        <w:t>顶部净</w:t>
      </w:r>
      <w:proofErr w:type="gramEnd"/>
      <w:r w:rsidR="001C0AFD" w:rsidRPr="001C0AFD">
        <w:rPr>
          <w:rFonts w:hint="eastAsia"/>
          <w:b/>
          <w:bCs/>
        </w:rPr>
        <w:t>入射太阳辐射和地球出射长波辐射之间的不平衡。</w:t>
      </w:r>
      <w:r>
        <w:rPr>
          <w:rFonts w:hint="eastAsia"/>
          <w:b/>
          <w:bCs/>
        </w:rPr>
        <w:t>卫星数据显示，导致气候变暖的能量不平衡在2001-2023年间加剧</w:t>
      </w:r>
      <w:r w:rsidR="001C0AFD" w:rsidRPr="001C0AFD">
        <w:rPr>
          <w:rFonts w:hint="eastAsia"/>
          <w:b/>
          <w:bCs/>
        </w:rPr>
        <w:t>。研究组表明，低气候敏感性模型无法再现地球能量不平衡的趋势。在低气候敏感性模型中，无法产生强烈的正短波和强负长波地球能量不平衡趋势是一个稳健的特征，特别是对于气候敏感性低于2.5 K的模型。对地球能量不平衡的负长波贡献是由地表温度升高驱动的，因此在高气候敏感性模型中最为明显，而短波贡献通常是正的，并因地表变暖而放大。</w:t>
      </w:r>
    </w:p>
    <w:p w14:paraId="25F8A505" w14:textId="77777777" w:rsidR="00FA54C5" w:rsidRPr="00FA54C5" w:rsidRDefault="00FA54C5" w:rsidP="00FA54C5">
      <w:pPr>
        <w:rPr>
          <w:b/>
          <w:bCs/>
        </w:rPr>
      </w:pPr>
      <w:r w:rsidRPr="00FA54C5">
        <w:rPr>
          <w:b/>
          <w:bCs/>
        </w:rPr>
        <w:t>研究背景</w:t>
      </w:r>
    </w:p>
    <w:p w14:paraId="4EDF7381" w14:textId="0E30F31D" w:rsidR="00FA54C5" w:rsidRPr="00FA54C5" w:rsidRDefault="00FA54C5" w:rsidP="00FA54C5">
      <w:r w:rsidRPr="00FA54C5">
        <w:t>气候敏感性（ECS）指大气中CO</w:t>
      </w:r>
      <w:r w:rsidRPr="00FA54C5">
        <w:rPr>
          <w:rFonts w:ascii="Cambria Math" w:hAnsi="Cambria Math" w:cs="Cambria Math"/>
        </w:rPr>
        <w:t>₂</w:t>
      </w:r>
      <w:r w:rsidRPr="00FA54C5">
        <w:t>浓度翻倍时地表温度的升高幅度。早在1979年Charney报告就将ECS评估为3±1.5℃。最新IPCC报告给出的</w:t>
      </w:r>
      <w:r w:rsidR="00254D51">
        <w:rPr>
          <w:rFonts w:hint="eastAsia"/>
        </w:rPr>
        <w:t>平衡ECS的</w:t>
      </w:r>
      <w:r w:rsidRPr="00FA54C5">
        <w:t>最</w:t>
      </w:r>
      <w:r w:rsidR="00254D51">
        <w:rPr>
          <w:rFonts w:hint="eastAsia"/>
        </w:rPr>
        <w:t>佳估计</w:t>
      </w:r>
      <w:r w:rsidRPr="00FA54C5">
        <w:t>值仍为3℃，极</w:t>
      </w:r>
      <w:r w:rsidR="00254D51">
        <w:rPr>
          <w:rFonts w:hint="eastAsia"/>
        </w:rPr>
        <w:t>大</w:t>
      </w:r>
      <w:r w:rsidRPr="00FA54C5">
        <w:t>可能介于2~5℃之间，其中云</w:t>
      </w:r>
      <w:r w:rsidR="00254D51">
        <w:rPr>
          <w:rFonts w:hint="eastAsia"/>
        </w:rPr>
        <w:t>层如何变化</w:t>
      </w:r>
      <w:r w:rsidRPr="00FA54C5">
        <w:t>是</w:t>
      </w:r>
      <w:r w:rsidR="00254D51">
        <w:rPr>
          <w:rFonts w:hint="eastAsia"/>
        </w:rPr>
        <w:t>ECS不确定性的</w:t>
      </w:r>
      <w:r w:rsidRPr="00FA54C5">
        <w:t>主要原因。过去几十年间，多种研究对气候敏感性提出了不同的估计：有的基于过去气候记录和观测，认为敏感性偏低，也有的支持敏感性偏高。比如，21世纪前十年的增温缓和曾被用来支持低敏感性模型，但也有人指出这种结论可能受太平洋海温分布偏差影响。在气候模式发展历程中，从Arrhenius、Charney开始，到CMIP系列模式的不断升级，人们一直在寻求新的观测约束来缩小ECS的不确定区间。</w:t>
      </w:r>
    </w:p>
    <w:p w14:paraId="6D5EE8AA" w14:textId="77777777" w:rsidR="00FA54C5" w:rsidRPr="00FA54C5" w:rsidRDefault="00FA54C5" w:rsidP="00FA54C5">
      <w:pPr>
        <w:rPr>
          <w:b/>
          <w:bCs/>
        </w:rPr>
      </w:pPr>
      <w:r w:rsidRPr="00FA54C5">
        <w:rPr>
          <w:b/>
          <w:bCs/>
        </w:rPr>
        <w:t>模型的挑战</w:t>
      </w:r>
    </w:p>
    <w:p w14:paraId="6D10A290" w14:textId="150E8A6A" w:rsidR="00FA54C5" w:rsidRDefault="00FA54C5" w:rsidP="00FA54C5">
      <w:r w:rsidRPr="00FA54C5">
        <w:t>为检验不同敏感性假设的合理性，研究团队分析了来自CMIP6协同模式计划的37个全球模式模拟结果。在理想化的CO</w:t>
      </w:r>
      <w:r w:rsidRPr="00FA54C5">
        <w:rPr>
          <w:rFonts w:ascii="Cambria Math" w:hAnsi="Cambria Math" w:cs="Cambria Math"/>
        </w:rPr>
        <w:t>₂</w:t>
      </w:r>
      <w:r w:rsidRPr="00FA54C5">
        <w:t>逐年增长（1%/年）实验中</w:t>
      </w:r>
      <w:r w:rsidR="00AB4FC2">
        <w:rPr>
          <w:rFonts w:hint="eastAsia"/>
        </w:rPr>
        <w:t>（图</w:t>
      </w:r>
      <w:r w:rsidR="007F2EAA">
        <w:rPr>
          <w:rFonts w:hint="eastAsia"/>
        </w:rPr>
        <w:t>2</w:t>
      </w:r>
      <w:r w:rsidR="00AB4FC2">
        <w:rPr>
          <w:rFonts w:hint="eastAsia"/>
        </w:rPr>
        <w:t>）</w:t>
      </w:r>
      <w:r w:rsidRPr="00FA54C5">
        <w:t>，所有模式均显示净能量不平衡（EEI）随时间上升</w:t>
      </w:r>
      <w:r w:rsidR="00AB4FC2">
        <w:rPr>
          <w:rFonts w:hint="eastAsia"/>
        </w:rPr>
        <w:t>（图</w:t>
      </w:r>
      <w:r w:rsidR="007F2EAA">
        <w:rPr>
          <w:rFonts w:hint="eastAsia"/>
        </w:rPr>
        <w:t>2</w:t>
      </w:r>
      <w:r w:rsidR="00AB4FC2">
        <w:rPr>
          <w:rFonts w:hint="eastAsia"/>
        </w:rPr>
        <w:t xml:space="preserve"> A）</w:t>
      </w:r>
      <w:r w:rsidRPr="00FA54C5">
        <w:t>，但</w:t>
      </w:r>
      <w:r w:rsidR="00AB4FC2" w:rsidRPr="00FA54C5">
        <w:t>长波(LW</w:t>
      </w:r>
      <w:r w:rsidR="00AB4FC2">
        <w:rPr>
          <w:rFonts w:hint="eastAsia"/>
        </w:rPr>
        <w:t>,图</w:t>
      </w:r>
      <w:r w:rsidR="007F2EAA">
        <w:rPr>
          <w:rFonts w:hint="eastAsia"/>
        </w:rPr>
        <w:t>2</w:t>
      </w:r>
      <w:r w:rsidR="00AB4FC2">
        <w:rPr>
          <w:rFonts w:hint="eastAsia"/>
        </w:rPr>
        <w:t xml:space="preserve"> B</w:t>
      </w:r>
      <w:r w:rsidR="00AB4FC2" w:rsidRPr="00FA54C5">
        <w:t>)</w:t>
      </w:r>
      <w:r w:rsidRPr="00FA54C5">
        <w:t>和</w:t>
      </w:r>
      <w:r w:rsidR="00AB4FC2" w:rsidRPr="00FA54C5">
        <w:t>短波(SW</w:t>
      </w:r>
      <w:r w:rsidR="00AB4FC2">
        <w:rPr>
          <w:rFonts w:hint="eastAsia"/>
        </w:rPr>
        <w:t>,图</w:t>
      </w:r>
      <w:r w:rsidR="007F2EAA">
        <w:rPr>
          <w:rFonts w:hint="eastAsia"/>
        </w:rPr>
        <w:t>2</w:t>
      </w:r>
      <w:r w:rsidR="00AB4FC2">
        <w:rPr>
          <w:rFonts w:hint="eastAsia"/>
        </w:rPr>
        <w:t xml:space="preserve"> C</w:t>
      </w:r>
      <w:r w:rsidR="00AB4FC2" w:rsidRPr="00FA54C5">
        <w:t>)</w:t>
      </w:r>
      <w:r w:rsidRPr="00FA54C5">
        <w:t>辐射贡献存在显著差异。具体而言，随着地表增温，向外发射的热长波辐射增多，会使LW EEI变为负值——</w:t>
      </w:r>
      <w:r w:rsidR="00050ADB">
        <w:rPr>
          <w:rFonts w:hint="eastAsia"/>
        </w:rPr>
        <w:t>大</w:t>
      </w:r>
      <w:r w:rsidRPr="00FA54C5">
        <w:t>多数模式在几十年模拟后都出现了负的LW EEI；仅有极少数模式能长期保持LW EEI为正。相比之下，由于冰雪消融和水汽增加等原因，吸收的太阳短波辐射增加，几乎所有模式在CO</w:t>
      </w:r>
      <w:r w:rsidRPr="00FA54C5">
        <w:rPr>
          <w:rFonts w:ascii="Cambria Math" w:hAnsi="Cambria Math" w:cs="Cambria Math"/>
        </w:rPr>
        <w:t>₂</w:t>
      </w:r>
      <w:r w:rsidRPr="00FA54C5">
        <w:t>持续增加过程中SW EEI都呈现正值。总的来看，这些模型模拟出的SW和LW EEI趋势在二维空间呈现线性分布，表明模型的气候敏感性高低对能量通量变化趋势有决定性影响。</w:t>
      </w:r>
    </w:p>
    <w:p w14:paraId="00F2E5C8" w14:textId="17E2DFA4" w:rsidR="00AB4FC2" w:rsidRPr="00FA54C5" w:rsidRDefault="00AB4FC2" w:rsidP="00E43ECB">
      <w:pPr>
        <w:jc w:val="center"/>
        <w:rPr>
          <w:rFonts w:hint="eastAsia"/>
        </w:rPr>
      </w:pPr>
      <w:r w:rsidRPr="00AB4FC2">
        <w:lastRenderedPageBreak/>
        <w:drawing>
          <wp:inline distT="0" distB="0" distL="0" distR="0" wp14:anchorId="75AA628D" wp14:editId="3BD49293">
            <wp:extent cx="5274310" cy="3159125"/>
            <wp:effectExtent l="0" t="0" r="2540" b="3175"/>
            <wp:docPr id="469745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45465" name=""/>
                    <pic:cNvPicPr/>
                  </pic:nvPicPr>
                  <pic:blipFill>
                    <a:blip r:embed="rId5"/>
                    <a:stretch>
                      <a:fillRect/>
                    </a:stretch>
                  </pic:blipFill>
                  <pic:spPr>
                    <a:xfrm>
                      <a:off x="0" y="0"/>
                      <a:ext cx="5274310" cy="3159125"/>
                    </a:xfrm>
                    <a:prstGeom prst="rect">
                      <a:avLst/>
                    </a:prstGeom>
                  </pic:spPr>
                </pic:pic>
              </a:graphicData>
            </a:graphic>
          </wp:inline>
        </w:drawing>
      </w:r>
    </w:p>
    <w:p w14:paraId="3239623A" w14:textId="06AE13F3" w:rsidR="00FA54C5" w:rsidRDefault="00FA54C5" w:rsidP="00FA54C5">
      <w:r w:rsidRPr="00FA54C5">
        <w:t>云和地球辐射系统(CERES)卫星测量地球吸收的太阳短波辐射和发射的长波辐射，并计算出自2001年以来的能量不平衡(EEI)趋势</w:t>
      </w:r>
      <w:r w:rsidR="00E43ECB">
        <w:rPr>
          <w:rFonts w:hint="eastAsia"/>
        </w:rPr>
        <w:t>(图4)</w:t>
      </w:r>
      <w:r w:rsidRPr="00FA54C5">
        <w:t>。卫星数据表明，自21世纪初以来，地球吸收的短波太阳辐射显著增加（部分归因于冰雪覆盖减少和云变化），与此同时，地表增温导致向外发射的长波辐射也随之增加。这些观测结果与海洋热含量(OHC)的快速上升相一致，进一步佐证了地球系统能量不平衡的加剧。图中散点对比了不同模式的EEI短波与长波趋势与其气候敏感性的关系：高敏感性模型（红点）模拟结果更接近卫星观测的值（黑点），而低敏感性模型（黄色）则明显偏离。</w:t>
      </w:r>
    </w:p>
    <w:p w14:paraId="673C3960" w14:textId="32E58671" w:rsidR="00E43ECB" w:rsidRPr="00FA54C5" w:rsidRDefault="00E43ECB" w:rsidP="00E43ECB">
      <w:pPr>
        <w:jc w:val="center"/>
        <w:rPr>
          <w:rFonts w:hint="eastAsia"/>
        </w:rPr>
      </w:pPr>
      <w:r w:rsidRPr="00E43ECB">
        <w:drawing>
          <wp:inline distT="0" distB="0" distL="0" distR="0" wp14:anchorId="2A63625C" wp14:editId="068E884F">
            <wp:extent cx="4027990" cy="3746235"/>
            <wp:effectExtent l="0" t="0" r="0" b="6985"/>
            <wp:docPr id="1249335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35781" name=""/>
                    <pic:cNvPicPr/>
                  </pic:nvPicPr>
                  <pic:blipFill>
                    <a:blip r:embed="rId6"/>
                    <a:stretch>
                      <a:fillRect/>
                    </a:stretch>
                  </pic:blipFill>
                  <pic:spPr>
                    <a:xfrm>
                      <a:off x="0" y="0"/>
                      <a:ext cx="4038675" cy="3756173"/>
                    </a:xfrm>
                    <a:prstGeom prst="rect">
                      <a:avLst/>
                    </a:prstGeom>
                  </pic:spPr>
                </pic:pic>
              </a:graphicData>
            </a:graphic>
          </wp:inline>
        </w:drawing>
      </w:r>
    </w:p>
    <w:p w14:paraId="5E7A24E8" w14:textId="77777777" w:rsidR="00FA54C5" w:rsidRPr="00FA54C5" w:rsidRDefault="00FA54C5" w:rsidP="00FA54C5">
      <w:pPr>
        <w:rPr>
          <w:b/>
          <w:bCs/>
        </w:rPr>
      </w:pPr>
      <w:r w:rsidRPr="00FA54C5">
        <w:rPr>
          <w:b/>
          <w:bCs/>
        </w:rPr>
        <w:lastRenderedPageBreak/>
        <w:t>研究发现</w:t>
      </w:r>
    </w:p>
    <w:p w14:paraId="0EE6D052" w14:textId="25C82915" w:rsidR="00FA54C5" w:rsidRPr="00FA54C5" w:rsidRDefault="00FA54C5" w:rsidP="00FA54C5">
      <w:r w:rsidRPr="00FA54C5">
        <w:t>分析结果显示，敏感性较低的气候模式几乎无法同时再现卫星观测到的正SW增益和负LW损失趋势。具体来说，对于敏感性低于2.9℃的模型，其短波吸收增加量已明显小于CERES观测；而敏感性低于2.5℃的模型更无法同时匹配观测到的SW和LW趋势。这一缺陷表明，低敏感性模型的可靠性值得重新审视。换言之，目前观测到的地球能量不平衡变化模式，是基于较强增温反馈的高敏感性模型才能复制的特征，而那些“保守”增温幅度的模型在这一检验下表现不佳。</w:t>
      </w:r>
    </w:p>
    <w:p w14:paraId="47D28CD1" w14:textId="77777777" w:rsidR="00FA54C5" w:rsidRPr="00FA54C5" w:rsidRDefault="00FA54C5" w:rsidP="00FA54C5">
      <w:pPr>
        <w:rPr>
          <w:b/>
          <w:bCs/>
        </w:rPr>
      </w:pPr>
      <w:r w:rsidRPr="00FA54C5">
        <w:rPr>
          <w:b/>
          <w:bCs/>
        </w:rPr>
        <w:t>结论与未来方向</w:t>
      </w:r>
    </w:p>
    <w:p w14:paraId="7370FC26" w14:textId="59E9DF45" w:rsidR="00FA54C5" w:rsidRPr="00FA54C5" w:rsidRDefault="00FA54C5" w:rsidP="00FA54C5">
      <w:r w:rsidRPr="00FA54C5">
        <w:t>上述分析表明，IPCC评估报告中提出的气候敏感性</w:t>
      </w:r>
      <w:proofErr w:type="gramStart"/>
      <w:r w:rsidRPr="00FA54C5">
        <w:t>低端值现在</w:t>
      </w:r>
      <w:proofErr w:type="gramEnd"/>
      <w:r w:rsidRPr="00FA54C5">
        <w:t>看来已很难成立。换言之，在当前排放路径下，未来全球升温可能比此前估计的要更强烈。因此，与低敏感性情景相对应的较弱增温预估应当被重新评估。正如研究作者指出的，为了有可能将升温限制在2℃以内，“我们需要进一步减少温室气体排放”。这项工作凸显了利用卫星观测（如CERES）监测当前地球能量平衡变化的重要性，并为长期的气候敏感性争论提供了新的观测约束。未来研究需要继续改进气候模式中云反馈等关键过程的模拟，并结合更多观测数据不断评估和校准模式预测，以为气候政策制定提供更可靠的科学依据。</w:t>
      </w:r>
    </w:p>
    <w:p w14:paraId="2C25BF7E" w14:textId="77777777" w:rsidR="006A6A25" w:rsidRPr="00FA54C5" w:rsidRDefault="006A6A25">
      <w:pPr>
        <w:rPr>
          <w:rFonts w:hint="eastAsia"/>
        </w:rPr>
      </w:pPr>
    </w:p>
    <w:sectPr w:rsidR="006A6A25" w:rsidRPr="00FA54C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4C5"/>
    <w:rsid w:val="00050ADB"/>
    <w:rsid w:val="001C0AFD"/>
    <w:rsid w:val="00243D18"/>
    <w:rsid w:val="00254D51"/>
    <w:rsid w:val="003716DA"/>
    <w:rsid w:val="00372B44"/>
    <w:rsid w:val="003865CB"/>
    <w:rsid w:val="004D7A04"/>
    <w:rsid w:val="006A6A25"/>
    <w:rsid w:val="007F2EAA"/>
    <w:rsid w:val="00931603"/>
    <w:rsid w:val="00933BDB"/>
    <w:rsid w:val="009D6176"/>
    <w:rsid w:val="009E5918"/>
    <w:rsid w:val="00AB4FC2"/>
    <w:rsid w:val="00E43ECB"/>
    <w:rsid w:val="00FA54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34719"/>
  <w15:chartTrackingRefBased/>
  <w15:docId w15:val="{3C4276AE-7FFA-441B-BDCF-68559C731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FA54C5"/>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FA54C5"/>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FA54C5"/>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FA54C5"/>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A54C5"/>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FA54C5"/>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FA54C5"/>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A54C5"/>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FA54C5"/>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A54C5"/>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FA54C5"/>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FA54C5"/>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FA54C5"/>
    <w:rPr>
      <w:rFonts w:cstheme="majorBidi"/>
      <w:color w:val="0F4761" w:themeColor="accent1" w:themeShade="BF"/>
      <w:sz w:val="28"/>
      <w:szCs w:val="28"/>
    </w:rPr>
  </w:style>
  <w:style w:type="character" w:customStyle="1" w:styleId="50">
    <w:name w:val="标题 5 字符"/>
    <w:basedOn w:val="a0"/>
    <w:link w:val="5"/>
    <w:uiPriority w:val="9"/>
    <w:semiHidden/>
    <w:rsid w:val="00FA54C5"/>
    <w:rPr>
      <w:rFonts w:cstheme="majorBidi"/>
      <w:color w:val="0F4761" w:themeColor="accent1" w:themeShade="BF"/>
      <w:sz w:val="24"/>
    </w:rPr>
  </w:style>
  <w:style w:type="character" w:customStyle="1" w:styleId="60">
    <w:name w:val="标题 6 字符"/>
    <w:basedOn w:val="a0"/>
    <w:link w:val="6"/>
    <w:uiPriority w:val="9"/>
    <w:semiHidden/>
    <w:rsid w:val="00FA54C5"/>
    <w:rPr>
      <w:rFonts w:cstheme="majorBidi"/>
      <w:b/>
      <w:bCs/>
      <w:color w:val="0F4761" w:themeColor="accent1" w:themeShade="BF"/>
    </w:rPr>
  </w:style>
  <w:style w:type="character" w:customStyle="1" w:styleId="70">
    <w:name w:val="标题 7 字符"/>
    <w:basedOn w:val="a0"/>
    <w:link w:val="7"/>
    <w:uiPriority w:val="9"/>
    <w:semiHidden/>
    <w:rsid w:val="00FA54C5"/>
    <w:rPr>
      <w:rFonts w:cstheme="majorBidi"/>
      <w:b/>
      <w:bCs/>
      <w:color w:val="595959" w:themeColor="text1" w:themeTint="A6"/>
    </w:rPr>
  </w:style>
  <w:style w:type="character" w:customStyle="1" w:styleId="80">
    <w:name w:val="标题 8 字符"/>
    <w:basedOn w:val="a0"/>
    <w:link w:val="8"/>
    <w:uiPriority w:val="9"/>
    <w:semiHidden/>
    <w:rsid w:val="00FA54C5"/>
    <w:rPr>
      <w:rFonts w:cstheme="majorBidi"/>
      <w:color w:val="595959" w:themeColor="text1" w:themeTint="A6"/>
    </w:rPr>
  </w:style>
  <w:style w:type="character" w:customStyle="1" w:styleId="90">
    <w:name w:val="标题 9 字符"/>
    <w:basedOn w:val="a0"/>
    <w:link w:val="9"/>
    <w:uiPriority w:val="9"/>
    <w:semiHidden/>
    <w:rsid w:val="00FA54C5"/>
    <w:rPr>
      <w:rFonts w:eastAsiaTheme="majorEastAsia" w:cstheme="majorBidi"/>
      <w:color w:val="595959" w:themeColor="text1" w:themeTint="A6"/>
    </w:rPr>
  </w:style>
  <w:style w:type="paragraph" w:styleId="a3">
    <w:name w:val="Title"/>
    <w:basedOn w:val="a"/>
    <w:next w:val="a"/>
    <w:link w:val="a4"/>
    <w:uiPriority w:val="10"/>
    <w:qFormat/>
    <w:rsid w:val="00FA54C5"/>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A54C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A54C5"/>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A54C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A54C5"/>
    <w:pPr>
      <w:spacing w:before="160"/>
      <w:jc w:val="center"/>
    </w:pPr>
    <w:rPr>
      <w:i/>
      <w:iCs/>
      <w:color w:val="404040" w:themeColor="text1" w:themeTint="BF"/>
    </w:rPr>
  </w:style>
  <w:style w:type="character" w:customStyle="1" w:styleId="a8">
    <w:name w:val="引用 字符"/>
    <w:basedOn w:val="a0"/>
    <w:link w:val="a7"/>
    <w:uiPriority w:val="29"/>
    <w:rsid w:val="00FA54C5"/>
    <w:rPr>
      <w:i/>
      <w:iCs/>
      <w:color w:val="404040" w:themeColor="text1" w:themeTint="BF"/>
    </w:rPr>
  </w:style>
  <w:style w:type="paragraph" w:styleId="a9">
    <w:name w:val="List Paragraph"/>
    <w:basedOn w:val="a"/>
    <w:uiPriority w:val="34"/>
    <w:qFormat/>
    <w:rsid w:val="00FA54C5"/>
    <w:pPr>
      <w:ind w:left="720"/>
      <w:contextualSpacing/>
    </w:pPr>
  </w:style>
  <w:style w:type="character" w:styleId="aa">
    <w:name w:val="Intense Emphasis"/>
    <w:basedOn w:val="a0"/>
    <w:uiPriority w:val="21"/>
    <w:qFormat/>
    <w:rsid w:val="00FA54C5"/>
    <w:rPr>
      <w:i/>
      <w:iCs/>
      <w:color w:val="0F4761" w:themeColor="accent1" w:themeShade="BF"/>
    </w:rPr>
  </w:style>
  <w:style w:type="paragraph" w:styleId="ab">
    <w:name w:val="Intense Quote"/>
    <w:basedOn w:val="a"/>
    <w:next w:val="a"/>
    <w:link w:val="ac"/>
    <w:uiPriority w:val="30"/>
    <w:qFormat/>
    <w:rsid w:val="00FA54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A54C5"/>
    <w:rPr>
      <w:i/>
      <w:iCs/>
      <w:color w:val="0F4761" w:themeColor="accent1" w:themeShade="BF"/>
    </w:rPr>
  </w:style>
  <w:style w:type="character" w:styleId="ad">
    <w:name w:val="Intense Reference"/>
    <w:basedOn w:val="a0"/>
    <w:uiPriority w:val="32"/>
    <w:qFormat/>
    <w:rsid w:val="00FA54C5"/>
    <w:rPr>
      <w:b/>
      <w:bCs/>
      <w:smallCaps/>
      <w:color w:val="0F4761" w:themeColor="accent1" w:themeShade="BF"/>
      <w:spacing w:val="5"/>
    </w:rPr>
  </w:style>
  <w:style w:type="character" w:styleId="ae">
    <w:name w:val="Hyperlink"/>
    <w:basedOn w:val="a0"/>
    <w:uiPriority w:val="99"/>
    <w:unhideWhenUsed/>
    <w:rsid w:val="00FA54C5"/>
    <w:rPr>
      <w:color w:val="467886" w:themeColor="hyperlink"/>
      <w:u w:val="single"/>
    </w:rPr>
  </w:style>
  <w:style w:type="character" w:styleId="af">
    <w:name w:val="Unresolved Mention"/>
    <w:basedOn w:val="a0"/>
    <w:uiPriority w:val="99"/>
    <w:semiHidden/>
    <w:unhideWhenUsed/>
    <w:rsid w:val="00FA54C5"/>
    <w:rPr>
      <w:color w:val="605E5C"/>
      <w:shd w:val="clear" w:color="auto" w:fill="E1DFDD"/>
    </w:rPr>
  </w:style>
  <w:style w:type="character" w:styleId="af0">
    <w:name w:val="FollowedHyperlink"/>
    <w:basedOn w:val="a0"/>
    <w:uiPriority w:val="99"/>
    <w:semiHidden/>
    <w:unhideWhenUsed/>
    <w:rsid w:val="00243D1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350261">
      <w:bodyDiv w:val="1"/>
      <w:marLeft w:val="0"/>
      <w:marRight w:val="0"/>
      <w:marTop w:val="0"/>
      <w:marBottom w:val="0"/>
      <w:divBdr>
        <w:top w:val="none" w:sz="0" w:space="0" w:color="auto"/>
        <w:left w:val="none" w:sz="0" w:space="0" w:color="auto"/>
        <w:bottom w:val="none" w:sz="0" w:space="0" w:color="auto"/>
        <w:right w:val="none" w:sz="0" w:space="0" w:color="auto"/>
      </w:divBdr>
    </w:div>
    <w:div w:id="133259802">
      <w:bodyDiv w:val="1"/>
      <w:marLeft w:val="0"/>
      <w:marRight w:val="0"/>
      <w:marTop w:val="0"/>
      <w:marBottom w:val="0"/>
      <w:divBdr>
        <w:top w:val="none" w:sz="0" w:space="0" w:color="auto"/>
        <w:left w:val="none" w:sz="0" w:space="0" w:color="auto"/>
        <w:bottom w:val="none" w:sz="0" w:space="0" w:color="auto"/>
        <w:right w:val="none" w:sz="0" w:space="0" w:color="auto"/>
      </w:divBdr>
    </w:div>
    <w:div w:id="1133787638">
      <w:bodyDiv w:val="1"/>
      <w:marLeft w:val="0"/>
      <w:marRight w:val="0"/>
      <w:marTop w:val="0"/>
      <w:marBottom w:val="0"/>
      <w:divBdr>
        <w:top w:val="none" w:sz="0" w:space="0" w:color="auto"/>
        <w:left w:val="none" w:sz="0" w:space="0" w:color="auto"/>
        <w:bottom w:val="none" w:sz="0" w:space="0" w:color="auto"/>
        <w:right w:val="none" w:sz="0" w:space="0" w:color="auto"/>
      </w:divBdr>
    </w:div>
    <w:div w:id="1214972489">
      <w:bodyDiv w:val="1"/>
      <w:marLeft w:val="0"/>
      <w:marRight w:val="0"/>
      <w:marTop w:val="0"/>
      <w:marBottom w:val="0"/>
      <w:divBdr>
        <w:top w:val="none" w:sz="0" w:space="0" w:color="auto"/>
        <w:left w:val="none" w:sz="0" w:space="0" w:color="auto"/>
        <w:bottom w:val="none" w:sz="0" w:space="0" w:color="auto"/>
        <w:right w:val="none" w:sz="0" w:space="0" w:color="auto"/>
      </w:divBdr>
    </w:div>
    <w:div w:id="1264610538">
      <w:bodyDiv w:val="1"/>
      <w:marLeft w:val="0"/>
      <w:marRight w:val="0"/>
      <w:marTop w:val="0"/>
      <w:marBottom w:val="0"/>
      <w:divBdr>
        <w:top w:val="none" w:sz="0" w:space="0" w:color="auto"/>
        <w:left w:val="none" w:sz="0" w:space="0" w:color="auto"/>
        <w:bottom w:val="none" w:sz="0" w:space="0" w:color="auto"/>
        <w:right w:val="none" w:sz="0" w:space="0" w:color="auto"/>
      </w:divBdr>
    </w:div>
    <w:div w:id="2037388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doi.org/10.1126/science.adt064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70</TotalTime>
  <Pages>3</Pages>
  <Words>295</Words>
  <Characters>1683</Characters>
  <Application>Microsoft Office Word</Application>
  <DocSecurity>0</DocSecurity>
  <Lines>14</Lines>
  <Paragraphs>3</Paragraphs>
  <ScaleCrop>false</ScaleCrop>
  <Company/>
  <LinksUpToDate>false</LinksUpToDate>
  <CharactersWithSpaces>1975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星 向</dc:creator>
  <cp:keywords/>
  <dc:description/>
  <cp:lastModifiedBy>星 向</cp:lastModifiedBy>
  <cp:revision>10</cp:revision>
  <dcterms:created xsi:type="dcterms:W3CDTF">2025-06-17T05:09:00Z</dcterms:created>
  <dcterms:modified xsi:type="dcterms:W3CDTF">2025-06-17T06:19:00Z</dcterms:modified>
</cp:coreProperties>
</file>