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721E" w:rsidRDefault="0033721E" w:rsidP="0033721E">
      <w:pPr>
        <w:pStyle w:val="1"/>
      </w:pPr>
      <w:r>
        <w:rPr>
          <w:rFonts w:eastAsiaTheme="minorEastAsia" w:hint="eastAsia"/>
        </w:rPr>
        <w:t>收益分析</w:t>
      </w:r>
    </w:p>
    <w:p w:rsidR="0033721E" w:rsidRDefault="0033721E" w:rsidP="0033721E">
      <w:pPr>
        <w:spacing w:line="360" w:lineRule="auto"/>
        <w:ind w:left="72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财务分析的估算结果如下，几项重要参数说明：</w:t>
      </w:r>
    </w:p>
    <w:p w:rsidR="0033721E" w:rsidRDefault="0033721E" w:rsidP="0033721E">
      <w:pPr>
        <w:numPr>
          <w:ilvl w:val="0"/>
          <w:numId w:val="1"/>
        </w:numPr>
        <w:spacing w:line="360" w:lineRule="auto"/>
        <w:jc w:val="left"/>
        <w:rPr>
          <w:rFonts w:ascii="仿宋_GB2312" w:eastAsia="仿宋_GB2312" w:hint="eastAsia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折现率假设为10%，这是比较通用的一个值；</w:t>
      </w:r>
    </w:p>
    <w:p w:rsidR="0033721E" w:rsidRDefault="0033721E" w:rsidP="0033721E">
      <w:pPr>
        <w:numPr>
          <w:ilvl w:val="0"/>
          <w:numId w:val="1"/>
        </w:numPr>
        <w:spacing w:line="360" w:lineRule="auto"/>
        <w:jc w:val="left"/>
        <w:rPr>
          <w:rFonts w:ascii="仿宋_GB2312" w:eastAsia="仿宋_GB2312" w:hint="eastAsia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项目长周期设为5年；</w:t>
      </w:r>
    </w:p>
    <w:p w:rsidR="0033721E" w:rsidRDefault="0033721E" w:rsidP="0033721E">
      <w:pPr>
        <w:numPr>
          <w:ilvl w:val="0"/>
          <w:numId w:val="1"/>
        </w:numPr>
        <w:spacing w:line="360" w:lineRule="auto"/>
        <w:jc w:val="left"/>
        <w:rPr>
          <w:rFonts w:ascii="仿宋_GB2312" w:eastAsia="仿宋_GB2312" w:hint="eastAsia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首年成本为上面资源分析中的成本加10万元推广成本，以后四年假设升级维护费和推广为每年20万；</w:t>
      </w:r>
    </w:p>
    <w:p w:rsidR="0033721E" w:rsidRDefault="0033721E" w:rsidP="0033721E">
      <w:pPr>
        <w:numPr>
          <w:ilvl w:val="0"/>
          <w:numId w:val="1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收益假设第一年为10万，第2年为30万，第3年为60万，第4年为100万，第5年为150万；</w:t>
      </w:r>
    </w:p>
    <w:p w:rsidR="0033721E" w:rsidRDefault="0033721E" w:rsidP="0033721E">
      <w:pPr>
        <w:spacing w:line="360" w:lineRule="auto"/>
        <w:ind w:leftChars="1414" w:left="2969"/>
        <w:jc w:val="left"/>
        <w:rPr>
          <w:rFonts w:ascii="仿宋_GB2312" w:eastAsia="仿宋_GB2312" w:hint="eastAsia"/>
          <w:sz w:val="28"/>
          <w:szCs w:val="28"/>
        </w:rPr>
      </w:pPr>
    </w:p>
    <w:tbl>
      <w:tblPr>
        <w:tblW w:w="9910" w:type="dxa"/>
        <w:tblInd w:w="845" w:type="dxa"/>
        <w:tblLayout w:type="fixed"/>
        <w:tblLook w:val="04A0" w:firstRow="1" w:lastRow="0" w:firstColumn="1" w:lastColumn="0" w:noHBand="0" w:noVBand="1"/>
      </w:tblPr>
      <w:tblGrid>
        <w:gridCol w:w="1743"/>
        <w:gridCol w:w="1269"/>
        <w:gridCol w:w="1565"/>
        <w:gridCol w:w="1281"/>
        <w:gridCol w:w="1565"/>
        <w:gridCol w:w="1200"/>
        <w:gridCol w:w="1287"/>
      </w:tblGrid>
      <w:tr w:rsidR="0033721E" w:rsidTr="0033721E">
        <w:trPr>
          <w:trHeight w:val="386"/>
        </w:trPr>
        <w:tc>
          <w:tcPr>
            <w:tcW w:w="1743" w:type="dxa"/>
            <w:tcBorders>
              <w:top w:val="double" w:sz="6" w:space="0" w:color="auto"/>
              <w:left w:val="double" w:sz="6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33721E" w:rsidRDefault="0033721E">
            <w:pPr>
              <w:widowControl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折现率</w:t>
            </w:r>
          </w:p>
        </w:tc>
        <w:tc>
          <w:tcPr>
            <w:tcW w:w="1269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33721E" w:rsidRDefault="0033721E">
            <w:pPr>
              <w:widowControl/>
              <w:jc w:val="right"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10%</w:t>
            </w:r>
          </w:p>
        </w:tc>
        <w:tc>
          <w:tcPr>
            <w:tcW w:w="1565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33721E" w:rsidRDefault="0033721E">
            <w:pPr>
              <w:widowControl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81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33721E" w:rsidRDefault="0033721E">
            <w:pPr>
              <w:widowControl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65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33721E" w:rsidRDefault="0033721E">
            <w:pPr>
              <w:widowControl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00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33721E" w:rsidRDefault="0033721E">
            <w:pPr>
              <w:widowControl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87" w:type="dxa"/>
            <w:tcBorders>
              <w:top w:val="double" w:sz="6" w:space="0" w:color="auto"/>
              <w:left w:val="nil"/>
              <w:bottom w:val="single" w:sz="8" w:space="0" w:color="auto"/>
              <w:right w:val="double" w:sz="6" w:space="0" w:color="auto"/>
            </w:tcBorders>
            <w:noWrap/>
            <w:vAlign w:val="center"/>
            <w:hideMark/>
          </w:tcPr>
          <w:p w:rsidR="0033721E" w:rsidRDefault="0033721E">
            <w:pPr>
              <w:widowControl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33721E" w:rsidTr="0033721E">
        <w:trPr>
          <w:trHeight w:val="372"/>
        </w:trPr>
        <w:tc>
          <w:tcPr>
            <w:tcW w:w="174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33721E" w:rsidRDefault="0033721E">
            <w:pPr>
              <w:widowControl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33721E" w:rsidRDefault="0033721E">
            <w:pPr>
              <w:widowControl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33721E" w:rsidRDefault="0033721E">
            <w:pPr>
              <w:widowControl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33721E" w:rsidRDefault="0033721E">
            <w:pPr>
              <w:widowControl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33721E" w:rsidRDefault="0033721E">
            <w:pPr>
              <w:widowControl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33721E" w:rsidRDefault="0033721E">
            <w:pPr>
              <w:widowControl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noWrap/>
            <w:vAlign w:val="center"/>
            <w:hideMark/>
          </w:tcPr>
          <w:p w:rsidR="0033721E" w:rsidRDefault="0033721E">
            <w:pPr>
              <w:widowControl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33721E" w:rsidTr="0033721E">
        <w:trPr>
          <w:trHeight w:val="372"/>
        </w:trPr>
        <w:tc>
          <w:tcPr>
            <w:tcW w:w="174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33721E" w:rsidRDefault="0033721E">
            <w:pPr>
              <w:widowControl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33721E" w:rsidRDefault="0033721E">
            <w:pPr>
              <w:widowControl/>
              <w:jc w:val="right"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33721E" w:rsidRDefault="0033721E">
            <w:pPr>
              <w:widowControl/>
              <w:jc w:val="right"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33721E" w:rsidRDefault="0033721E">
            <w:pPr>
              <w:widowControl/>
              <w:jc w:val="right"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33721E" w:rsidRDefault="0033721E">
            <w:pPr>
              <w:widowControl/>
              <w:jc w:val="right"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33721E" w:rsidRDefault="0033721E">
            <w:pPr>
              <w:widowControl/>
              <w:jc w:val="right"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5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noWrap/>
            <w:vAlign w:val="center"/>
            <w:hideMark/>
          </w:tcPr>
          <w:p w:rsidR="0033721E" w:rsidRDefault="0033721E">
            <w:pPr>
              <w:widowControl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汇总</w:t>
            </w:r>
          </w:p>
        </w:tc>
        <w:bookmarkStart w:id="0" w:name="_GoBack"/>
        <w:bookmarkEnd w:id="0"/>
      </w:tr>
      <w:tr w:rsidR="0033721E" w:rsidTr="0033721E">
        <w:trPr>
          <w:trHeight w:val="372"/>
        </w:trPr>
        <w:tc>
          <w:tcPr>
            <w:tcW w:w="174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33721E" w:rsidRDefault="0033721E">
            <w:pPr>
              <w:widowControl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成本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33721E" w:rsidRDefault="0033721E">
            <w:pPr>
              <w:widowControl/>
              <w:jc w:val="right"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396000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33721E" w:rsidRDefault="0033721E">
            <w:pPr>
              <w:widowControl/>
              <w:jc w:val="right"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33721E" w:rsidRDefault="0033721E">
            <w:pPr>
              <w:widowControl/>
              <w:jc w:val="right"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33721E" w:rsidRDefault="0033721E">
            <w:pPr>
              <w:widowControl/>
              <w:jc w:val="right"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33721E" w:rsidRDefault="0033721E">
            <w:pPr>
              <w:widowControl/>
              <w:jc w:val="right"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noWrap/>
            <w:vAlign w:val="center"/>
            <w:hideMark/>
          </w:tcPr>
          <w:p w:rsidR="0033721E" w:rsidRDefault="0033721E">
            <w:pPr>
              <w:widowControl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33721E" w:rsidTr="0033721E">
        <w:trPr>
          <w:trHeight w:val="372"/>
        </w:trPr>
        <w:tc>
          <w:tcPr>
            <w:tcW w:w="174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33721E" w:rsidRDefault="0033721E">
            <w:pPr>
              <w:widowControl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折现因子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33721E" w:rsidRDefault="0033721E">
            <w:pPr>
              <w:widowControl/>
              <w:jc w:val="right"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0.91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33721E" w:rsidRDefault="0033721E">
            <w:pPr>
              <w:widowControl/>
              <w:jc w:val="right"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0.83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33721E" w:rsidRDefault="0033721E">
            <w:pPr>
              <w:widowControl/>
              <w:jc w:val="right"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0.75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33721E" w:rsidRDefault="0033721E">
            <w:pPr>
              <w:widowControl/>
              <w:jc w:val="right"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33721E" w:rsidRDefault="0033721E">
            <w:pPr>
              <w:widowControl/>
              <w:jc w:val="right"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0.62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noWrap/>
            <w:vAlign w:val="center"/>
            <w:hideMark/>
          </w:tcPr>
          <w:p w:rsidR="0033721E" w:rsidRDefault="0033721E">
            <w:pPr>
              <w:widowControl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33721E" w:rsidTr="0033721E">
        <w:trPr>
          <w:trHeight w:val="372"/>
        </w:trPr>
        <w:tc>
          <w:tcPr>
            <w:tcW w:w="174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33721E" w:rsidRDefault="0033721E">
            <w:pPr>
              <w:widowControl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折现成本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33721E" w:rsidRDefault="0033721E">
            <w:pPr>
              <w:widowControl/>
              <w:jc w:val="right"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360360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33721E" w:rsidRDefault="0033721E">
            <w:pPr>
              <w:widowControl/>
              <w:jc w:val="right"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166000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33721E" w:rsidRDefault="0033721E">
            <w:pPr>
              <w:widowControl/>
              <w:jc w:val="right"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150000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33721E" w:rsidRDefault="0033721E">
            <w:pPr>
              <w:widowControl/>
              <w:jc w:val="right"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136000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33721E" w:rsidRDefault="0033721E">
            <w:pPr>
              <w:widowControl/>
              <w:jc w:val="right"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124000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noWrap/>
            <w:vAlign w:val="center"/>
            <w:hideMark/>
          </w:tcPr>
          <w:p w:rsidR="0033721E" w:rsidRDefault="0033721E">
            <w:pPr>
              <w:widowControl/>
              <w:jc w:val="right"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936360</w:t>
            </w:r>
          </w:p>
        </w:tc>
      </w:tr>
      <w:tr w:rsidR="0033721E" w:rsidTr="0033721E">
        <w:trPr>
          <w:trHeight w:val="372"/>
        </w:trPr>
        <w:tc>
          <w:tcPr>
            <w:tcW w:w="174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33721E" w:rsidRDefault="0033721E">
            <w:pPr>
              <w:widowControl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累计成本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33721E" w:rsidRDefault="0033721E">
            <w:pPr>
              <w:widowControl/>
              <w:jc w:val="right"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360360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33721E" w:rsidRDefault="0033721E">
            <w:pPr>
              <w:widowControl/>
              <w:jc w:val="right"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526360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33721E" w:rsidRDefault="0033721E">
            <w:pPr>
              <w:widowControl/>
              <w:jc w:val="right"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676360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33721E" w:rsidRDefault="0033721E">
            <w:pPr>
              <w:widowControl/>
              <w:jc w:val="right"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812360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33721E" w:rsidRDefault="0033721E">
            <w:pPr>
              <w:widowControl/>
              <w:jc w:val="right"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936360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noWrap/>
            <w:vAlign w:val="center"/>
            <w:hideMark/>
          </w:tcPr>
          <w:p w:rsidR="0033721E" w:rsidRDefault="0033721E">
            <w:pPr>
              <w:widowControl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33721E" w:rsidTr="0033721E">
        <w:trPr>
          <w:trHeight w:val="372"/>
        </w:trPr>
        <w:tc>
          <w:tcPr>
            <w:tcW w:w="174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33721E" w:rsidRDefault="0033721E">
            <w:pPr>
              <w:widowControl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33721E" w:rsidRDefault="0033721E">
            <w:pPr>
              <w:widowControl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33721E" w:rsidRDefault="0033721E">
            <w:pPr>
              <w:widowControl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33721E" w:rsidRDefault="0033721E">
            <w:pPr>
              <w:widowControl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33721E" w:rsidRDefault="0033721E">
            <w:pPr>
              <w:widowControl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33721E" w:rsidRDefault="0033721E">
            <w:pPr>
              <w:widowControl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noWrap/>
            <w:vAlign w:val="center"/>
            <w:hideMark/>
          </w:tcPr>
          <w:p w:rsidR="0033721E" w:rsidRDefault="0033721E">
            <w:pPr>
              <w:widowControl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33721E" w:rsidTr="0033721E">
        <w:trPr>
          <w:trHeight w:val="372"/>
        </w:trPr>
        <w:tc>
          <w:tcPr>
            <w:tcW w:w="174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33721E" w:rsidRDefault="0033721E">
            <w:pPr>
              <w:widowControl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收益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33721E" w:rsidRDefault="0033721E">
            <w:pPr>
              <w:widowControl/>
              <w:jc w:val="right"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100000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33721E" w:rsidRDefault="0033721E">
            <w:pPr>
              <w:widowControl/>
              <w:jc w:val="right"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300000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33721E" w:rsidRDefault="0033721E">
            <w:pPr>
              <w:widowControl/>
              <w:jc w:val="right"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600000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33721E" w:rsidRDefault="0033721E">
            <w:pPr>
              <w:widowControl/>
              <w:jc w:val="right"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1000000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33721E" w:rsidRDefault="0033721E">
            <w:pPr>
              <w:widowControl/>
              <w:jc w:val="right"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1500000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noWrap/>
            <w:vAlign w:val="center"/>
            <w:hideMark/>
          </w:tcPr>
          <w:p w:rsidR="0033721E" w:rsidRDefault="0033721E">
            <w:pPr>
              <w:widowControl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33721E" w:rsidTr="0033721E">
        <w:trPr>
          <w:trHeight w:val="372"/>
        </w:trPr>
        <w:tc>
          <w:tcPr>
            <w:tcW w:w="174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33721E" w:rsidRDefault="0033721E">
            <w:pPr>
              <w:widowControl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折现因子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33721E" w:rsidRDefault="0033721E">
            <w:pPr>
              <w:widowControl/>
              <w:jc w:val="right"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0.91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33721E" w:rsidRDefault="0033721E">
            <w:pPr>
              <w:widowControl/>
              <w:jc w:val="right"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0.83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33721E" w:rsidRDefault="0033721E">
            <w:pPr>
              <w:widowControl/>
              <w:jc w:val="right"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0.75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33721E" w:rsidRDefault="0033721E">
            <w:pPr>
              <w:widowControl/>
              <w:jc w:val="right"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33721E" w:rsidRDefault="0033721E">
            <w:pPr>
              <w:widowControl/>
              <w:jc w:val="right"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0.62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noWrap/>
            <w:vAlign w:val="center"/>
            <w:hideMark/>
          </w:tcPr>
          <w:p w:rsidR="0033721E" w:rsidRDefault="0033721E">
            <w:pPr>
              <w:widowControl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33721E" w:rsidTr="0033721E">
        <w:trPr>
          <w:trHeight w:val="372"/>
        </w:trPr>
        <w:tc>
          <w:tcPr>
            <w:tcW w:w="174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33721E" w:rsidRDefault="0033721E">
            <w:pPr>
              <w:widowControl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折现收益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33721E" w:rsidRDefault="0033721E">
            <w:pPr>
              <w:widowControl/>
              <w:jc w:val="right"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91000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33721E" w:rsidRDefault="0033721E">
            <w:pPr>
              <w:widowControl/>
              <w:jc w:val="right"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249000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33721E" w:rsidRDefault="0033721E">
            <w:pPr>
              <w:widowControl/>
              <w:jc w:val="right"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450000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33721E" w:rsidRDefault="0033721E">
            <w:pPr>
              <w:widowControl/>
              <w:jc w:val="right"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680000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33721E" w:rsidRDefault="0033721E">
            <w:pPr>
              <w:widowControl/>
              <w:jc w:val="right"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930000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noWrap/>
            <w:vAlign w:val="center"/>
            <w:hideMark/>
          </w:tcPr>
          <w:p w:rsidR="0033721E" w:rsidRDefault="0033721E">
            <w:pPr>
              <w:widowControl/>
              <w:jc w:val="right"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2400000</w:t>
            </w:r>
          </w:p>
        </w:tc>
      </w:tr>
      <w:tr w:rsidR="0033721E" w:rsidTr="0033721E">
        <w:trPr>
          <w:trHeight w:val="372"/>
        </w:trPr>
        <w:tc>
          <w:tcPr>
            <w:tcW w:w="174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33721E" w:rsidRDefault="0033721E">
            <w:pPr>
              <w:widowControl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累计收益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33721E" w:rsidRDefault="0033721E">
            <w:pPr>
              <w:widowControl/>
              <w:jc w:val="right"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91000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33721E" w:rsidRDefault="0033721E">
            <w:pPr>
              <w:widowControl/>
              <w:jc w:val="right"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340000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33721E" w:rsidRDefault="0033721E">
            <w:pPr>
              <w:widowControl/>
              <w:jc w:val="right"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790000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33721E" w:rsidRDefault="0033721E">
            <w:pPr>
              <w:widowControl/>
              <w:jc w:val="right"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1470000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33721E" w:rsidRDefault="0033721E">
            <w:pPr>
              <w:widowControl/>
              <w:jc w:val="right"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2400000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noWrap/>
            <w:vAlign w:val="center"/>
            <w:hideMark/>
          </w:tcPr>
          <w:p w:rsidR="0033721E" w:rsidRDefault="0033721E">
            <w:pPr>
              <w:widowControl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33721E" w:rsidTr="0033721E">
        <w:trPr>
          <w:trHeight w:val="372"/>
        </w:trPr>
        <w:tc>
          <w:tcPr>
            <w:tcW w:w="174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33721E" w:rsidRDefault="0033721E">
            <w:pPr>
              <w:widowControl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33721E" w:rsidRDefault="0033721E">
            <w:pPr>
              <w:widowControl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33721E" w:rsidRDefault="0033721E">
            <w:pPr>
              <w:widowControl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33721E" w:rsidRDefault="0033721E">
            <w:pPr>
              <w:widowControl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33721E" w:rsidRDefault="0033721E">
            <w:pPr>
              <w:widowControl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33721E" w:rsidRDefault="0033721E">
            <w:pPr>
              <w:widowControl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noWrap/>
            <w:vAlign w:val="center"/>
            <w:hideMark/>
          </w:tcPr>
          <w:p w:rsidR="0033721E" w:rsidRDefault="0033721E">
            <w:pPr>
              <w:widowControl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33721E" w:rsidTr="0033721E">
        <w:trPr>
          <w:trHeight w:val="372"/>
        </w:trPr>
        <w:tc>
          <w:tcPr>
            <w:tcW w:w="174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33721E" w:rsidRDefault="0033721E">
            <w:pPr>
              <w:widowControl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折现收益-折现成本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33721E" w:rsidRDefault="0033721E">
            <w:pPr>
              <w:widowControl/>
              <w:jc w:val="right"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-269360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33721E" w:rsidRDefault="0033721E">
            <w:pPr>
              <w:widowControl/>
              <w:jc w:val="right"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83000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33721E" w:rsidRDefault="0033721E">
            <w:pPr>
              <w:widowControl/>
              <w:jc w:val="right"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300000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33721E" w:rsidRDefault="0033721E">
            <w:pPr>
              <w:widowControl/>
              <w:jc w:val="right"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544000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33721E" w:rsidRDefault="0033721E">
            <w:pPr>
              <w:widowControl/>
              <w:jc w:val="right"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806000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noWrap/>
            <w:vAlign w:val="center"/>
            <w:hideMark/>
          </w:tcPr>
          <w:p w:rsidR="0033721E" w:rsidRDefault="0033721E">
            <w:pPr>
              <w:widowControl/>
              <w:jc w:val="right"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1463640</w:t>
            </w:r>
          </w:p>
        </w:tc>
      </w:tr>
      <w:tr w:rsidR="0033721E" w:rsidTr="0033721E">
        <w:trPr>
          <w:trHeight w:val="372"/>
        </w:trPr>
        <w:tc>
          <w:tcPr>
            <w:tcW w:w="174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33721E" w:rsidRDefault="0033721E">
            <w:pPr>
              <w:widowControl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累计收益-累计成本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33721E" w:rsidRDefault="0033721E">
            <w:pPr>
              <w:widowControl/>
              <w:jc w:val="right"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-269360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33721E" w:rsidRDefault="0033721E">
            <w:pPr>
              <w:widowControl/>
              <w:jc w:val="right"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-186360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33721E" w:rsidRDefault="0033721E">
            <w:pPr>
              <w:widowControl/>
              <w:jc w:val="right"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113640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33721E" w:rsidRDefault="0033721E">
            <w:pPr>
              <w:widowControl/>
              <w:jc w:val="right"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657640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33721E" w:rsidRDefault="0033721E">
            <w:pPr>
              <w:widowControl/>
              <w:jc w:val="right"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1463640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noWrap/>
            <w:vAlign w:val="center"/>
            <w:hideMark/>
          </w:tcPr>
          <w:p w:rsidR="0033721E" w:rsidRDefault="0033721E">
            <w:pPr>
              <w:widowControl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33721E" w:rsidTr="0033721E">
        <w:trPr>
          <w:trHeight w:val="372"/>
        </w:trPr>
        <w:tc>
          <w:tcPr>
            <w:tcW w:w="174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33721E" w:rsidRDefault="0033721E">
            <w:pPr>
              <w:widowControl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33721E" w:rsidRDefault="0033721E">
            <w:pPr>
              <w:widowControl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33721E" w:rsidRDefault="0033721E">
            <w:pPr>
              <w:widowControl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33721E" w:rsidRDefault="0033721E">
            <w:pPr>
              <w:widowControl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33721E" w:rsidRDefault="0033721E">
            <w:pPr>
              <w:widowControl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33721E" w:rsidRDefault="0033721E">
            <w:pPr>
              <w:widowControl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noWrap/>
            <w:vAlign w:val="center"/>
            <w:hideMark/>
          </w:tcPr>
          <w:p w:rsidR="0033721E" w:rsidRDefault="0033721E">
            <w:pPr>
              <w:widowControl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33721E" w:rsidTr="0033721E">
        <w:trPr>
          <w:trHeight w:val="372"/>
        </w:trPr>
        <w:tc>
          <w:tcPr>
            <w:tcW w:w="174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33721E" w:rsidRDefault="0033721E">
            <w:pPr>
              <w:widowControl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净现值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vAlign w:val="center"/>
            <w:hideMark/>
          </w:tcPr>
          <w:p w:rsidR="0033721E" w:rsidRDefault="0033721E">
            <w:pPr>
              <w:widowControl/>
              <w:jc w:val="right"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1463640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33721E" w:rsidRDefault="0033721E">
            <w:pPr>
              <w:widowControl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33721E" w:rsidRDefault="0033721E">
            <w:pPr>
              <w:widowControl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33721E" w:rsidRDefault="0033721E">
            <w:pPr>
              <w:widowControl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33721E" w:rsidRDefault="0033721E">
            <w:pPr>
              <w:widowControl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noWrap/>
            <w:vAlign w:val="center"/>
            <w:hideMark/>
          </w:tcPr>
          <w:p w:rsidR="0033721E" w:rsidRDefault="0033721E">
            <w:pPr>
              <w:widowControl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33721E" w:rsidTr="0033721E">
        <w:trPr>
          <w:trHeight w:val="372"/>
        </w:trPr>
        <w:tc>
          <w:tcPr>
            <w:tcW w:w="174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33721E" w:rsidRDefault="0033721E">
            <w:pPr>
              <w:widowControl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投资收益率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vAlign w:val="center"/>
            <w:hideMark/>
          </w:tcPr>
          <w:p w:rsidR="0033721E" w:rsidRDefault="0033721E">
            <w:pPr>
              <w:widowControl/>
              <w:jc w:val="right"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156%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33721E" w:rsidRDefault="0033721E">
            <w:pPr>
              <w:widowControl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33721E" w:rsidRDefault="0033721E">
            <w:pPr>
              <w:widowControl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33721E" w:rsidRDefault="0033721E">
            <w:pPr>
              <w:widowControl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33721E" w:rsidRDefault="0033721E">
            <w:pPr>
              <w:widowControl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noWrap/>
            <w:vAlign w:val="center"/>
            <w:hideMark/>
          </w:tcPr>
          <w:p w:rsidR="0033721E" w:rsidRDefault="0033721E">
            <w:pPr>
              <w:widowControl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33721E" w:rsidTr="0033721E">
        <w:trPr>
          <w:trHeight w:val="372"/>
        </w:trPr>
        <w:tc>
          <w:tcPr>
            <w:tcW w:w="1743" w:type="dxa"/>
            <w:tcBorders>
              <w:top w:val="nil"/>
              <w:left w:val="double" w:sz="6" w:space="0" w:color="auto"/>
              <w:bottom w:val="double" w:sz="6" w:space="0" w:color="auto"/>
              <w:right w:val="single" w:sz="8" w:space="0" w:color="auto"/>
            </w:tcBorders>
            <w:noWrap/>
            <w:vAlign w:val="center"/>
            <w:hideMark/>
          </w:tcPr>
          <w:p w:rsidR="0033721E" w:rsidRDefault="0033721E">
            <w:pPr>
              <w:widowControl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投资回收期</w:t>
            </w:r>
          </w:p>
        </w:tc>
        <w:tc>
          <w:tcPr>
            <w:tcW w:w="1269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noWrap/>
            <w:vAlign w:val="center"/>
            <w:hideMark/>
          </w:tcPr>
          <w:p w:rsidR="0033721E" w:rsidRDefault="0033721E">
            <w:pPr>
              <w:widowControl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第3年</w:t>
            </w:r>
          </w:p>
        </w:tc>
        <w:tc>
          <w:tcPr>
            <w:tcW w:w="1565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noWrap/>
            <w:vAlign w:val="center"/>
            <w:hideMark/>
          </w:tcPr>
          <w:p w:rsidR="0033721E" w:rsidRDefault="0033721E">
            <w:pPr>
              <w:widowControl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81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noWrap/>
            <w:vAlign w:val="center"/>
            <w:hideMark/>
          </w:tcPr>
          <w:p w:rsidR="0033721E" w:rsidRDefault="0033721E">
            <w:pPr>
              <w:widowControl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65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noWrap/>
            <w:vAlign w:val="center"/>
            <w:hideMark/>
          </w:tcPr>
          <w:p w:rsidR="0033721E" w:rsidRDefault="0033721E">
            <w:pPr>
              <w:widowControl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00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noWrap/>
            <w:vAlign w:val="center"/>
            <w:hideMark/>
          </w:tcPr>
          <w:p w:rsidR="0033721E" w:rsidRDefault="0033721E">
            <w:pPr>
              <w:widowControl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87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noWrap/>
            <w:vAlign w:val="center"/>
            <w:hideMark/>
          </w:tcPr>
          <w:p w:rsidR="0033721E" w:rsidRDefault="0033721E">
            <w:pPr>
              <w:widowControl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</w:tbl>
    <w:p w:rsidR="008057EB" w:rsidRDefault="008057EB">
      <w:pPr>
        <w:rPr>
          <w:rFonts w:hint="eastAsia"/>
        </w:rPr>
      </w:pPr>
    </w:p>
    <w:sectPr w:rsidR="008057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833A83"/>
    <w:multiLevelType w:val="multilevel"/>
    <w:tmpl w:val="77833A83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560" w:hanging="420"/>
      </w:pPr>
    </w:lvl>
    <w:lvl w:ilvl="2">
      <w:start w:val="1"/>
      <w:numFmt w:val="lowerRoman"/>
      <w:lvlText w:val="%3."/>
      <w:lvlJc w:val="right"/>
      <w:pPr>
        <w:ind w:left="1980" w:hanging="420"/>
      </w:p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8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21E"/>
    <w:rsid w:val="0033721E"/>
    <w:rsid w:val="008057EB"/>
    <w:rsid w:val="00BD4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99E80"/>
  <w15:chartTrackingRefBased/>
  <w15:docId w15:val="{678269E9-18E3-40F0-A554-2CD780DFA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3721E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3721E"/>
    <w:pPr>
      <w:keepNext/>
      <w:keepLines/>
      <w:spacing w:before="340" w:after="330" w:line="576" w:lineRule="auto"/>
      <w:outlineLvl w:val="0"/>
    </w:pPr>
    <w:rPr>
      <w:rFonts w:eastAsia="宋体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3721E"/>
    <w:rPr>
      <w:rFonts w:eastAsia="宋体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158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112</Words>
  <Characters>643</Characters>
  <Application>Microsoft Office Word</Application>
  <DocSecurity>0</DocSecurity>
  <Lines>5</Lines>
  <Paragraphs>1</Paragraphs>
  <ScaleCrop>false</ScaleCrop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天响之城</dc:creator>
  <cp:keywords/>
  <dc:description/>
  <cp:lastModifiedBy>天响之城</cp:lastModifiedBy>
  <cp:revision>1</cp:revision>
  <dcterms:created xsi:type="dcterms:W3CDTF">2019-03-08T02:20:00Z</dcterms:created>
  <dcterms:modified xsi:type="dcterms:W3CDTF">2019-03-08T02:22:00Z</dcterms:modified>
</cp:coreProperties>
</file>