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DE8DA" w14:textId="675F387E" w:rsidR="008C251B" w:rsidRPr="008C251B" w:rsidRDefault="008C251B" w:rsidP="008C251B">
      <w:pPr>
        <w:pStyle w:val="ae"/>
        <w:rPr>
          <w:rFonts w:hint="eastAsia"/>
        </w:rPr>
      </w:pPr>
      <w:r>
        <w:t>通常来说 极端情况除外 黄金的价格不会低于开采价 不会高于 美债的总额除以已开采量的价格 通常低点在美债的总额除以已开采量的价格价格的80% 极端情况除外 而且也受利率和利率预期的影响 影响主要是压缩美债的总额除以已开采量的价格的百分</w:t>
      </w:r>
      <w:r>
        <w:rPr>
          <w:rFonts w:hint="eastAsia"/>
        </w:rPr>
        <w:t>比</w:t>
      </w:r>
    </w:p>
    <w:sectPr w:rsidR="008C251B" w:rsidRPr="008C2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1B"/>
    <w:rsid w:val="008C251B"/>
    <w:rsid w:val="00E25BE3"/>
    <w:rsid w:val="00FA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3A512"/>
  <w15:chartTrackingRefBased/>
  <w15:docId w15:val="{87DAEB44-F898-9D4C-B91A-3A2F2550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25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5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5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5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5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5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5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5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25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2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2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25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25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25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25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25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25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25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5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25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25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5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25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25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251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8C251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t89028</dc:creator>
  <cp:keywords/>
  <dc:description/>
  <cp:lastModifiedBy>t89028</cp:lastModifiedBy>
  <cp:revision>1</cp:revision>
  <dcterms:created xsi:type="dcterms:W3CDTF">2026-09-19T12:44:00Z</dcterms:created>
  <dcterms:modified xsi:type="dcterms:W3CDTF">2026-09-20T09:17:00Z</dcterms:modified>
</cp:coreProperties>
</file>