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ED51" w14:textId="688D7721" w:rsidR="000E72FC" w:rsidRPr="00886A55" w:rsidRDefault="000E72FC" w:rsidP="000E72FC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86A55">
        <w:rPr>
          <w:rFonts w:ascii="Times New Roman" w:hAnsi="Times New Roman" w:cs="Times New Roman"/>
          <w:b/>
          <w:sz w:val="32"/>
          <w:u w:val="single"/>
        </w:rPr>
        <w:t xml:space="preserve">Supporting </w:t>
      </w:r>
      <w:r w:rsidR="005A5AC0" w:rsidRPr="00886A55">
        <w:rPr>
          <w:rFonts w:ascii="Times New Roman" w:hAnsi="Times New Roman" w:cs="Times New Roman"/>
          <w:b/>
          <w:sz w:val="32"/>
          <w:u w:val="single"/>
        </w:rPr>
        <w:t>Information</w:t>
      </w:r>
    </w:p>
    <w:p w14:paraId="63931690" w14:textId="77777777" w:rsidR="000E72FC" w:rsidRPr="00992CB8" w:rsidRDefault="000E72FC" w:rsidP="000E72FC">
      <w:pPr>
        <w:pStyle w:val="NoSpacing"/>
        <w:adjustRightInd w:val="0"/>
        <w:snapToGrid w:val="0"/>
        <w:spacing w:line="480" w:lineRule="auto"/>
        <w:rPr>
          <w:rFonts w:cs="Times New Roman"/>
        </w:rPr>
      </w:pPr>
    </w:p>
    <w:p w14:paraId="3C73F992" w14:textId="77777777" w:rsidR="00B50843" w:rsidRPr="0072093C" w:rsidRDefault="00B50843" w:rsidP="00B5084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93C">
        <w:rPr>
          <w:rFonts w:ascii="Times New Roman" w:hAnsi="Times New Roman" w:cs="Times New Roman"/>
          <w:b/>
          <w:bCs/>
          <w:sz w:val="24"/>
          <w:szCs w:val="24"/>
        </w:rPr>
        <w:t xml:space="preserve">Biosynthesis Mechanisms of Medium-Chain Carboxylic Acids and Alcohols in Anaerobic Microalgae Fermentation Regulated by pH </w:t>
      </w:r>
      <w:proofErr w:type="gramStart"/>
      <w:r w:rsidRPr="0072093C">
        <w:rPr>
          <w:rFonts w:ascii="Times New Roman" w:hAnsi="Times New Roman" w:cs="Times New Roman"/>
          <w:b/>
          <w:bCs/>
          <w:sz w:val="24"/>
          <w:szCs w:val="24"/>
        </w:rPr>
        <w:t>Conditions</w:t>
      </w:r>
      <w:proofErr w:type="gramEnd"/>
    </w:p>
    <w:p w14:paraId="483A284F" w14:textId="77777777" w:rsidR="00B50843" w:rsidRPr="0072093C" w:rsidRDefault="00B50843" w:rsidP="00B5084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94978" w14:textId="7F1199D0" w:rsidR="00B50843" w:rsidRPr="0072093C" w:rsidRDefault="00B50843" w:rsidP="00B5084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2093C">
        <w:rPr>
          <w:rFonts w:ascii="Times New Roman" w:hAnsi="Times New Roman" w:cs="Times New Roman"/>
          <w:bCs/>
          <w:sz w:val="24"/>
          <w:szCs w:val="24"/>
        </w:rPr>
        <w:t xml:space="preserve">Xingdong Shi, Wei </w:t>
      </w:r>
      <w:proofErr w:type="spellStart"/>
      <w:r w:rsidRPr="0072093C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72093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34104">
        <w:rPr>
          <w:rFonts w:ascii="Times New Roman" w:hAnsi="Times New Roman" w:cs="Times New Roman"/>
          <w:bCs/>
          <w:sz w:val="24"/>
          <w:szCs w:val="24"/>
        </w:rPr>
        <w:t xml:space="preserve">Lan Wu, </w:t>
      </w:r>
      <w:r w:rsidRPr="0072093C">
        <w:rPr>
          <w:rFonts w:ascii="Times New Roman" w:hAnsi="Times New Roman" w:cs="Times New Roman"/>
          <w:bCs/>
          <w:sz w:val="24"/>
          <w:szCs w:val="24"/>
        </w:rPr>
        <w:t>Yuhan Huang, Bing-Jie Ni*</w:t>
      </w:r>
    </w:p>
    <w:p w14:paraId="1CF47A94" w14:textId="77777777" w:rsidR="00B50843" w:rsidRPr="0072093C" w:rsidRDefault="00B50843" w:rsidP="00B50843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4E83" w14:textId="77777777" w:rsidR="00B50843" w:rsidRPr="0072093C" w:rsidRDefault="00B50843" w:rsidP="00B5084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093C">
        <w:rPr>
          <w:rFonts w:ascii="Times New Roman" w:hAnsi="Times New Roman" w:cs="Times New Roman"/>
          <w:sz w:val="24"/>
          <w:szCs w:val="24"/>
        </w:rPr>
        <w:t>Centre for Technology in Water and Wastewater, School of Civil and Environmental Engineering, University of Technology Sydney, Sydney, NSW 2007, Australia</w:t>
      </w:r>
    </w:p>
    <w:p w14:paraId="0BD34C34" w14:textId="441F2C33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7B0A" w14:textId="505018A8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A5D1F" w14:textId="14341ED9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019E3" w14:textId="693DF600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3445B" w14:textId="1986FD06" w:rsidR="00D05C03" w:rsidRDefault="00D05C03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A580EE" w14:textId="6A501BAD" w:rsidR="00B80B00" w:rsidRDefault="00B80B00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42A74C" w14:textId="77777777" w:rsidR="00B80B00" w:rsidRDefault="00B80B00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FF224A" w14:textId="77777777" w:rsidR="009867E8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BF0791" w14:textId="77777777" w:rsidR="009867E8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1CC3BE" w14:textId="77777777" w:rsidR="009867E8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CCEFCD" w14:textId="77777777" w:rsidR="009867E8" w:rsidRPr="00B80B00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BB845E" w14:textId="77777777" w:rsidR="00B80B00" w:rsidRPr="0072093C" w:rsidRDefault="00B80B00" w:rsidP="00B80B00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093C">
        <w:rPr>
          <w:rFonts w:ascii="Times New Roman" w:hAnsi="Times New Roman" w:cs="Times New Roman"/>
          <w:sz w:val="24"/>
          <w:szCs w:val="24"/>
        </w:rPr>
        <w:t>*</w:t>
      </w:r>
      <w:r w:rsidRPr="0072093C">
        <w:rPr>
          <w:rFonts w:ascii="Times New Roman" w:hAnsi="Times New Roman" w:cs="Times New Roman"/>
          <w:b/>
          <w:sz w:val="24"/>
          <w:szCs w:val="24"/>
        </w:rPr>
        <w:t>Corresponding author:</w:t>
      </w:r>
    </w:p>
    <w:p w14:paraId="10D1CA4A" w14:textId="77777777" w:rsidR="00B80B00" w:rsidRPr="0072093C" w:rsidRDefault="00B80B00" w:rsidP="00B80B00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530918337"/>
      <w:r w:rsidRPr="0072093C">
        <w:rPr>
          <w:rFonts w:ascii="Times New Roman" w:hAnsi="Times New Roman" w:cs="Times New Roman"/>
          <w:sz w:val="24"/>
          <w:szCs w:val="24"/>
        </w:rPr>
        <w:t>Prof. Bing-Jie Ni</w:t>
      </w:r>
    </w:p>
    <w:p w14:paraId="5A393208" w14:textId="204D093E" w:rsidR="00AA2B9B" w:rsidRPr="009867E8" w:rsidRDefault="00B80B00" w:rsidP="00D05C03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093C">
        <w:rPr>
          <w:rFonts w:ascii="Times New Roman" w:hAnsi="Times New Roman" w:cs="Times New Roman"/>
          <w:sz w:val="24"/>
          <w:szCs w:val="24"/>
        </w:rPr>
        <w:t>E-mail:</w:t>
      </w:r>
      <w:r w:rsidRPr="00B80B0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80B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bingjieni@gmail.com</w:t>
        </w:r>
      </w:hyperlink>
      <w:bookmarkEnd w:id="0"/>
      <w:r w:rsidR="00AA2B9B" w:rsidRPr="00992CB8">
        <w:rPr>
          <w:rFonts w:ascii="Times New Roman" w:hAnsi="Times New Roman" w:cs="Times New Roman"/>
          <w:b/>
          <w:bCs/>
        </w:rPr>
        <w:br w:type="page"/>
      </w:r>
    </w:p>
    <w:p w14:paraId="7104C648" w14:textId="2F0AFE30" w:rsidR="00826042" w:rsidRDefault="00826042" w:rsidP="00826042">
      <w:pPr>
        <w:adjustRightInd w:val="0"/>
        <w:snapToGrid w:val="0"/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2728039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S1 The calculation procedures</w:t>
      </w:r>
      <w:bookmarkEnd w:id="1"/>
    </w:p>
    <w:p w14:paraId="5F37AD7E" w14:textId="026EC056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concentration of main products including SCCAs, MCCAs and alcohols w</w:t>
      </w:r>
      <w:r w:rsidR="006D681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converted into COD concentration. The relationship between products and COD </w:t>
      </w:r>
      <w:r w:rsidR="006D681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listed in the table below.</w:t>
      </w:r>
    </w:p>
    <w:p w14:paraId="7607A5FE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0459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The relationships between products and COD/electron equivalent</w:t>
      </w:r>
    </w:p>
    <w:tbl>
      <w:tblPr>
        <w:tblStyle w:val="TableGrid"/>
        <w:tblW w:w="935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984"/>
        <w:gridCol w:w="1572"/>
        <w:gridCol w:w="1263"/>
        <w:gridCol w:w="1985"/>
      </w:tblGrid>
      <w:tr w:rsidR="00826042" w14:paraId="7085C4AA" w14:textId="77777777" w:rsidTr="00C10D7C">
        <w:trPr>
          <w:jc w:val="center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77FEB5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Products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731BE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COD value (g COD/g)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14:paraId="67033973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755B09">
              <w:rPr>
                <w:rFonts w:ascii="Times New Roman" w:hAnsi="Times New Roman" w:cs="Times New Roman"/>
                <w:sz w:val="22"/>
              </w:rPr>
              <w:t>Electron equivalent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 xml:space="preserve">mol </w:t>
            </w:r>
            <w:r w:rsidRPr="004747DE">
              <w:rPr>
                <w:rFonts w:ascii="Times New Roman" w:hAnsi="Times New Roman" w:cs="Times New Roman"/>
                <w:i/>
                <w:iCs/>
                <w:sz w:val="22"/>
              </w:rPr>
              <w:t>e</w:t>
            </w:r>
            <w:r w:rsidRPr="004747DE">
              <w:rPr>
                <w:rFonts w:ascii="Times New Roman" w:hAnsi="Times New Roman" w:cs="Times New Roman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/mol)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BFCF6A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Products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84D8CB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COD value (g COD/g)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217DC1E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755B09">
              <w:rPr>
                <w:rFonts w:ascii="Times New Roman" w:hAnsi="Times New Roman" w:cs="Times New Roman"/>
                <w:sz w:val="22"/>
              </w:rPr>
              <w:t>Electron equivalent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 xml:space="preserve">mol </w:t>
            </w:r>
            <w:r w:rsidRPr="004747DE">
              <w:rPr>
                <w:rFonts w:ascii="Times New Roman" w:hAnsi="Times New Roman" w:cs="Times New Roman"/>
                <w:i/>
                <w:iCs/>
                <w:sz w:val="22"/>
              </w:rPr>
              <w:t>e</w:t>
            </w:r>
            <w:r w:rsidRPr="004747DE">
              <w:rPr>
                <w:rFonts w:ascii="Times New Roman" w:hAnsi="Times New Roman" w:cs="Times New Roman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/mol)</w:t>
            </w:r>
          </w:p>
        </w:tc>
      </w:tr>
      <w:tr w:rsidR="00826042" w14:paraId="015181AD" w14:textId="77777777" w:rsidTr="00C10D7C">
        <w:trPr>
          <w:jc w:val="center"/>
        </w:trPr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56D69B9A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Ethanol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21C47E1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2.09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11FE298E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572" w:type="dxa"/>
            <w:tcBorders>
              <w:top w:val="single" w:sz="12" w:space="0" w:color="auto"/>
            </w:tcBorders>
            <w:vAlign w:val="center"/>
          </w:tcPr>
          <w:p w14:paraId="5E8CE382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Propionic acid</w:t>
            </w:r>
          </w:p>
        </w:tc>
        <w:tc>
          <w:tcPr>
            <w:tcW w:w="1263" w:type="dxa"/>
            <w:tcBorders>
              <w:top w:val="single" w:sz="12" w:space="0" w:color="auto"/>
            </w:tcBorders>
            <w:vAlign w:val="center"/>
          </w:tcPr>
          <w:p w14:paraId="5E00E88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1.51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63E5C8B4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26042" w14:paraId="0145579D" w14:textId="77777777" w:rsidTr="00C10D7C">
        <w:trPr>
          <w:jc w:val="center"/>
        </w:trPr>
        <w:tc>
          <w:tcPr>
            <w:tcW w:w="1276" w:type="dxa"/>
            <w:vAlign w:val="center"/>
          </w:tcPr>
          <w:p w14:paraId="2EE88CF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Propanol</w:t>
            </w:r>
          </w:p>
        </w:tc>
        <w:tc>
          <w:tcPr>
            <w:tcW w:w="1276" w:type="dxa"/>
            <w:vAlign w:val="center"/>
          </w:tcPr>
          <w:p w14:paraId="2A756FC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2.4</w:t>
            </w:r>
          </w:p>
        </w:tc>
        <w:tc>
          <w:tcPr>
            <w:tcW w:w="1984" w:type="dxa"/>
          </w:tcPr>
          <w:p w14:paraId="764EB8B0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572" w:type="dxa"/>
            <w:vAlign w:val="center"/>
          </w:tcPr>
          <w:p w14:paraId="45103CB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Butyric acid</w:t>
            </w:r>
          </w:p>
        </w:tc>
        <w:tc>
          <w:tcPr>
            <w:tcW w:w="1263" w:type="dxa"/>
            <w:vAlign w:val="center"/>
          </w:tcPr>
          <w:p w14:paraId="1AF756E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1.82</w:t>
            </w:r>
          </w:p>
        </w:tc>
        <w:tc>
          <w:tcPr>
            <w:tcW w:w="1985" w:type="dxa"/>
          </w:tcPr>
          <w:p w14:paraId="1DCDF53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826042" w14:paraId="6F4783BD" w14:textId="77777777" w:rsidTr="00C10D7C">
        <w:trPr>
          <w:jc w:val="center"/>
        </w:trPr>
        <w:tc>
          <w:tcPr>
            <w:tcW w:w="1276" w:type="dxa"/>
            <w:vAlign w:val="center"/>
          </w:tcPr>
          <w:p w14:paraId="5C3ED596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Butanol</w:t>
            </w:r>
          </w:p>
        </w:tc>
        <w:tc>
          <w:tcPr>
            <w:tcW w:w="1276" w:type="dxa"/>
            <w:vAlign w:val="center"/>
          </w:tcPr>
          <w:p w14:paraId="7194B421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2.59</w:t>
            </w:r>
          </w:p>
        </w:tc>
        <w:tc>
          <w:tcPr>
            <w:tcW w:w="1984" w:type="dxa"/>
          </w:tcPr>
          <w:p w14:paraId="70CF5D15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572" w:type="dxa"/>
            <w:vAlign w:val="center"/>
          </w:tcPr>
          <w:p w14:paraId="5E32DBA6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Valeric acid</w:t>
            </w:r>
          </w:p>
        </w:tc>
        <w:tc>
          <w:tcPr>
            <w:tcW w:w="1263" w:type="dxa"/>
            <w:vAlign w:val="center"/>
          </w:tcPr>
          <w:p w14:paraId="6021543B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2.04</w:t>
            </w:r>
          </w:p>
        </w:tc>
        <w:tc>
          <w:tcPr>
            <w:tcW w:w="1985" w:type="dxa"/>
          </w:tcPr>
          <w:p w14:paraId="79A94EF8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</w:tr>
      <w:tr w:rsidR="00826042" w14:paraId="1DB13D3E" w14:textId="77777777" w:rsidTr="00C10D7C">
        <w:trPr>
          <w:jc w:val="center"/>
        </w:trPr>
        <w:tc>
          <w:tcPr>
            <w:tcW w:w="1276" w:type="dxa"/>
            <w:vAlign w:val="center"/>
          </w:tcPr>
          <w:p w14:paraId="2595EF6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Pentanol</w:t>
            </w:r>
          </w:p>
        </w:tc>
        <w:tc>
          <w:tcPr>
            <w:tcW w:w="1276" w:type="dxa"/>
            <w:vAlign w:val="center"/>
          </w:tcPr>
          <w:p w14:paraId="040E4B77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2.73</w:t>
            </w:r>
          </w:p>
        </w:tc>
        <w:tc>
          <w:tcPr>
            <w:tcW w:w="1984" w:type="dxa"/>
          </w:tcPr>
          <w:p w14:paraId="3371D02D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572" w:type="dxa"/>
            <w:vAlign w:val="center"/>
          </w:tcPr>
          <w:p w14:paraId="304C0DD0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Caproic acid</w:t>
            </w:r>
          </w:p>
        </w:tc>
        <w:tc>
          <w:tcPr>
            <w:tcW w:w="1263" w:type="dxa"/>
            <w:vAlign w:val="center"/>
          </w:tcPr>
          <w:p w14:paraId="70BAB8A1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2.21</w:t>
            </w:r>
          </w:p>
        </w:tc>
        <w:tc>
          <w:tcPr>
            <w:tcW w:w="1985" w:type="dxa"/>
          </w:tcPr>
          <w:p w14:paraId="4649F10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826042" w14:paraId="06FAA14A" w14:textId="77777777" w:rsidTr="00C10D7C">
        <w:trPr>
          <w:jc w:val="center"/>
        </w:trPr>
        <w:tc>
          <w:tcPr>
            <w:tcW w:w="1276" w:type="dxa"/>
            <w:vAlign w:val="center"/>
          </w:tcPr>
          <w:p w14:paraId="33872BD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Hexanol</w:t>
            </w:r>
          </w:p>
        </w:tc>
        <w:tc>
          <w:tcPr>
            <w:tcW w:w="1276" w:type="dxa"/>
            <w:vAlign w:val="center"/>
          </w:tcPr>
          <w:p w14:paraId="63AAD444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2.82</w:t>
            </w:r>
          </w:p>
        </w:tc>
        <w:tc>
          <w:tcPr>
            <w:tcW w:w="1984" w:type="dxa"/>
          </w:tcPr>
          <w:p w14:paraId="2B9E0EC5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572" w:type="dxa"/>
            <w:vAlign w:val="center"/>
          </w:tcPr>
          <w:p w14:paraId="69A95BC7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Heptanoic acid</w:t>
            </w:r>
          </w:p>
        </w:tc>
        <w:tc>
          <w:tcPr>
            <w:tcW w:w="1263" w:type="dxa"/>
            <w:vAlign w:val="center"/>
          </w:tcPr>
          <w:p w14:paraId="2132D4A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2.34</w:t>
            </w:r>
          </w:p>
        </w:tc>
        <w:tc>
          <w:tcPr>
            <w:tcW w:w="1985" w:type="dxa"/>
          </w:tcPr>
          <w:p w14:paraId="36160CED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8</w:t>
            </w:r>
          </w:p>
        </w:tc>
      </w:tr>
      <w:tr w:rsidR="00826042" w14:paraId="3CBD4265" w14:textId="77777777" w:rsidTr="00C10D7C">
        <w:trPr>
          <w:jc w:val="center"/>
        </w:trPr>
        <w:tc>
          <w:tcPr>
            <w:tcW w:w="1276" w:type="dxa"/>
            <w:vAlign w:val="center"/>
          </w:tcPr>
          <w:p w14:paraId="580A4868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Acetic acid</w:t>
            </w:r>
          </w:p>
        </w:tc>
        <w:tc>
          <w:tcPr>
            <w:tcW w:w="1276" w:type="dxa"/>
            <w:vAlign w:val="center"/>
          </w:tcPr>
          <w:p w14:paraId="1D88A44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1.07</w:t>
            </w:r>
          </w:p>
        </w:tc>
        <w:tc>
          <w:tcPr>
            <w:tcW w:w="1984" w:type="dxa"/>
          </w:tcPr>
          <w:p w14:paraId="1E134A94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1572" w:type="dxa"/>
            <w:vAlign w:val="center"/>
          </w:tcPr>
          <w:p w14:paraId="6520E33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Caprylic acid</w:t>
            </w:r>
          </w:p>
        </w:tc>
        <w:tc>
          <w:tcPr>
            <w:tcW w:w="1263" w:type="dxa"/>
            <w:vAlign w:val="center"/>
          </w:tcPr>
          <w:p w14:paraId="39BA5BF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2.44</w:t>
            </w:r>
          </w:p>
        </w:tc>
        <w:tc>
          <w:tcPr>
            <w:tcW w:w="1985" w:type="dxa"/>
          </w:tcPr>
          <w:p w14:paraId="3D673DDE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</w:tbl>
    <w:p w14:paraId="43A8E0E0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C7D674" w14:textId="77D7A8F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specificities of primary products are calculated using </w:t>
      </w:r>
      <w:r w:rsidR="00F019C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equation:</w:t>
      </w:r>
    </w:p>
    <w:p w14:paraId="4D7AFB41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2409">
        <w:rPr>
          <w:rFonts w:ascii="Times New Roman" w:hAnsi="Times New Roman" w:cs="Times New Roman"/>
          <w:position w:val="-60"/>
          <w:sz w:val="24"/>
          <w:szCs w:val="24"/>
        </w:rPr>
        <w:object w:dxaOrig="4480" w:dyaOrig="980" w14:anchorId="56511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48.75pt" o:ole="">
            <v:imagedata r:id="rId8" o:title=""/>
          </v:shape>
          <o:OLEObject Type="Embed" ProgID="Equation.DSMT4" ShapeID="_x0000_i1025" DrawAspect="Content" ObjectID="_1758457069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(1)</w:t>
      </w:r>
    </w:p>
    <w:p w14:paraId="0205C1A9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733E3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33E3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finial concentration (COD g/L) of compound </w:t>
      </w:r>
      <w:proofErr w:type="spellStart"/>
      <w:r w:rsidRPr="00733E3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E32A17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D288F3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investigate the carbon and electron flow under different pH, the </w:t>
      </w:r>
      <w:r w:rsidRPr="0032389D">
        <w:rPr>
          <w:rFonts w:ascii="Times New Roman" w:hAnsi="Times New Roman" w:cs="Times New Roman"/>
          <w:sz w:val="24"/>
          <w:szCs w:val="24"/>
        </w:rPr>
        <w:t xml:space="preserve">selectivity of each compound at pH </w:t>
      </w: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Pr="0032389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10</w:t>
      </w:r>
      <w:r w:rsidRPr="003238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calculated </w:t>
      </w:r>
      <w:r w:rsidRPr="0032389D">
        <w:rPr>
          <w:rFonts w:ascii="Times New Roman" w:hAnsi="Times New Roman" w:cs="Times New Roman"/>
          <w:sz w:val="24"/>
          <w:szCs w:val="24"/>
        </w:rPr>
        <w:t xml:space="preserve">based on the carbon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32389D">
        <w:rPr>
          <w:rFonts w:ascii="Times New Roman" w:hAnsi="Times New Roman" w:cs="Times New Roman"/>
          <w:sz w:val="24"/>
          <w:szCs w:val="24"/>
        </w:rPr>
        <w:t>electron.</w:t>
      </w:r>
      <w:r>
        <w:rPr>
          <w:rFonts w:ascii="Times New Roman" w:hAnsi="Times New Roman" w:cs="Times New Roman"/>
          <w:sz w:val="24"/>
          <w:szCs w:val="24"/>
        </w:rPr>
        <w:t xml:space="preserve"> Notably, the corresponding product concentrations in the controls were indicated as the utilized substrate stemming from algae for chain elongation and alcohol production. </w:t>
      </w:r>
      <w:r w:rsidRPr="00F510D4">
        <w:rPr>
          <w:rFonts w:ascii="Times New Roman" w:hAnsi="Times New Roman" w:cs="Times New Roman"/>
          <w:sz w:val="24"/>
          <w:szCs w:val="24"/>
        </w:rPr>
        <w:t>Selectivity is defined as product produced relative to substrates consumed on an electron</w:t>
      </w:r>
      <w:r>
        <w:rPr>
          <w:rFonts w:ascii="Times New Roman" w:hAnsi="Times New Roman" w:cs="Times New Roman"/>
          <w:sz w:val="24"/>
          <w:szCs w:val="24"/>
        </w:rPr>
        <w:t xml:space="preserve"> or carbon</w:t>
      </w:r>
      <w:r w:rsidRPr="00F510D4">
        <w:rPr>
          <w:rFonts w:ascii="Times New Roman" w:hAnsi="Times New Roman" w:cs="Times New Roman"/>
          <w:sz w:val="24"/>
          <w:szCs w:val="24"/>
        </w:rPr>
        <w:t xml:space="preserve"> basis </w:t>
      </w:r>
      <w:r>
        <w:rPr>
          <w:rFonts w:ascii="Times New Roman" w:hAnsi="Times New Roman" w:cs="Times New Roman"/>
          <w:sz w:val="24"/>
          <w:szCs w:val="24"/>
        </w:rPr>
        <w:t>and is calculated by following equations:</w:t>
      </w:r>
    </w:p>
    <w:p w14:paraId="11DCC5E5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E12">
        <w:rPr>
          <w:rFonts w:ascii="Times New Roman" w:hAnsi="Times New Roman" w:cs="Times New Roman"/>
          <w:position w:val="-14"/>
          <w:sz w:val="24"/>
          <w:szCs w:val="24"/>
        </w:rPr>
        <w:object w:dxaOrig="1860" w:dyaOrig="380" w14:anchorId="013990F0">
          <v:shape id="_x0000_i1026" type="#_x0000_t75" style="width:93pt;height:18.75pt" o:ole="">
            <v:imagedata r:id="rId10" o:title=""/>
          </v:shape>
          <o:OLEObject Type="Embed" ProgID="Equation.DSMT4" ShapeID="_x0000_i1026" DrawAspect="Content" ObjectID="_1758457070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(2)</w:t>
      </w:r>
    </w:p>
    <w:p w14:paraId="5DA0A028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2DC">
        <w:rPr>
          <w:rFonts w:ascii="Times New Roman" w:hAnsi="Times New Roman" w:cs="Times New Roman"/>
          <w:position w:val="-60"/>
          <w:sz w:val="24"/>
          <w:szCs w:val="24"/>
        </w:rPr>
        <w:object w:dxaOrig="3159" w:dyaOrig="980" w14:anchorId="1879ED2E">
          <v:shape id="_x0000_i1027" type="#_x0000_t75" style="width:158.25pt;height:48.75pt" o:ole="">
            <v:imagedata r:id="rId12" o:title=""/>
          </v:shape>
          <o:OLEObject Type="Embed" ProgID="Equation.DSMT4" ShapeID="_x0000_i1027" DrawAspect="Content" ObjectID="_1758457071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(3)</w:t>
      </w:r>
    </w:p>
    <w:p w14:paraId="762D00AF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2DC">
        <w:rPr>
          <w:rFonts w:ascii="Times New Roman" w:hAnsi="Times New Roman" w:cs="Times New Roman"/>
          <w:position w:val="-60"/>
          <w:sz w:val="24"/>
          <w:szCs w:val="24"/>
        </w:rPr>
        <w:object w:dxaOrig="3100" w:dyaOrig="980" w14:anchorId="188CB4B6">
          <v:shape id="_x0000_i1028" type="#_x0000_t75" style="width:155.25pt;height:48.75pt" o:ole="">
            <v:imagedata r:id="rId14" o:title=""/>
          </v:shape>
          <o:OLEObject Type="Embed" ProgID="Equation.DSMT4" ShapeID="_x0000_i1028" DrawAspect="Content" ObjectID="_1758457072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(4)</w:t>
      </w:r>
    </w:p>
    <w:p w14:paraId="378037D4" w14:textId="77777777" w:rsidR="00826042" w:rsidRPr="009C4CF7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9C4CF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C4C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initial</w:t>
      </w:r>
      <w:proofErr w:type="spellEnd"/>
      <w:r w:rsidRPr="009C4C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concentration of utilized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(mmol </w:t>
      </w:r>
      <w:r w:rsidRPr="00CC5A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C5A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/L) which is transformed from microalgae biomass, i.e., the concentration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controls. </w:t>
      </w:r>
      <w:proofErr w:type="spellStart"/>
      <w:r w:rsidRPr="009C4CF7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final</w:t>
      </w:r>
      <w:proofErr w:type="spellEnd"/>
      <w:r w:rsidRPr="009C4C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final concentration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fermentation broth (mmol </w:t>
      </w:r>
      <w:r w:rsidRPr="00CC5A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C5A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/L). </w:t>
      </w:r>
      <w:proofErr w:type="spellStart"/>
      <w:r w:rsidRPr="00B775A0">
        <w:rPr>
          <w:rFonts w:ascii="Times New Roman" w:hAnsi="Times New Roman" w:cs="Times New Roman"/>
          <w:sz w:val="24"/>
          <w:szCs w:val="24"/>
        </w:rPr>
        <w:t>Δ</w:t>
      </w:r>
      <w:r w:rsidRPr="00B775A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775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775A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B775A0">
        <w:rPr>
          <w:rFonts w:ascii="Times New Roman" w:hAnsi="Times New Roman" w:cs="Times New Roman"/>
          <w:sz w:val="24"/>
          <w:szCs w:val="24"/>
        </w:rPr>
        <w:t>oncentration change</w:t>
      </w:r>
      <w:r>
        <w:rPr>
          <w:rFonts w:ascii="Times New Roman" w:hAnsi="Times New Roman" w:cs="Times New Roman"/>
          <w:sz w:val="24"/>
          <w:szCs w:val="24"/>
        </w:rPr>
        <w:t>s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(mmol </w:t>
      </w:r>
      <w:r w:rsidRPr="00CC5A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C5A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/L). Similarity, </w:t>
      </w:r>
      <w:proofErr w:type="spellStart"/>
      <w:r w:rsidRPr="00B775A0">
        <w:rPr>
          <w:rFonts w:ascii="Times New Roman" w:hAnsi="Times New Roman" w:cs="Times New Roman"/>
          <w:sz w:val="24"/>
          <w:szCs w:val="24"/>
        </w:rPr>
        <w:t>Δ</w:t>
      </w:r>
      <w:r w:rsidRPr="00B775A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775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775A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B775A0">
        <w:rPr>
          <w:rFonts w:ascii="Times New Roman" w:hAnsi="Times New Roman" w:cs="Times New Roman"/>
          <w:sz w:val="24"/>
          <w:szCs w:val="24"/>
        </w:rPr>
        <w:t>oncentration change</w:t>
      </w:r>
      <w:r>
        <w:rPr>
          <w:rFonts w:ascii="Times New Roman" w:hAnsi="Times New Roman" w:cs="Times New Roman"/>
          <w:sz w:val="24"/>
          <w:szCs w:val="24"/>
        </w:rPr>
        <w:t>s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(mmol </w:t>
      </w:r>
      <w:r w:rsidRPr="003A5A4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/L).</w:t>
      </w:r>
    </w:p>
    <w:p w14:paraId="4CEA9C67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7EF3D5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roles of ethanol were indicated by calculating the transfer efficiency from ethanol to corresponding products according to the previous study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{"citationID":"fUQuiCAR","properties":{"formattedCitation":"[18]","plainCitation":"[18]","noteIndex":0},"citationItems":[{"id":296,"uris":["http://zotero.org/users/9752753/items/G4DMWG3D"],"itemData":{"id":296,"type":"article-journal","container-title":"Environmental Science and Technology","DOI":"10.1021/acs.est.7b04904","issue":"3","page":"1496-1506","title":"Controlling Ethanol Use in Chain Elongation by CO2 Loading Rate","volume":"52","author":[{"family":"Roghair","given":"M."},{"family":"Hoogstad","given":"T."},{"family":"Strik","given":"D. P. B. T. B."},{"family":"Plugge","given":"C. M."},{"family":"Timmers","given":"P. H. A."},{"family":"Weusthuis","given":"R. A."},{"family":"Bruins","given":"M. E."},{"family":"Buisman","given":"C. J. N."}],"issued":{"date-parts":[["2018"]]}}}],"schema":"https://github.com/citation-style-language/schema/raw/master/csl-citation.json"}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96683">
        <w:rPr>
          <w:rFonts w:ascii="Times New Roman" w:hAnsi="Times New Roman" w:cs="Times New Roman"/>
          <w:sz w:val="24"/>
        </w:rPr>
        <w:t>[18]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Ethanol was used to 1) produce acetate via RBO, 2) perform chain elongation as electron donor via RBO, 3) conduct </w:t>
      </w:r>
      <w:r w:rsidRPr="00EF68B3">
        <w:rPr>
          <w:rFonts w:ascii="Times New Roman" w:hAnsi="Times New Roman" w:cs="Times New Roman"/>
          <w:sz w:val="24"/>
          <w:szCs w:val="24"/>
        </w:rPr>
        <w:t>excessive ethanol oxidation</w:t>
      </w:r>
      <w:r>
        <w:rPr>
          <w:rFonts w:ascii="Times New Roman" w:hAnsi="Times New Roman" w:cs="Times New Roman"/>
          <w:sz w:val="24"/>
          <w:szCs w:val="24"/>
        </w:rPr>
        <w:t xml:space="preserve"> (EEO) and 4) provide r</w:t>
      </w:r>
      <w:r w:rsidRPr="0033293B">
        <w:rPr>
          <w:rFonts w:ascii="Times New Roman" w:hAnsi="Times New Roman" w:cs="Times New Roman"/>
          <w:sz w:val="24"/>
          <w:szCs w:val="24"/>
        </w:rPr>
        <w:t>educing power</w:t>
      </w:r>
      <w:r>
        <w:rPr>
          <w:rFonts w:ascii="Times New Roman" w:hAnsi="Times New Roman" w:cs="Times New Roman"/>
          <w:sz w:val="24"/>
          <w:szCs w:val="24"/>
        </w:rPr>
        <w:t xml:space="preserve"> to transform </w:t>
      </w:r>
      <w:r w:rsidRPr="009866BC">
        <w:rPr>
          <w:rFonts w:ascii="Times New Roman" w:hAnsi="Times New Roman" w:cs="Times New Roman"/>
          <w:sz w:val="24"/>
          <w:szCs w:val="24"/>
        </w:rPr>
        <w:t>carboxylic acid</w:t>
      </w:r>
      <w:r>
        <w:rPr>
          <w:rFonts w:ascii="Times New Roman" w:hAnsi="Times New Roman" w:cs="Times New Roman"/>
          <w:sz w:val="24"/>
          <w:szCs w:val="24"/>
        </w:rPr>
        <w:t xml:space="preserve"> into corresponding alcohols.</w:t>
      </w:r>
    </w:p>
    <w:p w14:paraId="54012B71" w14:textId="77777777" w:rsidR="00886A55" w:rsidRDefault="00886A55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5D191C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ethanol consumption (mmol/L):</w:t>
      </w:r>
    </w:p>
    <w:p w14:paraId="2298FBC6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F38">
        <w:rPr>
          <w:rFonts w:ascii="Times New Roman" w:hAnsi="Times New Roman" w:cs="Times New Roman"/>
          <w:position w:val="-14"/>
          <w:sz w:val="24"/>
          <w:szCs w:val="24"/>
        </w:rPr>
        <w:object w:dxaOrig="1180" w:dyaOrig="380" w14:anchorId="68FD7588">
          <v:shape id="_x0000_i1029" type="#_x0000_t75" style="width:59.25pt;height:18.75pt" o:ole="">
            <v:imagedata r:id="rId16" o:title=""/>
          </v:shape>
          <o:OLEObject Type="Embed" ProgID="Equation.DSMT4" ShapeID="_x0000_i1029" DrawAspect="Content" ObjectID="_1758457073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(5)</w:t>
      </w:r>
    </w:p>
    <w:p w14:paraId="61FFA209" w14:textId="77777777" w:rsidR="00826042" w:rsidRPr="00E34394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394">
        <w:rPr>
          <w:rFonts w:ascii="Times New Roman" w:hAnsi="Times New Roman" w:cs="Times New Roman"/>
          <w:sz w:val="24"/>
          <w:szCs w:val="24"/>
        </w:rPr>
        <w:t>Ethanol used for chain elongation</w:t>
      </w:r>
      <w:r>
        <w:rPr>
          <w:rFonts w:ascii="Times New Roman" w:hAnsi="Times New Roman" w:cs="Times New Roman"/>
          <w:sz w:val="24"/>
          <w:szCs w:val="24"/>
        </w:rPr>
        <w:t xml:space="preserve"> (mmol/L)</w:t>
      </w:r>
      <w:r w:rsidRPr="00E34394">
        <w:rPr>
          <w:rFonts w:ascii="Times New Roman" w:hAnsi="Times New Roman" w:cs="Times New Roman"/>
          <w:sz w:val="24"/>
          <w:szCs w:val="24"/>
        </w:rPr>
        <w:t>:</w:t>
      </w:r>
    </w:p>
    <w:p w14:paraId="26F81B92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E42">
        <w:rPr>
          <w:rFonts w:ascii="Times New Roman" w:hAnsi="Times New Roman" w:cs="Times New Roman"/>
          <w:position w:val="-14"/>
          <w:sz w:val="24"/>
          <w:szCs w:val="24"/>
        </w:rPr>
        <w:object w:dxaOrig="5179" w:dyaOrig="380" w14:anchorId="5E92C892">
          <v:shape id="_x0000_i1030" type="#_x0000_t75" style="width:258.75pt;height:18.75pt" o:ole="">
            <v:imagedata r:id="rId18" o:title=""/>
          </v:shape>
          <o:OLEObject Type="Embed" ProgID="Equation.DSMT4" ShapeID="_x0000_i1030" DrawAspect="Content" ObjectID="_1758457074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(6)</w:t>
      </w:r>
    </w:p>
    <w:p w14:paraId="174683E3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thanol used for alcohol production (mmol/L):</w:t>
      </w:r>
    </w:p>
    <w:p w14:paraId="073E58C3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E42">
        <w:rPr>
          <w:rFonts w:ascii="Times New Roman" w:hAnsi="Times New Roman" w:cs="Times New Roman"/>
          <w:position w:val="-14"/>
          <w:sz w:val="24"/>
          <w:szCs w:val="24"/>
        </w:rPr>
        <w:object w:dxaOrig="4700" w:dyaOrig="380" w14:anchorId="4025693F">
          <v:shape id="_x0000_i1031" type="#_x0000_t75" style="width:234.75pt;height:18.75pt" o:ole="">
            <v:imagedata r:id="rId20" o:title=""/>
          </v:shape>
          <o:OLEObject Type="Embed" ProgID="Equation.DSMT4" ShapeID="_x0000_i1031" DrawAspect="Content" ObjectID="_1758457075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(7)</w:t>
      </w:r>
    </w:p>
    <w:p w14:paraId="7DDFD447" w14:textId="77777777" w:rsidR="00826042" w:rsidRPr="0025186B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Ethanol used for producing acetate via RBO (mmol/L):</w:t>
      </w:r>
    </w:p>
    <w:p w14:paraId="0EDFA4C7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04F">
        <w:rPr>
          <w:rFonts w:ascii="Times New Roman" w:hAnsi="Times New Roman" w:cs="Times New Roman"/>
          <w:position w:val="-12"/>
          <w:sz w:val="24"/>
          <w:szCs w:val="24"/>
        </w:rPr>
        <w:object w:dxaOrig="1180" w:dyaOrig="360" w14:anchorId="7643786A">
          <v:shape id="_x0000_i1032" type="#_x0000_t75" style="width:59.25pt;height:18pt" o:ole="">
            <v:imagedata r:id="rId22" o:title=""/>
          </v:shape>
          <o:OLEObject Type="Embed" ProgID="Equation.DSMT4" ShapeID="_x0000_i1032" DrawAspect="Content" ObjectID="_1758457076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(8)</w:t>
      </w:r>
    </w:p>
    <w:p w14:paraId="34C118DF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DB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156F753E">
          <v:shape id="_x0000_i1033" type="#_x0000_t75" style="width:138pt;height:18pt" o:ole="">
            <v:imagedata r:id="rId24" o:title=""/>
          </v:shape>
          <o:OLEObject Type="Embed" ProgID="Equation.DSMT4" ShapeID="_x0000_i1033" DrawAspect="Content" ObjectID="_1758457077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(9)</w:t>
      </w:r>
    </w:p>
    <w:p w14:paraId="29E5D068" w14:textId="77777777" w:rsidR="00886A55" w:rsidRDefault="00886A55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E3EDCA" w14:textId="4D615424" w:rsidR="00826042" w:rsidRPr="00846C83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F4B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F4B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 the final concentration of ethanol in the fermentation broth (mmol/L). </w:t>
      </w:r>
      <w:r w:rsidRPr="001F4B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F4B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1F4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initial concentration of ethanol that added in the reactors (mmol/L). </w:t>
      </w:r>
      <w:proofErr w:type="spellStart"/>
      <w:r w:rsidRPr="00B775A0">
        <w:rPr>
          <w:rFonts w:ascii="Times New Roman" w:hAnsi="Times New Roman" w:cs="Times New Roman"/>
          <w:sz w:val="24"/>
          <w:szCs w:val="24"/>
        </w:rPr>
        <w:t>Δ</w:t>
      </w:r>
      <w:r w:rsidRPr="00B775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775A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B775A0">
        <w:rPr>
          <w:rFonts w:ascii="Times New Roman" w:hAnsi="Times New Roman" w:cs="Times New Roman"/>
          <w:sz w:val="24"/>
          <w:szCs w:val="24"/>
        </w:rPr>
        <w:t>oncentration change</w:t>
      </w:r>
      <w:r>
        <w:rPr>
          <w:rFonts w:ascii="Times New Roman" w:hAnsi="Times New Roman" w:cs="Times New Roman"/>
          <w:sz w:val="24"/>
          <w:szCs w:val="24"/>
        </w:rPr>
        <w:t>s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(mmol/L).</w:t>
      </w:r>
    </w:p>
    <w:p w14:paraId="392642DD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BDFE218" w14:textId="3522221F" w:rsidR="00826042" w:rsidRPr="00123F58" w:rsidRDefault="00826042" w:rsidP="00826042">
      <w:pPr>
        <w:adjustRightInd w:val="0"/>
        <w:snapToGrid w:val="0"/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27280391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S2 </w:t>
      </w:r>
      <w:r w:rsidRPr="00123F58">
        <w:rPr>
          <w:rFonts w:ascii="Times New Roman" w:hAnsi="Times New Roman" w:cs="Times New Roman"/>
          <w:b/>
          <w:bCs/>
          <w:sz w:val="24"/>
          <w:szCs w:val="24"/>
        </w:rPr>
        <w:t>The calculation of undissociated MCCA concentrations in E5 and E7 groups</w:t>
      </w:r>
      <w:bookmarkEnd w:id="2"/>
    </w:p>
    <w:p w14:paraId="26F162F9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7D4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any organic acid, there is a chemical </w:t>
      </w:r>
      <w:r w:rsidRPr="00777D4F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reaction in the </w:t>
      </w:r>
      <w:r w:rsidRPr="008E55DA">
        <w:rPr>
          <w:rFonts w:ascii="Times New Roman" w:hAnsi="Times New Roman" w:cs="Times New Roman"/>
          <w:sz w:val="24"/>
          <w:szCs w:val="24"/>
        </w:rPr>
        <w:t>aqueous 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6EC366" w14:textId="77777777" w:rsidR="00826042" w:rsidRPr="00747B06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HA⇌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14:paraId="554AEAD5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</w:t>
      </w:r>
      <w:r w:rsidRPr="00F83EDB">
        <w:rPr>
          <w:rFonts w:ascii="Times New Roman" w:hAnsi="Times New Roman" w:cs="Times New Roman"/>
          <w:sz w:val="24"/>
          <w:szCs w:val="24"/>
        </w:rPr>
        <w:t>dissociation constant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361FD1DC" w14:textId="77777777" w:rsidR="00826042" w:rsidRPr="00685DA4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5DA4">
        <w:rPr>
          <w:rFonts w:ascii="Times New Roman" w:hAnsi="Times New Roman" w:cs="Times New Roman"/>
          <w:position w:val="-28"/>
          <w:sz w:val="24"/>
          <w:szCs w:val="24"/>
        </w:rPr>
        <w:object w:dxaOrig="2240" w:dyaOrig="700" w14:anchorId="6FF19361">
          <v:shape id="_x0000_i1034" type="#_x0000_t75" style="width:111.75pt;height:35.25pt" o:ole="">
            <v:imagedata r:id="rId26" o:title=""/>
          </v:shape>
          <o:OLEObject Type="Embed" ProgID="Equation.DSMT4" ShapeID="_x0000_i1034" DrawAspect="Content" ObjectID="_1758457078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(10)</w:t>
      </w:r>
    </w:p>
    <w:p w14:paraId="7DC2AEA6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30B30C51" w14:textId="77777777" w:rsidR="00826042" w:rsidRPr="000D3F48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072">
        <w:rPr>
          <w:rFonts w:ascii="Times New Roman" w:hAnsi="Times New Roman" w:cs="Times New Roman"/>
          <w:position w:val="-24"/>
          <w:sz w:val="24"/>
          <w:szCs w:val="24"/>
        </w:rPr>
        <w:object w:dxaOrig="1660" w:dyaOrig="660" w14:anchorId="21AFD17F">
          <v:shape id="_x0000_i1035" type="#_x0000_t75" style="width:83.25pt;height:33pt" o:ole="">
            <v:imagedata r:id="rId28" o:title=""/>
          </v:shape>
          <o:OLEObject Type="Embed" ProgID="Equation.DSMT4" ShapeID="_x0000_i1035" DrawAspect="Content" ObjectID="_1758457079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(11)</w:t>
      </w:r>
    </w:p>
    <w:p w14:paraId="2B028E30" w14:textId="28F9E155" w:rsidR="00E00B34" w:rsidRPr="00826042" w:rsidRDefault="00F1318F" w:rsidP="00826042">
      <w:pPr>
        <w:sectPr w:rsidR="00E00B34" w:rsidRPr="00826042" w:rsidSect="00BD43B7">
          <w:headerReference w:type="default" r:id="rId30"/>
          <w:footerReference w:type="default" r:id="rId31"/>
          <w:pgSz w:w="11906" w:h="16838"/>
          <w:pgMar w:top="1418" w:right="1418" w:bottom="1418" w:left="1418" w:header="851" w:footer="567" w:gutter="0"/>
          <w:lnNumType w:countBy="1" w:restart="continuous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E75315" w14:textId="030763FF" w:rsidR="00C75B9C" w:rsidRPr="00210262" w:rsidRDefault="00C75B9C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127280393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 S</w:t>
      </w:r>
      <w:r w:rsidR="0022148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10262">
        <w:rPr>
          <w:rFonts w:ascii="Times New Roman" w:hAnsi="Times New Roman" w:cs="Times New Roman"/>
          <w:sz w:val="24"/>
          <w:szCs w:val="24"/>
        </w:rPr>
        <w:t xml:space="preserve"> The </w:t>
      </w:r>
      <w:r w:rsidR="00E8307C" w:rsidRPr="00210262">
        <w:rPr>
          <w:rFonts w:ascii="Times New Roman" w:hAnsi="Times New Roman" w:cs="Times New Roman"/>
          <w:sz w:val="24"/>
          <w:szCs w:val="24"/>
        </w:rPr>
        <w:t xml:space="preserve">specificities </w:t>
      </w:r>
      <w:r w:rsidR="001D150E" w:rsidRPr="00210262">
        <w:rPr>
          <w:rFonts w:ascii="Times New Roman" w:hAnsi="Times New Roman" w:cs="Times New Roman"/>
          <w:sz w:val="24"/>
          <w:szCs w:val="24"/>
        </w:rPr>
        <w:t>of</w:t>
      </w:r>
      <w:r w:rsidR="00E8307C" w:rsidRPr="00210262">
        <w:rPr>
          <w:rFonts w:ascii="Times New Roman" w:hAnsi="Times New Roman" w:cs="Times New Roman"/>
          <w:sz w:val="24"/>
          <w:szCs w:val="24"/>
        </w:rPr>
        <w:t xml:space="preserve"> </w:t>
      </w:r>
      <w:r w:rsidR="001D150E" w:rsidRPr="00210262">
        <w:rPr>
          <w:rFonts w:ascii="Times New Roman" w:hAnsi="Times New Roman" w:cs="Times New Roman"/>
          <w:sz w:val="24"/>
          <w:szCs w:val="24"/>
        </w:rPr>
        <w:t xml:space="preserve">primary </w:t>
      </w:r>
      <w:r w:rsidR="00E8307C" w:rsidRPr="00210262">
        <w:rPr>
          <w:rFonts w:ascii="Times New Roman" w:hAnsi="Times New Roman" w:cs="Times New Roman"/>
          <w:sz w:val="24"/>
          <w:szCs w:val="24"/>
        </w:rPr>
        <w:t xml:space="preserve">products </w:t>
      </w:r>
      <w:r w:rsidR="00262FDD" w:rsidRPr="00210262">
        <w:rPr>
          <w:rFonts w:ascii="Times New Roman" w:hAnsi="Times New Roman" w:cs="Times New Roman"/>
          <w:sz w:val="24"/>
          <w:szCs w:val="24"/>
        </w:rPr>
        <w:t>(on a COD basis) for each group</w:t>
      </w:r>
      <w:bookmarkEnd w:id="3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32"/>
        <w:gridCol w:w="1259"/>
        <w:gridCol w:w="1259"/>
        <w:gridCol w:w="1259"/>
        <w:gridCol w:w="1259"/>
        <w:gridCol w:w="1259"/>
        <w:gridCol w:w="1259"/>
      </w:tblGrid>
      <w:tr w:rsidR="00050841" w:rsidRPr="00050841" w14:paraId="67A06F25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E5FA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Group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9A15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FDF4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64C2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3B94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7951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0357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E10</w:t>
            </w:r>
          </w:p>
        </w:tc>
      </w:tr>
      <w:tr w:rsidR="00050841" w:rsidRPr="00050841" w14:paraId="62F405C9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D8F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BB7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BDB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5.63%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AD6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865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2.67%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62E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CA9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1B52F4BC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D50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1B5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185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25.58%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BB4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B90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2A85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F62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28747433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9D8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E81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7BB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443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F44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432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FBB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6C564606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7E6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FFE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8E32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0.97%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761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DE5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1.01%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DAF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F94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7E96793A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529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13F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43.72%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66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09B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51.50%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FF4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2C2B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54.60%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649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87.43%</w:t>
            </w:r>
          </w:p>
        </w:tc>
      </w:tr>
      <w:tr w:rsidR="00050841" w:rsidRPr="00050841" w14:paraId="39A598D0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ADF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AFE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9.21%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226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239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20.09%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C905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A00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226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2.95%</w:t>
            </w:r>
          </w:p>
        </w:tc>
      </w:tr>
      <w:tr w:rsidR="00050841" w:rsidRPr="00050841" w14:paraId="226D6822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388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927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25.32%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EAD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50.61%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896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13.33%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31E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40.96%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544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18.85%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572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4.00%</w:t>
            </w:r>
          </w:p>
        </w:tc>
      </w:tr>
      <w:tr w:rsidR="00050841" w:rsidRPr="00050841" w14:paraId="168159CB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0A8A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19BB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16.62%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1FE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D72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11.15%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0B3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922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14.95%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B31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4.97%</w:t>
            </w:r>
          </w:p>
        </w:tc>
      </w:tr>
      <w:tr w:rsidR="00050841" w:rsidRPr="00050841" w14:paraId="5CEA5F5A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6B7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F8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5.04%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7D7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11.96%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40E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FBD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43.56%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8FD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1.82%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9075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0.60%</w:t>
            </w:r>
          </w:p>
        </w:tc>
      </w:tr>
      <w:tr w:rsidR="00050841" w:rsidRPr="00050841" w14:paraId="6605B993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F0F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E5F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F63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92B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590B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3C28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86F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5559BC4D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224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E56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61F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8B7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E75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0.25%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B45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6A2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3C1365D3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9B72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4439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0B07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EDE8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BF9A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6157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2A29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0.05%</w:t>
            </w:r>
          </w:p>
        </w:tc>
      </w:tr>
    </w:tbl>
    <w:p w14:paraId="7EDB92E0" w14:textId="77777777" w:rsidR="00C75B9C" w:rsidRDefault="00C75B9C">
      <w:pPr>
        <w:rPr>
          <w:rFonts w:ascii="Times New Roman" w:hAnsi="Times New Roman" w:cs="Times New Roman"/>
        </w:rPr>
      </w:pPr>
    </w:p>
    <w:p w14:paraId="4509950A" w14:textId="226B0640" w:rsidR="00C75B9C" w:rsidRDefault="00C75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A23E74" w14:textId="0FE59A80" w:rsidR="00322566" w:rsidRPr="00210262" w:rsidRDefault="00322566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27280394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="007330FF" w:rsidRPr="00210262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22148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330FF" w:rsidRPr="00210262">
        <w:rPr>
          <w:rFonts w:ascii="Times New Roman" w:hAnsi="Times New Roman" w:cs="Times New Roman"/>
          <w:sz w:val="24"/>
          <w:szCs w:val="24"/>
        </w:rPr>
        <w:t xml:space="preserve"> The selectivity of each compound at pH 5 based on the electron and </w:t>
      </w:r>
      <w:proofErr w:type="gramStart"/>
      <w:r w:rsidR="007330FF" w:rsidRPr="00210262">
        <w:rPr>
          <w:rFonts w:ascii="Times New Roman" w:hAnsi="Times New Roman" w:cs="Times New Roman"/>
          <w:sz w:val="24"/>
          <w:szCs w:val="24"/>
        </w:rPr>
        <w:t>carbon</w:t>
      </w:r>
      <w:bookmarkEnd w:id="4"/>
      <w:proofErr w:type="gram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24"/>
        <w:gridCol w:w="1428"/>
        <w:gridCol w:w="1428"/>
        <w:gridCol w:w="1428"/>
        <w:gridCol w:w="1589"/>
        <w:gridCol w:w="1589"/>
      </w:tblGrid>
      <w:tr w:rsidR="00974E12" w:rsidRPr="00974E12" w14:paraId="789A4AC5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44E63" w14:textId="30A67E7E" w:rsidR="00974E12" w:rsidRP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Compound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21DD0" w14:textId="77777777" w:rsidR="001B6B19" w:rsidRDefault="00974E12" w:rsidP="001B6B1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Initial con.</w:t>
            </w:r>
          </w:p>
          <w:p w14:paraId="35E0032F" w14:textId="70D66F0F" w:rsidR="00DE5692" w:rsidRPr="00974E12" w:rsidRDefault="00DE5692" w:rsidP="001B6B1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CC9A" w14:textId="77777777" w:rsid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Final con.</w:t>
            </w:r>
          </w:p>
          <w:p w14:paraId="6DE6E608" w14:textId="724E2462" w:rsidR="00DE5692" w:rsidRPr="00974E12" w:rsidRDefault="00DE569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F77F3" w14:textId="77777777" w:rsid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Δ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con.</w:t>
            </w:r>
          </w:p>
          <w:p w14:paraId="4E13B771" w14:textId="18D98C62" w:rsidR="00DE5692" w:rsidRPr="00974E12" w:rsidRDefault="00DE569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151AD" w14:textId="77777777" w:rsidR="00974E12" w:rsidRP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Selectivity mol </w:t>
            </w:r>
            <w:r w:rsidRPr="00974E12">
              <w:rPr>
                <w:rFonts w:ascii="Times New Roman" w:eastAsia="DengXian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e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- %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73BB4" w14:textId="77777777" w:rsidR="00974E12" w:rsidRP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C %</w:t>
            </w:r>
          </w:p>
        </w:tc>
      </w:tr>
      <w:tr w:rsidR="00044B73" w:rsidRPr="00974E12" w14:paraId="5682D27A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545D" w14:textId="616C156A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Ethanol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43BD" w14:textId="129FAE8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173.98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5DF" w14:textId="236AF0C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38.74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05EF" w14:textId="307D8688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-135.23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64F7" w14:textId="5C58D962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019F" w14:textId="0B776635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3D18A2A2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887B" w14:textId="2D48AB93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C1AE" w14:textId="3DD181AA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18BD" w14:textId="49E4608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3.39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CD0C" w14:textId="15675AD9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3.39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1CA7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3.52%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FD99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3.42%</w:t>
            </w:r>
          </w:p>
        </w:tc>
      </w:tr>
      <w:tr w:rsidR="00044B73" w:rsidRPr="00974E12" w14:paraId="3D7BEE1C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08B3" w14:textId="6A72BEDA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B1CB" w14:textId="19AD96D5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6879" w14:textId="18DD55F3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11.55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DEDA" w14:textId="22787A04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11.55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032C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16.01%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8EBD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15.57%</w:t>
            </w:r>
          </w:p>
        </w:tc>
      </w:tr>
      <w:tr w:rsidR="00044B73" w:rsidRPr="00974E12" w14:paraId="5361573D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6EFA" w14:textId="4D2AB678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5F9C" w14:textId="5410D88A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C7FF" w14:textId="1DDC5BAB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8A28" w14:textId="322F0FBE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F892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0.19%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349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0.18%</w:t>
            </w:r>
          </w:p>
        </w:tc>
      </w:tr>
      <w:tr w:rsidR="00044B73" w:rsidRPr="00974E12" w14:paraId="3BF72B80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9254" w14:textId="732EAB79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922E" w14:textId="0D435548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DD9A" w14:textId="53E87D9E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0.29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568D" w14:textId="2B692F2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0.29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57DB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0.61%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5754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0.59%</w:t>
            </w:r>
          </w:p>
        </w:tc>
      </w:tr>
      <w:tr w:rsidR="00044B73" w:rsidRPr="00974E12" w14:paraId="0B79F909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9C41" w14:textId="0DE70CEB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196B" w14:textId="78750630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12.71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F35E" w14:textId="65755849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2.07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1A4A" w14:textId="72B77CD6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-10.65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6B1C" w14:textId="1EE6FF4C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1664" w14:textId="238FA96B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191CF042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87BD" w14:textId="0DF13DD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43B6" w14:textId="33712F9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1.54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8617" w14:textId="4F3F247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C8D" w14:textId="49055881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-1.54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6227" w14:textId="169EFB5D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A3F59" w14:textId="4F7B3188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684D2E41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CCED" w14:textId="340AB256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555E" w14:textId="29FC4E67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2.95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FCF8" w14:textId="143ECB88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27.35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9FD1" w14:textId="19342A4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24.40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2FA14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28.17%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B35A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32.87%</w:t>
            </w:r>
          </w:p>
        </w:tc>
      </w:tr>
      <w:tr w:rsidR="00044B73" w:rsidRPr="00974E12" w14:paraId="0A90E51D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540B" w14:textId="55BA5D20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216E" w14:textId="1DE5B4C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1.49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677B" w14:textId="196A088D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1.39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B086" w14:textId="322728B6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-0.10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F287" w14:textId="56ACA3F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6E376" w14:textId="0418DDE2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58047D57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3956" w14:textId="5BFB2F1F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941A" w14:textId="0C1FE0B7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0.37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66AA" w14:textId="187F95DE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4.04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A99" w14:textId="67234263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3.67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83F5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6.78%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2692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7.42%</w:t>
            </w:r>
          </w:p>
        </w:tc>
      </w:tr>
      <w:tr w:rsidR="00044B73" w:rsidRPr="00974E12" w14:paraId="3F80BADF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4554" w14:textId="43F743B4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6F5E" w14:textId="7B3EAE7C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70C4" w14:textId="3E759A4C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06B6" w14:textId="4DD16E28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6988" w14:textId="3831587C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5229" w14:textId="54EEA0C6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</w:tr>
      <w:tr w:rsidR="00044B73" w:rsidRPr="00974E12" w14:paraId="091EB20F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DDE5" w14:textId="4943220D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EB7" w14:textId="00773DBA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11C3" w14:textId="6884FBAD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30EC" w14:textId="08D0CB5B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815D" w14:textId="39CB1155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8608" w14:textId="05F5BB4F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</w:tr>
      <w:tr w:rsidR="00FE789E" w:rsidRPr="00974E12" w14:paraId="0F1CEC84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920F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CH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3486" w14:textId="5D582D6E" w:rsidR="00FE789E" w:rsidRPr="00974E12" w:rsidRDefault="00AB15A9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C1E2" w14:textId="1AD3AB22" w:rsidR="00FE789E" w:rsidRPr="00974E12" w:rsidRDefault="00AB15A9" w:rsidP="00FE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E6B4" w14:textId="2879663F" w:rsidR="00FE789E" w:rsidRPr="00974E12" w:rsidRDefault="00AB15A9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3492" w14:textId="6EB23E3D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B32E" w14:textId="64E7D5F9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FE789E" w:rsidRPr="00974E12" w14:paraId="46AEE524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40B8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B899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0.58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92AF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0.34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19E5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-0.24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2343" w14:textId="486D4246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763D" w14:textId="4063BFC6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FE789E" w:rsidRPr="00974E12" w14:paraId="61A4A206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6DE5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BF89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0.21</w:t>
            </w:r>
          </w:p>
        </w:tc>
        <w:tc>
          <w:tcPr>
            <w:tcW w:w="1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C057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0.85</w:t>
            </w:r>
          </w:p>
        </w:tc>
        <w:tc>
          <w:tcPr>
            <w:tcW w:w="1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8DB7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0.64</w:t>
            </w: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8397" w14:textId="22944D60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718" w14:textId="7ED6866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FE789E" w:rsidRPr="00974E12" w14:paraId="0BD396C3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8A3C3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Unidentified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F32AE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7F196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BE00E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F6DBF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44.73%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2318D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39.95%</w:t>
            </w:r>
          </w:p>
        </w:tc>
      </w:tr>
    </w:tbl>
    <w:p w14:paraId="4BE93B4F" w14:textId="2292311B" w:rsidR="007330FF" w:rsidRDefault="007330FF">
      <w:pPr>
        <w:rPr>
          <w:rFonts w:ascii="Times New Roman" w:hAnsi="Times New Roman" w:cs="Times New Roman"/>
        </w:rPr>
      </w:pPr>
    </w:p>
    <w:p w14:paraId="5D72A083" w14:textId="77777777" w:rsidR="007330FF" w:rsidRDefault="00733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F0135F" w14:textId="2978ECBC" w:rsidR="007330FF" w:rsidRPr="00210262" w:rsidRDefault="00E407A3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27280395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 S</w:t>
      </w:r>
      <w:r w:rsidR="0022148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330FF" w:rsidRPr="00210262">
        <w:rPr>
          <w:rFonts w:ascii="Times New Roman" w:hAnsi="Times New Roman" w:cs="Times New Roman"/>
          <w:sz w:val="24"/>
          <w:szCs w:val="24"/>
        </w:rPr>
        <w:t xml:space="preserve"> The selectivity of each compound at pH 7 based on the electron and </w:t>
      </w:r>
      <w:proofErr w:type="gramStart"/>
      <w:r w:rsidR="007330FF" w:rsidRPr="00210262">
        <w:rPr>
          <w:rFonts w:ascii="Times New Roman" w:hAnsi="Times New Roman" w:cs="Times New Roman"/>
          <w:sz w:val="24"/>
          <w:szCs w:val="24"/>
        </w:rPr>
        <w:t>carbon</w:t>
      </w:r>
      <w:bookmarkEnd w:id="5"/>
      <w:proofErr w:type="gram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43"/>
        <w:gridCol w:w="1560"/>
        <w:gridCol w:w="1586"/>
        <w:gridCol w:w="1637"/>
        <w:gridCol w:w="1480"/>
        <w:gridCol w:w="1480"/>
      </w:tblGrid>
      <w:tr w:rsidR="00B450E3" w:rsidRPr="00547607" w14:paraId="43BA5A86" w14:textId="77777777" w:rsidTr="00637843">
        <w:trPr>
          <w:trHeight w:val="276"/>
          <w:jc w:val="center"/>
        </w:trPr>
        <w:tc>
          <w:tcPr>
            <w:tcW w:w="14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07964" w14:textId="792D400C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Compound</w:t>
            </w:r>
          </w:p>
        </w:tc>
        <w:tc>
          <w:tcPr>
            <w:tcW w:w="15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EB41B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Initial con.</w:t>
            </w:r>
          </w:p>
          <w:p w14:paraId="2C5DBC2F" w14:textId="78C06D3C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42817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Final con.</w:t>
            </w:r>
          </w:p>
          <w:p w14:paraId="23091C29" w14:textId="6272DFCE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6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62F2E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Δ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con.</w:t>
            </w:r>
          </w:p>
          <w:p w14:paraId="2F8A1681" w14:textId="349D0002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E22E3" w14:textId="77777777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e- %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D3800" w14:textId="77777777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C %</w:t>
            </w:r>
          </w:p>
        </w:tc>
      </w:tr>
      <w:tr w:rsidR="00192850" w:rsidRPr="00547607" w14:paraId="6480E698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B0B4" w14:textId="6B3BEF2C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Ethanol</w:t>
            </w:r>
          </w:p>
        </w:tc>
        <w:tc>
          <w:tcPr>
            <w:tcW w:w="152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C40E" w14:textId="6961F5A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173.98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1EAF" w14:textId="67958ECB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60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F1FF" w14:textId="75FDBB8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-173.98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195FB" w14:textId="61BABB81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AFEC" w14:textId="599D50F5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192850" w:rsidRPr="00547607" w14:paraId="52CBDA10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4AC8" w14:textId="1883CD62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B445" w14:textId="18E85DCF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9E33" w14:textId="4A7634B2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C9FF" w14:textId="60A3653A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E958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2.50%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A72B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2.40%</w:t>
            </w:r>
          </w:p>
        </w:tc>
      </w:tr>
      <w:tr w:rsidR="00192850" w:rsidRPr="00547607" w14:paraId="23C67BF8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6F8D" w14:textId="05D47994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68F6" w14:textId="78EDB36D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7F36" w14:textId="3D4383C3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E5EE" w14:textId="636A8833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8E7C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3.30%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1FA2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3.18%</w:t>
            </w:r>
          </w:p>
        </w:tc>
      </w:tr>
      <w:tr w:rsidR="00192850" w:rsidRPr="00547607" w14:paraId="335694C1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A513" w14:textId="5D6F4D43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846C" w14:textId="4A6E0AE9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F7C1" w14:textId="27C5A5D1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7CC1" w14:textId="4569E179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E98F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0.17%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C6B9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0.17%</w:t>
            </w:r>
          </w:p>
        </w:tc>
      </w:tr>
      <w:tr w:rsidR="00192850" w:rsidRPr="00547607" w14:paraId="65ED4DBD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9019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DCB5" w14:textId="38677D0E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EC7C" w14:textId="20ED8FF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3DFE" w14:textId="2541DC3F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0.60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172A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0.95%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4A3A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0.91%</w:t>
            </w:r>
          </w:p>
        </w:tc>
      </w:tr>
      <w:tr w:rsidR="00192850" w:rsidRPr="00547607" w14:paraId="470D1A83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2E1D" w14:textId="54E32F16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024D" w14:textId="44CCB5D6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22.66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0FCD" w14:textId="5960A2E4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1.45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FE6C" w14:textId="5A1DC2D7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-21.21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2BA2" w14:textId="4B733A13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BABF" w14:textId="5C09025F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192850" w:rsidRPr="00547607" w14:paraId="6BF6CB79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E75C" w14:textId="4935F70C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911C" w14:textId="260BEDCA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5.08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AD1A" w14:textId="5F510428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6E54" w14:textId="601DA3F9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-1.08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429D" w14:textId="636B1FB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606B" w14:textId="3C27DD6A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192850" w:rsidRPr="00547607" w14:paraId="37E66F0C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E2A8" w14:textId="38266ECE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310F" w14:textId="68F1FB3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2.35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C0D3" w14:textId="3D9BF877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43.54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3738" w14:textId="0E052E83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41.19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F44A6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36.25%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5DF6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41.86%</w:t>
            </w:r>
          </w:p>
        </w:tc>
      </w:tr>
      <w:tr w:rsidR="00192850" w:rsidRPr="00547607" w14:paraId="072FAD92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008B" w14:textId="7AE9A07D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E86" w14:textId="695C5DE1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1.51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6634" w14:textId="36A6F90D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A58B" w14:textId="189938E6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2.19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985E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2.50%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23F2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2.78%</w:t>
            </w:r>
          </w:p>
        </w:tc>
      </w:tr>
      <w:tr w:rsidR="00192850" w:rsidRPr="00547607" w14:paraId="3FC55F4F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656C" w14:textId="052D481E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C099" w14:textId="35B8733B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0.43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5154" w14:textId="4EEFCA05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28.93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A948" w14:textId="2C28BC9C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28.50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031C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40.13%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337F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43.44%</w:t>
            </w:r>
          </w:p>
        </w:tc>
      </w:tr>
      <w:tr w:rsidR="00192850" w:rsidRPr="00547607" w14:paraId="34A0CCD6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6412E" w14:textId="34A424BD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2F44" w14:textId="04AD3017" w:rsidR="00192850" w:rsidRPr="00192850" w:rsidRDefault="009D4A39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2E53" w14:textId="508DCAC2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1233" w14:textId="55081426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0585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94BD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</w:tr>
      <w:tr w:rsidR="00192850" w:rsidRPr="00547607" w14:paraId="0435E083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EDBC" w14:textId="721A6250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D6B" w14:textId="2CB98C26" w:rsidR="00192850" w:rsidRPr="00192850" w:rsidRDefault="009D4A39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CD96" w14:textId="34C7A68B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B38E" w14:textId="2520506F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340B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0.23%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3B3A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0.24%</w:t>
            </w:r>
          </w:p>
        </w:tc>
      </w:tr>
      <w:tr w:rsidR="00547607" w:rsidRPr="00547607" w14:paraId="3D86E7CA" w14:textId="77777777" w:rsidTr="00547607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BD29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CH</w:t>
            </w: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90E1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F06A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E2E9" w14:textId="1C1C83A1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B44D" w14:textId="4E3FF1E6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B587" w14:textId="21D60A0A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547607" w:rsidRPr="00547607" w14:paraId="38A2E791" w14:textId="77777777" w:rsidTr="00547607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11DC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</w:t>
            </w: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3131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0.66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D979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FEB66" w14:textId="74822539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65DF" w14:textId="4F102A9D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F03B" w14:textId="0369F69C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547607" w:rsidRPr="00547607" w14:paraId="3CFBBF6E" w14:textId="77777777" w:rsidTr="00637843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813D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D9A7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0.01</w:t>
            </w: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6A300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16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0DD7" w14:textId="395D7A42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DEF4" w14:textId="667AB084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F535" w14:textId="3C531138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637843" w:rsidRPr="00547607" w14:paraId="1E029C7D" w14:textId="77777777" w:rsidTr="00637843">
        <w:trPr>
          <w:trHeight w:val="276"/>
          <w:jc w:val="center"/>
        </w:trPr>
        <w:tc>
          <w:tcPr>
            <w:tcW w:w="15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58740" w14:textId="77777777" w:rsidR="00637843" w:rsidRPr="00547607" w:rsidRDefault="00637843" w:rsidP="0063784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Unidentified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0EBBC40" w14:textId="6862C8FD" w:rsidR="00637843" w:rsidRPr="00547607" w:rsidRDefault="00637843" w:rsidP="0063784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19C33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05CD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568EF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13.87%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75C09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4.92%</w:t>
            </w:r>
          </w:p>
        </w:tc>
      </w:tr>
    </w:tbl>
    <w:p w14:paraId="65FE1670" w14:textId="77777777" w:rsidR="00E407A3" w:rsidRDefault="00E407A3">
      <w:pPr>
        <w:rPr>
          <w:rFonts w:ascii="Times New Roman" w:hAnsi="Times New Roman" w:cs="Times New Roman"/>
        </w:rPr>
      </w:pPr>
    </w:p>
    <w:p w14:paraId="34E4F57A" w14:textId="77777777" w:rsidR="003B441B" w:rsidRDefault="003B441B">
      <w:pPr>
        <w:rPr>
          <w:rFonts w:ascii="Times New Roman" w:hAnsi="Times New Roman" w:cs="Times New Roman"/>
        </w:rPr>
      </w:pPr>
    </w:p>
    <w:p w14:paraId="6D78CB91" w14:textId="028DDF31" w:rsidR="003B441B" w:rsidRDefault="003B441B">
      <w:pPr>
        <w:rPr>
          <w:rFonts w:ascii="Times New Roman" w:hAnsi="Times New Roman" w:cs="Times New Roman"/>
        </w:rPr>
      </w:pPr>
    </w:p>
    <w:p w14:paraId="17B7FD6C" w14:textId="0881C892" w:rsidR="007330FF" w:rsidRDefault="007330FF">
      <w:pPr>
        <w:rPr>
          <w:rFonts w:ascii="Times New Roman" w:hAnsi="Times New Roman" w:cs="Times New Roman"/>
        </w:rPr>
      </w:pPr>
    </w:p>
    <w:p w14:paraId="75F83339" w14:textId="2DAA97C6" w:rsidR="007330FF" w:rsidRDefault="00733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CA3A3A" w14:textId="516CF811" w:rsidR="007330FF" w:rsidRPr="00210262" w:rsidRDefault="007330FF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27280396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 S</w:t>
      </w:r>
      <w:r w:rsidR="0022148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0262">
        <w:rPr>
          <w:rFonts w:ascii="Times New Roman" w:hAnsi="Times New Roman" w:cs="Times New Roman"/>
          <w:sz w:val="24"/>
          <w:szCs w:val="24"/>
        </w:rPr>
        <w:t xml:space="preserve">The selectivity of each compound at pH 10 based on the electron and </w:t>
      </w:r>
      <w:proofErr w:type="gramStart"/>
      <w:r w:rsidRPr="00210262">
        <w:rPr>
          <w:rFonts w:ascii="Times New Roman" w:hAnsi="Times New Roman" w:cs="Times New Roman"/>
          <w:sz w:val="24"/>
          <w:szCs w:val="24"/>
        </w:rPr>
        <w:t>carbon</w:t>
      </w:r>
      <w:bookmarkEnd w:id="6"/>
      <w:proofErr w:type="gram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5"/>
        <w:gridCol w:w="1573"/>
        <w:gridCol w:w="1560"/>
        <w:gridCol w:w="1560"/>
        <w:gridCol w:w="1504"/>
        <w:gridCol w:w="1504"/>
      </w:tblGrid>
      <w:tr w:rsidR="00B450E3" w:rsidRPr="002B1A7A" w14:paraId="407A9512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063E6" w14:textId="6F0FA7D5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Compound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F8CA7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Initial con.</w:t>
            </w:r>
          </w:p>
          <w:p w14:paraId="431547F2" w14:textId="4FA3B098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C453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Final con.</w:t>
            </w:r>
          </w:p>
          <w:p w14:paraId="2275DD24" w14:textId="3A65A9E6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C431B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Δ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con.</w:t>
            </w:r>
          </w:p>
          <w:p w14:paraId="1EB179D5" w14:textId="7FE72245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BAC5C" w14:textId="77777777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e- %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FFFF2" w14:textId="77777777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C %</w:t>
            </w:r>
          </w:p>
        </w:tc>
      </w:tr>
      <w:tr w:rsidR="00B450E3" w:rsidRPr="002B1A7A" w14:paraId="5E4ABE11" w14:textId="77777777" w:rsidTr="0019264A">
        <w:trPr>
          <w:trHeight w:val="276"/>
          <w:jc w:val="center"/>
        </w:trPr>
        <w:tc>
          <w:tcPr>
            <w:tcW w:w="15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5A92F" w14:textId="58537877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Ethanol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B28" w14:textId="2F927127" w:rsidR="00B450E3" w:rsidRPr="008D4428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173.98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2128" w14:textId="7DAE6CC4" w:rsidR="00B450E3" w:rsidRPr="008D4428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31.89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DB24" w14:textId="4CCC5519" w:rsidR="00B450E3" w:rsidRPr="008D4428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-142.09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9C539" w14:textId="11982503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110B" w14:textId="14D09000" w:rsidR="00B450E3" w:rsidRPr="002B1A7A" w:rsidRDefault="00B450E3" w:rsidP="00B45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25A96C6D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81AB" w14:textId="0411120F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D61C0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DA7D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E226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A5A5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C9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72D2C962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5FE5" w14:textId="6340CA7D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CD4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E4A7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9590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9D4D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8888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02A91758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97BC" w14:textId="226E38BB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C6C3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FAE9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8ED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B1E9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0F63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3F11876D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3E4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AD5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019A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5BB7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757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24FA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5B2BF2" w:rsidRPr="002B1A7A" w14:paraId="42FE7CD6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3D23" w14:textId="34E0B393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27B3" w14:textId="779B2516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20.49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02DF" w14:textId="65D6E209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96.93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2729" w14:textId="4542C6FD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76.45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3D5E" w14:textId="77777777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35.35%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0116" w14:textId="77777777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52.87%</w:t>
            </w:r>
          </w:p>
        </w:tc>
      </w:tr>
      <w:tr w:rsidR="005B2BF2" w:rsidRPr="002B1A7A" w14:paraId="75CA9A07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0166" w14:textId="1998E5C0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6FDC" w14:textId="6C366F48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2.08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218A" w14:textId="727C6364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8412" w14:textId="2EBCD974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-0.20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97AF" w14:textId="3FDCF0D8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D2B1" w14:textId="0192BAFB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5B2BF2" w:rsidRPr="002B1A7A" w14:paraId="2C3A6E5F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F48D" w14:textId="77D17260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C8B8" w14:textId="729FD613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2.84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32A8" w14:textId="73B3E211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1.78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1B97" w14:textId="03BF1C0E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-1.06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516A" w14:textId="48A84C84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1605" w14:textId="50D1C7E5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5B2BF2" w:rsidRPr="002B1A7A" w14:paraId="3CCE458F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00F6" w14:textId="45CA5B9A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E06" w14:textId="10F901AA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1.73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D228" w14:textId="0D8A32D2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1.70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2A8A" w14:textId="020E0ED5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-0.03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BA16" w14:textId="4CE1B829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28B" w14:textId="0B6A8C44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5B2BF2" w:rsidRPr="002B1A7A" w14:paraId="402D7679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4A7A" w14:textId="6131AB4E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07C2" w14:textId="0880EF62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0.17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645B" w14:textId="356E9767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0.17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F0D2" w14:textId="6646EEE4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6223" w14:textId="121ECED1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94E3" w14:textId="2E122519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50F547BC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C7AA" w14:textId="798D2BA0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9815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1082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0B83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9AF2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2795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7F107CCD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D182" w14:textId="17B85EDD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5CBE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A9E3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1A2B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C002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E525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774035BF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C5CD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CH</w:t>
            </w: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10BA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A5CF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C1F4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799D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8347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0EBC474A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E36F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</w:t>
            </w: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0DB0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F63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C804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1D1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DAD1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7FF4B5A0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A0A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C892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0.38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3399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5504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4B8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420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4C8DC966" w14:textId="77777777" w:rsidTr="002928E6">
        <w:trPr>
          <w:trHeight w:val="276"/>
          <w:jc w:val="center"/>
        </w:trPr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9D082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Unidentified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9E8B136" w14:textId="41F2C0C3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348A6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6CE97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038DE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64.65%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2777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48.66%</w:t>
            </w:r>
          </w:p>
        </w:tc>
      </w:tr>
    </w:tbl>
    <w:p w14:paraId="349A446F" w14:textId="1D403470" w:rsidR="003B441B" w:rsidRDefault="003B441B">
      <w:pPr>
        <w:rPr>
          <w:rFonts w:ascii="Times New Roman" w:hAnsi="Times New Roman" w:cs="Times New Roman"/>
        </w:rPr>
      </w:pPr>
    </w:p>
    <w:p w14:paraId="54D6C4BB" w14:textId="77777777" w:rsidR="00EB6A1B" w:rsidRDefault="00E84A3E">
      <w:pPr>
        <w:rPr>
          <w:rFonts w:ascii="Times New Roman" w:hAnsi="Times New Roman" w:cs="Times New Roman"/>
        </w:rPr>
        <w:sectPr w:rsidR="00EB6A1B" w:rsidSect="003437DB">
          <w:pgSz w:w="11906" w:h="16838"/>
          <w:pgMar w:top="1418" w:right="1418" w:bottom="1418" w:left="1418" w:header="851" w:footer="567" w:gutter="0"/>
          <w:lnNumType w:countBy="1" w:restart="continuous"/>
          <w:cols w:space="425"/>
          <w:docGrid w:type="lines" w:linePitch="312"/>
        </w:sectPr>
      </w:pPr>
      <w:r>
        <w:rPr>
          <w:rFonts w:ascii="Times New Roman" w:hAnsi="Times New Roman" w:cs="Times New Roman"/>
        </w:rPr>
        <w:br w:type="page"/>
      </w:r>
    </w:p>
    <w:p w14:paraId="284FBC14" w14:textId="230F7B26" w:rsidR="003B441B" w:rsidRPr="00210262" w:rsidRDefault="00E84A3E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127280397"/>
      <w:r w:rsidRPr="00210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22148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43D7F" w:rsidRPr="00210262">
        <w:rPr>
          <w:rFonts w:ascii="Times New Roman" w:hAnsi="Times New Roman" w:cs="Times New Roman"/>
          <w:sz w:val="24"/>
          <w:szCs w:val="24"/>
        </w:rPr>
        <w:t xml:space="preserve"> T</w:t>
      </w:r>
      <w:r w:rsidR="00243D7F" w:rsidRPr="00210262">
        <w:rPr>
          <w:rFonts w:ascii="Times New Roman" w:hAnsi="Times New Roman" w:cs="Times New Roman" w:hint="eastAsia"/>
          <w:sz w:val="24"/>
          <w:szCs w:val="24"/>
        </w:rPr>
        <w:t>h</w:t>
      </w:r>
      <w:r w:rsidR="00243D7F" w:rsidRPr="00210262">
        <w:rPr>
          <w:rFonts w:ascii="Times New Roman" w:hAnsi="Times New Roman" w:cs="Times New Roman"/>
          <w:sz w:val="24"/>
          <w:szCs w:val="24"/>
        </w:rPr>
        <w:t xml:space="preserve">e overall </w:t>
      </w:r>
      <w:r w:rsidR="001070AB" w:rsidRPr="00210262">
        <w:rPr>
          <w:rFonts w:ascii="Times New Roman" w:hAnsi="Times New Roman" w:cs="Times New Roman"/>
          <w:sz w:val="24"/>
          <w:szCs w:val="24"/>
        </w:rPr>
        <w:t>details of metagenomic assembly results</w:t>
      </w:r>
      <w:bookmarkEnd w:id="7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96"/>
        <w:gridCol w:w="813"/>
        <w:gridCol w:w="1302"/>
        <w:gridCol w:w="1510"/>
        <w:gridCol w:w="1302"/>
        <w:gridCol w:w="1510"/>
        <w:gridCol w:w="1089"/>
        <w:gridCol w:w="1380"/>
        <w:gridCol w:w="835"/>
        <w:gridCol w:w="1089"/>
        <w:gridCol w:w="1380"/>
        <w:gridCol w:w="1112"/>
      </w:tblGrid>
      <w:tr w:rsidR="004F589B" w:rsidRPr="00EB6A1B" w14:paraId="245A2CD5" w14:textId="77777777" w:rsidTr="00EB6A1B">
        <w:trPr>
          <w:trHeight w:val="552"/>
          <w:jc w:val="center"/>
        </w:trPr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92EFA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Sample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C224E" w14:textId="6687ECE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Read length (bp)</w:t>
            </w:r>
          </w:p>
        </w:tc>
        <w:tc>
          <w:tcPr>
            <w:tcW w:w="32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D5D0358" w14:textId="72E443B8" w:rsidR="00EB6A1B" w:rsidRPr="00EB6A1B" w:rsidRDefault="00EB6A1B" w:rsidP="0057084A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Metagenomic raw data</w:t>
            </w:r>
          </w:p>
        </w:tc>
        <w:tc>
          <w:tcPr>
            <w:tcW w:w="32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4562E39" w14:textId="32D847F1" w:rsidR="00EB6A1B" w:rsidRPr="00EB6A1B" w:rsidRDefault="00EB6A1B" w:rsidP="0057084A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Metagenomic clean data</w:t>
            </w:r>
          </w:p>
        </w:tc>
        <w:tc>
          <w:tcPr>
            <w:tcW w:w="9480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937FFB8" w14:textId="76BBCB05" w:rsidR="00EB6A1B" w:rsidRPr="00EB6A1B" w:rsidRDefault="00EB6A1B" w:rsidP="0057084A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Assembly and predict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ed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results</w:t>
            </w:r>
          </w:p>
        </w:tc>
      </w:tr>
      <w:tr w:rsidR="001A32B2" w:rsidRPr="00EB6A1B" w14:paraId="15E3613F" w14:textId="77777777" w:rsidTr="00EB6A1B">
        <w:trPr>
          <w:trHeight w:val="552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276ABF0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AEF7BF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C6320E6" w14:textId="4D83194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Raw reads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1F1C81C" w14:textId="3563CA4D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Raw base (bp)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396A89F" w14:textId="5CF3C83A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Clean reads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5CFBC6C" w14:textId="55E49FE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Clean base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(bp)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D7C3ADA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Contigs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1EA78D6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Contigs bases (bp)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B2A9A0F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N50 (bp)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C651614" w14:textId="3AD66A66" w:rsidR="00EB6A1B" w:rsidRPr="00EB6A1B" w:rsidRDefault="004F589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ORF</w:t>
            </w:r>
            <w:r w:rsidR="00EB6A1B"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D0CD4EF" w14:textId="08A1D2C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Total </w:t>
            </w:r>
            <w:r w:rsidR="004F589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ORFs 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length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0519C3B" w14:textId="7167185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Average </w:t>
            </w:r>
            <w:r w:rsidR="004F589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ORFs 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length</w:t>
            </w:r>
          </w:p>
        </w:tc>
      </w:tr>
      <w:tr w:rsidR="001A32B2" w:rsidRPr="00EB6A1B" w14:paraId="264EB658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6713F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C7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3630B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150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B58B7" w14:textId="22E47914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366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73567" w14:textId="1C985D7E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711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266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890DA" w14:textId="156977D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917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120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9CC45" w14:textId="227423E5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589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526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274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E3B13" w14:textId="46A8769A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555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278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D10BB" w14:textId="5FCD8094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358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024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509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7C50D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657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F6BF3" w14:textId="0822FAA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720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727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D1627" w14:textId="0BAA23FD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318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805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7BDF2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441.77</w:t>
            </w:r>
          </w:p>
        </w:tc>
      </w:tr>
      <w:tr w:rsidR="001A32B2" w:rsidRPr="00EB6A1B" w14:paraId="2E60E8C9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6281C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D815A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848F7" w14:textId="2253A3E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135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3FB74" w14:textId="1132418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966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462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2752B" w14:textId="6441A2FB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559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5DF45" w14:textId="741A62C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796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213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31C14" w14:textId="47DACB5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655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223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90615" w14:textId="1EB79DD2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024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171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B0CCD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689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6DEA7" w14:textId="40F6B222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864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87FC4" w14:textId="631C15E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091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A4689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451.42</w:t>
            </w:r>
          </w:p>
        </w:tc>
      </w:tr>
      <w:tr w:rsidR="001A32B2" w:rsidRPr="00EB6A1B" w14:paraId="4A0802EF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CF39E4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E7</w:t>
            </w:r>
          </w:p>
        </w:tc>
        <w:tc>
          <w:tcPr>
            <w:tcW w:w="9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6ECB59E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2006DC7" w14:textId="5AB4906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868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618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803D0B" w14:textId="5E0E7B19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624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318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3B288FE" w14:textId="45165525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070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3E4261" w14:textId="6E259FF4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513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041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058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854F5D" w14:textId="2FB7707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617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805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342919A" w14:textId="5B96734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411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751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374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D8B396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699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6E57E3" w14:textId="531C978B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817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592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2E6380" w14:textId="49C8DB99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368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064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114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ABFCA3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450.18</w:t>
            </w:r>
          </w:p>
        </w:tc>
      </w:tr>
      <w:tr w:rsidR="001A32B2" w:rsidRPr="00EB6A1B" w14:paraId="28E911EB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0655F45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E10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C04A8BE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9CA503A" w14:textId="76B946C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842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1747453" w14:textId="6C9565AA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285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B9F50EB" w14:textId="04CD3DBE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9F02D20" w14:textId="38844DC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053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848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DFFFD43" w14:textId="2B627759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539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0A3EEFA" w14:textId="105AD82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379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094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C139534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64FE86D" w14:textId="0AEE9D7F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726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2944CE1" w14:textId="653FB0F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338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560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E561ED1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465.91</w:t>
            </w:r>
          </w:p>
        </w:tc>
      </w:tr>
    </w:tbl>
    <w:p w14:paraId="60FF3B6B" w14:textId="3A975D53" w:rsidR="001070AB" w:rsidRDefault="001070AB">
      <w:pPr>
        <w:rPr>
          <w:rFonts w:ascii="Times New Roman" w:hAnsi="Times New Roman" w:cs="Times New Roman"/>
        </w:rPr>
      </w:pPr>
    </w:p>
    <w:p w14:paraId="5BE410BE" w14:textId="77777777" w:rsidR="001070AB" w:rsidRDefault="001070AB">
      <w:pPr>
        <w:rPr>
          <w:rFonts w:ascii="Times New Roman" w:hAnsi="Times New Roman" w:cs="Times New Roman"/>
        </w:rPr>
      </w:pPr>
    </w:p>
    <w:sectPr w:rsidR="001070AB" w:rsidSect="00E141D3">
      <w:pgSz w:w="16838" w:h="11906" w:orient="landscape"/>
      <w:pgMar w:top="1418" w:right="1418" w:bottom="1418" w:left="1418" w:header="851" w:footer="567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C5D6" w14:textId="77777777" w:rsidR="006B408C" w:rsidRDefault="006B408C" w:rsidP="00243D7F">
      <w:r>
        <w:separator/>
      </w:r>
    </w:p>
  </w:endnote>
  <w:endnote w:type="continuationSeparator" w:id="0">
    <w:p w14:paraId="31526385" w14:textId="77777777" w:rsidR="006B408C" w:rsidRDefault="006B408C" w:rsidP="0024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6F3F" w14:textId="5C91AEB3" w:rsidR="005E39D8" w:rsidRPr="005E39D8" w:rsidRDefault="005E39D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</w:t>
    </w:r>
    <w:sdt>
      <w:sdtPr>
        <w:rPr>
          <w:rFonts w:ascii="Times New Roman" w:hAnsi="Times New Roman" w:cs="Times New Roman"/>
          <w:sz w:val="24"/>
          <w:szCs w:val="24"/>
        </w:rPr>
        <w:id w:val="1237898945"/>
        <w:docPartObj>
          <w:docPartGallery w:val="Page Numbers (Bottom of Page)"/>
          <w:docPartUnique/>
        </w:docPartObj>
      </w:sdtPr>
      <w:sdtEndPr/>
      <w:sdtContent>
        <w:r w:rsidRPr="005E39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39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E39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34104" w:rsidRPr="00534104">
          <w:rPr>
            <w:rFonts w:ascii="Times New Roman" w:hAnsi="Times New Roman" w:cs="Times New Roman"/>
            <w:noProof/>
            <w:sz w:val="24"/>
            <w:szCs w:val="24"/>
            <w:lang w:val="zh-CN"/>
          </w:rPr>
          <w:t>1</w:t>
        </w:r>
        <w:r w:rsidRPr="005E39D8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3050" w14:textId="77777777" w:rsidR="006B408C" w:rsidRDefault="006B408C" w:rsidP="00243D7F">
      <w:r>
        <w:separator/>
      </w:r>
    </w:p>
  </w:footnote>
  <w:footnote w:type="continuationSeparator" w:id="0">
    <w:p w14:paraId="1EBFA697" w14:textId="77777777" w:rsidR="006B408C" w:rsidRDefault="006B408C" w:rsidP="00243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A070" w14:textId="77777777" w:rsidR="00ED1AD0" w:rsidRDefault="00ED1AD0" w:rsidP="00062EB6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ysDQ3szAyMzA0NjNQ0lEKTi0uzszPAykwNK8FAGHdrdMtAAAA"/>
  </w:docVars>
  <w:rsids>
    <w:rsidRoot w:val="00C52E7A"/>
    <w:rsid w:val="00000FC1"/>
    <w:rsid w:val="00001239"/>
    <w:rsid w:val="00005A42"/>
    <w:rsid w:val="00005A5B"/>
    <w:rsid w:val="000230D1"/>
    <w:rsid w:val="000328AE"/>
    <w:rsid w:val="00034E64"/>
    <w:rsid w:val="00044B73"/>
    <w:rsid w:val="000455AC"/>
    <w:rsid w:val="00050841"/>
    <w:rsid w:val="00062EB6"/>
    <w:rsid w:val="00070459"/>
    <w:rsid w:val="000A1EBA"/>
    <w:rsid w:val="000B6E23"/>
    <w:rsid w:val="000B7BCE"/>
    <w:rsid w:val="000D3B23"/>
    <w:rsid w:val="000D3F48"/>
    <w:rsid w:val="000E4B0C"/>
    <w:rsid w:val="000E72FC"/>
    <w:rsid w:val="000F1263"/>
    <w:rsid w:val="000F1DC8"/>
    <w:rsid w:val="000F6DFD"/>
    <w:rsid w:val="00104B2F"/>
    <w:rsid w:val="001070AB"/>
    <w:rsid w:val="00122039"/>
    <w:rsid w:val="00123F58"/>
    <w:rsid w:val="00162144"/>
    <w:rsid w:val="00165D3F"/>
    <w:rsid w:val="00172DF0"/>
    <w:rsid w:val="00176254"/>
    <w:rsid w:val="001852A0"/>
    <w:rsid w:val="001912BE"/>
    <w:rsid w:val="00192850"/>
    <w:rsid w:val="001A08D7"/>
    <w:rsid w:val="001A32B2"/>
    <w:rsid w:val="001B00FD"/>
    <w:rsid w:val="001B4C20"/>
    <w:rsid w:val="001B6B19"/>
    <w:rsid w:val="001C0F5C"/>
    <w:rsid w:val="001D0F5E"/>
    <w:rsid w:val="001D150E"/>
    <w:rsid w:val="001E504F"/>
    <w:rsid w:val="001F4BFD"/>
    <w:rsid w:val="00210262"/>
    <w:rsid w:val="00211CF4"/>
    <w:rsid w:val="00221482"/>
    <w:rsid w:val="0022572E"/>
    <w:rsid w:val="002307CF"/>
    <w:rsid w:val="00232796"/>
    <w:rsid w:val="00243D7F"/>
    <w:rsid w:val="0025186B"/>
    <w:rsid w:val="00252FCF"/>
    <w:rsid w:val="00261052"/>
    <w:rsid w:val="00262FDD"/>
    <w:rsid w:val="00265FCB"/>
    <w:rsid w:val="002737F2"/>
    <w:rsid w:val="00277BEB"/>
    <w:rsid w:val="00284856"/>
    <w:rsid w:val="002A54B3"/>
    <w:rsid w:val="002A7E5C"/>
    <w:rsid w:val="002B1A7A"/>
    <w:rsid w:val="002B4981"/>
    <w:rsid w:val="002E1602"/>
    <w:rsid w:val="003053F6"/>
    <w:rsid w:val="0031107C"/>
    <w:rsid w:val="00315CD6"/>
    <w:rsid w:val="00320ED3"/>
    <w:rsid w:val="00322566"/>
    <w:rsid w:val="0032389D"/>
    <w:rsid w:val="003314CC"/>
    <w:rsid w:val="0033293B"/>
    <w:rsid w:val="003437DB"/>
    <w:rsid w:val="0036602E"/>
    <w:rsid w:val="0038414A"/>
    <w:rsid w:val="0038482D"/>
    <w:rsid w:val="003A128A"/>
    <w:rsid w:val="003A5A40"/>
    <w:rsid w:val="003B01CE"/>
    <w:rsid w:val="003B3E78"/>
    <w:rsid w:val="003B441B"/>
    <w:rsid w:val="003C7A4B"/>
    <w:rsid w:val="003D3436"/>
    <w:rsid w:val="003D34E3"/>
    <w:rsid w:val="003F0338"/>
    <w:rsid w:val="004039C3"/>
    <w:rsid w:val="004165C0"/>
    <w:rsid w:val="004216B1"/>
    <w:rsid w:val="00427BEE"/>
    <w:rsid w:val="00431655"/>
    <w:rsid w:val="00445701"/>
    <w:rsid w:val="00451086"/>
    <w:rsid w:val="00454E1F"/>
    <w:rsid w:val="004615E8"/>
    <w:rsid w:val="00462C3D"/>
    <w:rsid w:val="0047252D"/>
    <w:rsid w:val="004747DE"/>
    <w:rsid w:val="00476064"/>
    <w:rsid w:val="00487367"/>
    <w:rsid w:val="0049491E"/>
    <w:rsid w:val="0049648F"/>
    <w:rsid w:val="004A5166"/>
    <w:rsid w:val="004D1C35"/>
    <w:rsid w:val="004D69E5"/>
    <w:rsid w:val="004D6C81"/>
    <w:rsid w:val="004E0E8C"/>
    <w:rsid w:val="004E73F0"/>
    <w:rsid w:val="004F589B"/>
    <w:rsid w:val="004F7C94"/>
    <w:rsid w:val="005114C6"/>
    <w:rsid w:val="00534104"/>
    <w:rsid w:val="005445C2"/>
    <w:rsid w:val="00547607"/>
    <w:rsid w:val="0055798D"/>
    <w:rsid w:val="0057084A"/>
    <w:rsid w:val="0059397C"/>
    <w:rsid w:val="00597FCE"/>
    <w:rsid w:val="005A5AC0"/>
    <w:rsid w:val="005B1850"/>
    <w:rsid w:val="005B2BF2"/>
    <w:rsid w:val="005B316E"/>
    <w:rsid w:val="005B6F2A"/>
    <w:rsid w:val="005D2066"/>
    <w:rsid w:val="005D4C44"/>
    <w:rsid w:val="005E39D8"/>
    <w:rsid w:val="005F1DE4"/>
    <w:rsid w:val="00605FDF"/>
    <w:rsid w:val="006147E1"/>
    <w:rsid w:val="00625084"/>
    <w:rsid w:val="006369B8"/>
    <w:rsid w:val="00637843"/>
    <w:rsid w:val="00655CA9"/>
    <w:rsid w:val="00656555"/>
    <w:rsid w:val="006619D9"/>
    <w:rsid w:val="00680DCB"/>
    <w:rsid w:val="00685DA4"/>
    <w:rsid w:val="006864F0"/>
    <w:rsid w:val="006A1313"/>
    <w:rsid w:val="006B1EE9"/>
    <w:rsid w:val="006B3761"/>
    <w:rsid w:val="006B408C"/>
    <w:rsid w:val="006B62DC"/>
    <w:rsid w:val="006C476C"/>
    <w:rsid w:val="006C7DBF"/>
    <w:rsid w:val="006D6819"/>
    <w:rsid w:val="006E32DB"/>
    <w:rsid w:val="0070101C"/>
    <w:rsid w:val="00703C9B"/>
    <w:rsid w:val="007330FF"/>
    <w:rsid w:val="00733E3D"/>
    <w:rsid w:val="00741A5A"/>
    <w:rsid w:val="00747156"/>
    <w:rsid w:val="00747B06"/>
    <w:rsid w:val="00755B09"/>
    <w:rsid w:val="00766C82"/>
    <w:rsid w:val="00766E47"/>
    <w:rsid w:val="00777D4F"/>
    <w:rsid w:val="007A529C"/>
    <w:rsid w:val="007C2514"/>
    <w:rsid w:val="007D0D5C"/>
    <w:rsid w:val="007D64F1"/>
    <w:rsid w:val="007E041D"/>
    <w:rsid w:val="00806459"/>
    <w:rsid w:val="00810B8D"/>
    <w:rsid w:val="00815CF7"/>
    <w:rsid w:val="008167F3"/>
    <w:rsid w:val="00826042"/>
    <w:rsid w:val="008462AE"/>
    <w:rsid w:val="00846C83"/>
    <w:rsid w:val="0085185A"/>
    <w:rsid w:val="00867E93"/>
    <w:rsid w:val="00870B32"/>
    <w:rsid w:val="00871410"/>
    <w:rsid w:val="00882225"/>
    <w:rsid w:val="00884448"/>
    <w:rsid w:val="00886A55"/>
    <w:rsid w:val="0089428F"/>
    <w:rsid w:val="00894633"/>
    <w:rsid w:val="008A4335"/>
    <w:rsid w:val="008B3DB2"/>
    <w:rsid w:val="008B4550"/>
    <w:rsid w:val="008C3B50"/>
    <w:rsid w:val="008C5DD1"/>
    <w:rsid w:val="008D36F1"/>
    <w:rsid w:val="008D403E"/>
    <w:rsid w:val="008D4428"/>
    <w:rsid w:val="008E115F"/>
    <w:rsid w:val="008E19EA"/>
    <w:rsid w:val="008E3C10"/>
    <w:rsid w:val="008E55DA"/>
    <w:rsid w:val="008F3B86"/>
    <w:rsid w:val="00930581"/>
    <w:rsid w:val="00930812"/>
    <w:rsid w:val="00932BC7"/>
    <w:rsid w:val="00940371"/>
    <w:rsid w:val="00943861"/>
    <w:rsid w:val="0097318D"/>
    <w:rsid w:val="00974E12"/>
    <w:rsid w:val="00980D26"/>
    <w:rsid w:val="00985813"/>
    <w:rsid w:val="00985A89"/>
    <w:rsid w:val="009866BC"/>
    <w:rsid w:val="009867E8"/>
    <w:rsid w:val="00992CB8"/>
    <w:rsid w:val="009A66E1"/>
    <w:rsid w:val="009A7072"/>
    <w:rsid w:val="009C4CF7"/>
    <w:rsid w:val="009D4A39"/>
    <w:rsid w:val="009E346B"/>
    <w:rsid w:val="009F0414"/>
    <w:rsid w:val="009F364C"/>
    <w:rsid w:val="00A05D27"/>
    <w:rsid w:val="00A1377D"/>
    <w:rsid w:val="00A15672"/>
    <w:rsid w:val="00A25AE2"/>
    <w:rsid w:val="00A268BD"/>
    <w:rsid w:val="00A27EE1"/>
    <w:rsid w:val="00A30012"/>
    <w:rsid w:val="00A31A7A"/>
    <w:rsid w:val="00A4123B"/>
    <w:rsid w:val="00A4303B"/>
    <w:rsid w:val="00A46549"/>
    <w:rsid w:val="00A5159E"/>
    <w:rsid w:val="00A67C56"/>
    <w:rsid w:val="00A77772"/>
    <w:rsid w:val="00AA2B9B"/>
    <w:rsid w:val="00AB15A9"/>
    <w:rsid w:val="00AB6FB3"/>
    <w:rsid w:val="00AD0744"/>
    <w:rsid w:val="00AD6AB0"/>
    <w:rsid w:val="00AF0AB3"/>
    <w:rsid w:val="00AF2D44"/>
    <w:rsid w:val="00B06E12"/>
    <w:rsid w:val="00B13384"/>
    <w:rsid w:val="00B135C4"/>
    <w:rsid w:val="00B35CD4"/>
    <w:rsid w:val="00B41750"/>
    <w:rsid w:val="00B450E3"/>
    <w:rsid w:val="00B464A1"/>
    <w:rsid w:val="00B46EE1"/>
    <w:rsid w:val="00B506F5"/>
    <w:rsid w:val="00B50843"/>
    <w:rsid w:val="00B7288D"/>
    <w:rsid w:val="00B775A0"/>
    <w:rsid w:val="00B80B00"/>
    <w:rsid w:val="00B81345"/>
    <w:rsid w:val="00BA1F6C"/>
    <w:rsid w:val="00BB656F"/>
    <w:rsid w:val="00BC56D8"/>
    <w:rsid w:val="00BD15A1"/>
    <w:rsid w:val="00BD3497"/>
    <w:rsid w:val="00BD43B7"/>
    <w:rsid w:val="00BD6277"/>
    <w:rsid w:val="00BF2EC8"/>
    <w:rsid w:val="00C0781A"/>
    <w:rsid w:val="00C11188"/>
    <w:rsid w:val="00C11AD2"/>
    <w:rsid w:val="00C129D9"/>
    <w:rsid w:val="00C15725"/>
    <w:rsid w:val="00C21B95"/>
    <w:rsid w:val="00C26029"/>
    <w:rsid w:val="00C32CDC"/>
    <w:rsid w:val="00C3422F"/>
    <w:rsid w:val="00C3469A"/>
    <w:rsid w:val="00C347EC"/>
    <w:rsid w:val="00C4312E"/>
    <w:rsid w:val="00C502DB"/>
    <w:rsid w:val="00C52427"/>
    <w:rsid w:val="00C52769"/>
    <w:rsid w:val="00C52E7A"/>
    <w:rsid w:val="00C75B9C"/>
    <w:rsid w:val="00C92B71"/>
    <w:rsid w:val="00CC376E"/>
    <w:rsid w:val="00CC5AF5"/>
    <w:rsid w:val="00CC61CA"/>
    <w:rsid w:val="00CD7682"/>
    <w:rsid w:val="00CD7C76"/>
    <w:rsid w:val="00CE1837"/>
    <w:rsid w:val="00CE6E13"/>
    <w:rsid w:val="00D0166C"/>
    <w:rsid w:val="00D045E7"/>
    <w:rsid w:val="00D05C03"/>
    <w:rsid w:val="00D06BE7"/>
    <w:rsid w:val="00D10CAB"/>
    <w:rsid w:val="00D31F38"/>
    <w:rsid w:val="00D46267"/>
    <w:rsid w:val="00D46E42"/>
    <w:rsid w:val="00D62DCD"/>
    <w:rsid w:val="00D76ADF"/>
    <w:rsid w:val="00D82319"/>
    <w:rsid w:val="00D931BC"/>
    <w:rsid w:val="00DB0A35"/>
    <w:rsid w:val="00DC16C4"/>
    <w:rsid w:val="00DC27FF"/>
    <w:rsid w:val="00DC59C7"/>
    <w:rsid w:val="00DD4441"/>
    <w:rsid w:val="00DD58D5"/>
    <w:rsid w:val="00DE5692"/>
    <w:rsid w:val="00DF247F"/>
    <w:rsid w:val="00DF7C9D"/>
    <w:rsid w:val="00E00B34"/>
    <w:rsid w:val="00E11F0A"/>
    <w:rsid w:val="00E141D3"/>
    <w:rsid w:val="00E33647"/>
    <w:rsid w:val="00E34394"/>
    <w:rsid w:val="00E407A3"/>
    <w:rsid w:val="00E46F0B"/>
    <w:rsid w:val="00E60EAB"/>
    <w:rsid w:val="00E675CC"/>
    <w:rsid w:val="00E71874"/>
    <w:rsid w:val="00E75179"/>
    <w:rsid w:val="00E77578"/>
    <w:rsid w:val="00E8176C"/>
    <w:rsid w:val="00E8307C"/>
    <w:rsid w:val="00E841A9"/>
    <w:rsid w:val="00E84A3E"/>
    <w:rsid w:val="00E85854"/>
    <w:rsid w:val="00E85D33"/>
    <w:rsid w:val="00EA224E"/>
    <w:rsid w:val="00EB6A1B"/>
    <w:rsid w:val="00ED1694"/>
    <w:rsid w:val="00ED1AD0"/>
    <w:rsid w:val="00EE2D6D"/>
    <w:rsid w:val="00EF008F"/>
    <w:rsid w:val="00EF68B3"/>
    <w:rsid w:val="00EF7FCB"/>
    <w:rsid w:val="00F019C3"/>
    <w:rsid w:val="00F1318F"/>
    <w:rsid w:val="00F26BE6"/>
    <w:rsid w:val="00F510D4"/>
    <w:rsid w:val="00F53D83"/>
    <w:rsid w:val="00F70BA0"/>
    <w:rsid w:val="00F76B77"/>
    <w:rsid w:val="00F80463"/>
    <w:rsid w:val="00F82409"/>
    <w:rsid w:val="00F83EDB"/>
    <w:rsid w:val="00F92D2A"/>
    <w:rsid w:val="00FA61CC"/>
    <w:rsid w:val="00FB661E"/>
    <w:rsid w:val="00FE0B2B"/>
    <w:rsid w:val="00FE429C"/>
    <w:rsid w:val="00FE789E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0D8D2A7"/>
  <w15:docId w15:val="{904842E1-22FD-4E6E-8EB3-C8EB5570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FF"/>
  </w:style>
  <w:style w:type="paragraph" w:styleId="Heading1">
    <w:name w:val="heading 1"/>
    <w:basedOn w:val="Normal"/>
    <w:next w:val="Normal"/>
    <w:link w:val="Heading1Char"/>
    <w:uiPriority w:val="9"/>
    <w:qFormat/>
    <w:rsid w:val="00F13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7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3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3D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3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3D7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50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084"/>
    <w:rPr>
      <w:color w:val="954F72"/>
      <w:u w:val="single"/>
    </w:rPr>
  </w:style>
  <w:style w:type="paragraph" w:customStyle="1" w:styleId="msonormal0">
    <w:name w:val="msonormal"/>
    <w:basedOn w:val="Normal"/>
    <w:rsid w:val="006250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625084"/>
    <w:pPr>
      <w:widowControl/>
      <w:spacing w:before="100" w:beforeAutospacing="1" w:after="100" w:afterAutospacing="1"/>
      <w:jc w:val="left"/>
    </w:pPr>
    <w:rPr>
      <w:rFonts w:ascii="DengXian" w:eastAsia="DengXian" w:hAnsi="DengXian" w:cs="SimSun"/>
      <w:kern w:val="0"/>
      <w:sz w:val="18"/>
      <w:szCs w:val="18"/>
      <w14:ligatures w14:val="none"/>
    </w:rPr>
  </w:style>
  <w:style w:type="paragraph" w:customStyle="1" w:styleId="xl65">
    <w:name w:val="xl65"/>
    <w:basedOn w:val="Normal"/>
    <w:rsid w:val="00625084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0E72FC"/>
    <w:pPr>
      <w:widowControl/>
      <w:jc w:val="left"/>
    </w:pPr>
    <w:rPr>
      <w:rFonts w:ascii="Times New Roman" w:hAnsi="Times New Roman"/>
      <w:kern w:val="0"/>
      <w:sz w:val="24"/>
      <w:lang w:val="en-A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72FC"/>
    <w:rPr>
      <w:rFonts w:ascii="Times New Roman" w:hAnsi="Times New Roman"/>
      <w:kern w:val="0"/>
      <w:sz w:val="24"/>
      <w:lang w:val="en-AU"/>
      <w14:ligatures w14:val="none"/>
    </w:rPr>
  </w:style>
  <w:style w:type="table" w:styleId="TableGrid">
    <w:name w:val="Table Grid"/>
    <w:basedOn w:val="TableNormal"/>
    <w:uiPriority w:val="39"/>
    <w:rsid w:val="0028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318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131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131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318F"/>
    <w:pPr>
      <w:widowControl/>
      <w:tabs>
        <w:tab w:val="right" w:leader="dot" w:pos="9060"/>
      </w:tabs>
      <w:spacing w:after="100" w:line="259" w:lineRule="auto"/>
      <w:jc w:val="center"/>
    </w:pPr>
    <w:rPr>
      <w:rFonts w:ascii="Times New Roman" w:hAnsi="Times New Roman" w:cs="Times New Roman"/>
      <w:b/>
      <w:bCs/>
      <w:noProof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1318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8C3B50"/>
    <w:pPr>
      <w:tabs>
        <w:tab w:val="left" w:pos="384"/>
      </w:tabs>
      <w:ind w:left="384" w:hanging="384"/>
    </w:pPr>
  </w:style>
  <w:style w:type="character" w:styleId="LineNumber">
    <w:name w:val="line number"/>
    <w:basedOn w:val="DefaultParagraphFont"/>
    <w:uiPriority w:val="99"/>
    <w:semiHidden/>
    <w:unhideWhenUsed/>
    <w:rsid w:val="00BD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mailto:bingjieni@gmail.c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0FD0C-7254-4A2F-B71C-F187B583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Xingdong Shi</dc:creator>
  <cp:keywords/>
  <dc:description/>
  <cp:lastModifiedBy>Xingdong Shi</cp:lastModifiedBy>
  <cp:revision>328</cp:revision>
  <dcterms:created xsi:type="dcterms:W3CDTF">2022-08-29T04:37:00Z</dcterms:created>
  <dcterms:modified xsi:type="dcterms:W3CDTF">2023-10-10T04:31:00Z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ZOTERO_PREF_1">
    <vt:lpwstr>&lt;data data-version="3" zotero-version="6.0.26"&gt;&lt;session id="I8PTJhTb"/&gt;&lt;style id="http://www.zotero.org/styles/environmental-science-and-technology" hasBibliography="1" bibliographyStyleHasBeenSet="1"/&gt;&lt;prefs&gt;&lt;pref name="fieldType" value="Field"/&gt;&lt;/prefs&gt;</vt:lpwstr>
  </property>
  <property fmtid="{D5CDD505-2E9C-101B-9397-08002B2CF9AE}" pid="4" name="ZOTERO_PREF_2">
    <vt:lpwstr>&lt;/data&gt;</vt:lpwstr>
  </property>
</Properties>
</file>