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超声光栅虚拟仿真实验平台</w:t>
      </w:r>
    </w:p>
    <w:p>
      <w:pPr>
        <w:pStyle w:val="Heading1"/>
        <w:jc w:val="center"/>
      </w:pPr>
      <w:r>
        <w:t>答辩问题准备</w:t>
      </w:r>
    </w:p>
    <w:p>
      <w:pPr>
        <w:pStyle w:val="Heading2"/>
      </w:pPr>
      <w:r>
        <w:t>一、软件架构与集成相关问题</w:t>
      </w:r>
    </w:p>
    <w:p>
      <w:r>
        <w:rPr>
          <w:b/>
          <w:color w:val="1A5276"/>
          <w:sz w:val="24"/>
        </w:rPr>
        <w:t>Q1：请详细说明一下这四个软件（CATIA、MATLAB、Visual Studio、Vue）是如何协同工作的？</w:t>
      </w:r>
    </w:p>
    <w:p>
      <w:r>
        <w:rPr>
          <w:sz w:val="22"/>
        </w:rPr>
        <w:t>本项目采用了"分层解耦、模块化集成"的架构设计：</w:t>
        <w:br/>
        <w:br/>
        <w:t>1. CATIA 3D建模层：负责实验仪器的三维建模工作。我们使用CATIA对激光器、平行光管、超声光栅池、望远镜、CCD相机等仪器进行高精度参数化建模，导出为标准的OBJ格式模型文件。</w:t>
        <w:br/>
        <w:br/>
        <w:t>2. MATLAB数据处理层：核心算法计算层。我们在MATLAB中实现了超声光栅衍射的物理模型，包括：声速计算模型（基于浓度和温度）、衍射光强分布公式（sinc²包络 × cos²干涉）、数据拟合算法（最小二乘法、线性回归）。计算结果以JSON格式导出，供前端调用。</w:t>
        <w:br/>
        <w:br/>
        <w:t>3. Visual Studio开发层：中间件服务层。我们使用Visual Studio开发了一个轻量级的Web服务API，将MATLAB编译的算法封装为HTTP接口，同时处理数据存储、会话管理等业务逻辑。</w:t>
        <w:br/>
        <w:br/>
        <w:t>4. Vue前端展示层：用户交互界面。通过Vue.js + Three.js实现3D场景渲染、参数交互控制、数据可视化展示，调用后端API获取计算结果并实时渲染。</w:t>
        <w:br/>
        <w:br/>
        <w:t>数据流方向：用户操作 → Vue发送请求 → Visual Studio API接收 → 调用MATLAB算法 → 返回结果 → Vue渲染展示</w:t>
      </w:r>
    </w:p>
    <w:p>
      <w:r>
        <w:rPr>
          <w:b/>
          <w:color w:val="1A5276"/>
          <w:sz w:val="24"/>
        </w:rPr>
        <w:t>Q2：为什么要选择这四款软件的组合，而不是用单一技术栈？</w:t>
      </w:r>
    </w:p>
    <w:p>
      <w:r>
        <w:rPr>
          <w:sz w:val="22"/>
        </w:rPr>
        <w:t>这是基于"专业软件做专业事"的原则：</w:t>
        <w:br/>
        <w:br/>
        <w:t>1. CATIA的优势：作为达索公司的专业3D建模软件，在参数化建模、曲面处理方面远优于通用前端技术栈。实验仪器需要精确的工业级建模，CATIA是最佳选择。</w:t>
        <w:br/>
        <w:br/>
        <w:t>2. MATLAB的优势：在数值计算、信号处理、物理仿真方面有成熟的工具箱支持。超声光栅衍射涉及复杂的数学公式运算，MATLAB的计算引擎效率更高、结果更可靠。</w:t>
        <w:br/>
        <w:br/>
        <w:t>3. Visual Studio的优势：作为微软的IDE，在构建企业级Web服务、API开发、数据库连接方面有完善的生态，便于快速搭建中间件服务。</w:t>
        <w:br/>
        <w:br/>
        <w:t>4. Vue的优势：轻量级前端框架，适合实现复杂的单页应用。结合Three.js可以实现浏览器级别的3D渲染，用户无需安装客户端即可使用。</w:t>
        <w:br/>
        <w:br/>
        <w:t>这种分层架构使各模块可以独立开发、独立测试、独立升级，提高了系统的可维护性。</w:t>
      </w:r>
    </w:p>
    <w:p>
      <w:r>
        <w:rPr>
          <w:b/>
          <w:color w:val="1A5276"/>
          <w:sz w:val="24"/>
        </w:rPr>
        <w:t>Q3：CATIA的模型如何导入到Vue前端中？中间的数据格式转换是怎样的？</w:t>
      </w:r>
    </w:p>
    <w:p>
      <w:r>
        <w:rPr>
          <w:sz w:val="22"/>
        </w:rPr>
        <w:t>整个流程分为以下步骤：</w:t>
        <w:br/>
        <w:br/>
        <w:t>1. CATIA导出：在CATIA中完成建模后，将每个仪器模型导出为OBJ格式（Wavefront OBJ格式），这是一种通用的3D模型交换格式。</w:t>
        <w:br/>
        <w:br/>
        <w:t>2. 格式验证：使用3D查看器（如FBX Review）检查导出的模型是否完整，确认没有几何错误、法线方向正确。</w:t>
        <w:br/>
        <w:br/>
        <w:t>3. Three.js加载：在Vue项目中，使用Three.js的OBJLoader加载器直接加载OBJ文件。Three.js对OBJ格式有原生支持，可以正确解析顶点、法线、UV坐标等数据。</w:t>
        <w:br/>
        <w:br/>
        <w:t>4. 材质适配：由于CATIA中定义的材质参数（如金属度、粗糙度）在导出时可能丢失，我们在Three.js中重新为每个模型定义了符合物理特性的材质参数：金属部件使用高metalness(0.9)、低roughness(0.1)；玻璃部件使用transparent(透明)、medium roughness；塑料外壳使用low metalness(0.2)、medium-high roughness。</w:t>
        <w:br/>
        <w:br/>
        <w:t>5. 坐标系统对齐：CATIA的坐标系与Three.js的坐标系存在差异，我们在加载后进行了坐标变换统一。</w:t>
      </w:r>
    </w:p>
    <w:p>
      <w:r>
        <w:rPr>
          <w:b/>
          <w:color w:val="1A5276"/>
          <w:sz w:val="24"/>
        </w:rPr>
        <w:t>Q4：MATLAB的算法是如何与前端集成的？是实时调用还是预处理？</w:t>
      </w:r>
    </w:p>
    <w:p>
      <w:r>
        <w:rPr>
          <w:sz w:val="22"/>
        </w:rPr>
        <w:t>我们采用了混合模式——预处理 + 实时计算：</w:t>
        <w:br/>
        <w:br/>
        <w:t>1. 预处理部分：</w:t>
        <w:br/>
        <w:t xml:space="preserve">   - 声速-浓度标定曲线：在MATLAB中预先计算不同浓度（0-30% NaCl溶液）下的声速值，生成标定数据表，存储为JSON文件供前端查表。</w:t>
        <w:br/>
        <w:t xml:space="preserve">   - 理论衍射图样：预先计算不同参数组合下的衍射图样参考图。</w:t>
        <w:br/>
        <w:br/>
        <w:t>2. 实时计算部分：</w:t>
        <w:br/>
        <w:t xml:space="preserve">   - 当用户调整参数（波长、频率、浓度）时，前端使用JavaScript直接实现光强分布公式进行实时计算。</w:t>
        <w:br/>
        <w:t xml:space="preserve">   - 数据拟合分析：使用JavaScript实现最小二乘法进行线性拟合，计算斜率、截距、R²值等统计量。</w:t>
        <w:br/>
        <w:br/>
        <w:t>3. 计算结果对比：前端实时计算的结果与MATLAB预处理的基准值进行对比，确保误差在允许范围内（&lt;0.1%）。</w:t>
        <w:br/>
        <w:br/>
        <w:t>选择混合模式的原因：实时计算保证交互流畅性（响应时间&lt;50ms）；预处理保证数值准确性；两者互为校验。</w:t>
      </w:r>
    </w:p>
    <w:p>
      <w:r>
        <w:rPr>
          <w:b/>
          <w:color w:val="1A5276"/>
          <w:sz w:val="24"/>
        </w:rPr>
        <w:t>Q5：Visual Studio在项目中的具体作用是什么？为什么不直接用Node.js或Python？</w:t>
      </w:r>
    </w:p>
    <w:p>
      <w:r>
        <w:rPr>
          <w:sz w:val="22"/>
        </w:rPr>
        <w:t>Visual Studio主要用于开发中间件API服务，具体功能包括：</w:t>
        <w:br/>
        <w:br/>
        <w:t>1. 算法封装：将MATLAB编译的MEX文件封装为RESTful API端点</w:t>
        <w:br/>
        <w:t>2. 数据管理：实现实验数据的存储、检索、清理功能</w:t>
        <w:br/>
        <w:t>3. 会话管理：处理用户的实验会话状态，确保每次进入页面清空上次记录</w:t>
        <w:br/>
        <w:t>4. 参数校验：验证用户输入的参数是否在物理合理范围内</w:t>
        <w:br/>
        <w:br/>
        <w:t>选择Visual Studio而非Node.js/Python的原因：</w:t>
        <w:br/>
        <w:t>- 与MATLAB无缝集成：Visual Studio对MATLAB的MEX文件有原生支持，调用效率更高</w:t>
        <w:br/>
        <w:t>- 成熟的企业级框架：使用.NET Core开发的API性能稳定，适合长时间运行的服务</w:t>
        <w:br/>
        <w:t>- 类型安全：C#的强类型特性有助于减少运行时错误</w:t>
        <w:br/>
        <w:t>- 团队技术栈匹配：团队成员对C#更熟悉，开发效率更高</w:t>
      </w:r>
    </w:p>
    <w:p>
      <w:pPr>
        <w:pStyle w:val="Heading2"/>
      </w:pPr>
      <w:r>
        <w:t>二、数据流转与交互相关问题</w:t>
      </w:r>
    </w:p>
    <w:p>
      <w:r>
        <w:rPr>
          <w:b/>
          <w:color w:val="1A5276"/>
          <w:sz w:val="24"/>
        </w:rPr>
        <w:t>Q6：用户在界面上调整参数后，数据是如何传递的？</w:t>
      </w:r>
    </w:p>
    <w:p>
      <w:r>
        <w:rPr>
          <w:sz w:val="22"/>
        </w:rPr>
        <w:t>数据传递流程如下：</w:t>
        <w:br/>
        <w:br/>
        <w:t>用户操作（滑块/输入框）</w:t>
        <w:br/>
        <w:t xml:space="preserve">    ↓</w:t>
        <w:br/>
        <w:t>Vue双向绑定（v-model）更新响应式数据</w:t>
        <w:br/>
        <w:t xml:space="preserve">    ↓</w:t>
        <w:br/>
        <w:t>watch/computed监听数据变化</w:t>
        <w:br/>
        <w:t xml:space="preserve">    ↓</w:t>
        <w:br/>
        <w:t>触发重新计算：</w:t>
        <w:br/>
        <w:t xml:space="preserve">  ├── 光强分布曲线 → Canvas实时绘制</w:t>
        <w:br/>
        <w:t xml:space="preserve">  ├── 衍射光斑图样 → 重新渲染</w:t>
        <w:br/>
        <w:t xml:space="preserve">  ├── 拟合分析图 → 更新数据点</w:t>
        <w:br/>
        <w:t xml:space="preserve">    ↓</w:t>
        <w:br/>
        <w:t>如涉及存储操作：</w:t>
        <w:br/>
        <w:t xml:space="preserve">  ├── 调用API → Visual Studio处理 → 存入数据库</w:t>
        <w:br/>
        <w:t xml:space="preserve">  └── 返回成功/失败状态</w:t>
        <w:br/>
        <w:br/>
        <w:t>关键技术点：</w:t>
        <w:br/>
        <w:t>- 使用Vue 3的ref和reactive管理状态</w:t>
        <w:br/>
        <w:t>- 使用watch监听参数变化触发重算</w:t>
        <w:br/>
        <w:t>- 使用computed缓存计算结果，避免重复计算</w:t>
        <w:br/>
        <w:t>- Canvas使用requestAnimationFrame保证流畅动画</w:t>
      </w:r>
    </w:p>
    <w:p>
      <w:r>
        <w:rPr>
          <w:b/>
          <w:color w:val="1A5276"/>
          <w:sz w:val="24"/>
        </w:rPr>
        <w:t>Q7：3D场景中的仪器是如何响应用户操作的？支持哪些交互？</w:t>
      </w:r>
    </w:p>
    <w:p>
      <w:r>
        <w:rPr>
          <w:sz w:val="22"/>
        </w:rPr>
        <w:t>我们实现了完整的3D交互系统：</w:t>
        <w:br/>
        <w:br/>
        <w:t>1. 选中交互：点击仪器 → 高亮显示（发光效果），显示仪器参数信息面板</w:t>
        <w:br/>
        <w:t>2. 移动交互：选中后拖拽 → 改变位置，位置限制在桌面范围内</w:t>
        <w:br/>
        <w:t>3. 旋转交互：选中后使用旋转按钮 → 改变朝向，旋转范围：0-360°</w:t>
        <w:br/>
        <w:t>4. 缩放交互：选中后鼠标滚轮 → 改变大小，缩放范围：0.1x - 5x</w:t>
        <w:br/>
        <w:t>5. 固定交互：点击固定按钮 → 锁定位置/旋转，锁定后无法移动/旋转/缩放</w:t>
        <w:br/>
        <w:t>6. 连接交互：水槽与发生器自动创建连接线，连接线随仪器移动自动更新</w:t>
      </w:r>
    </w:p>
    <w:p>
      <w:r>
        <w:rPr>
          <w:b/>
          <w:color w:val="1A5276"/>
          <w:sz w:val="24"/>
        </w:rPr>
        <w:t>Q8：衍射光斑图样是如何实时渲染的？涉及哪些计算？</w:t>
      </w:r>
    </w:p>
    <w:p>
      <w:r>
        <w:rPr>
          <w:sz w:val="22"/>
        </w:rPr>
        <w:t>衍射光斑图样通过Canvas 2D API实时渲染，核心计算包括：</w:t>
        <w:br/>
        <w:br/>
        <w:t>1. 光强分布计算（基于物理公式）：</w:t>
        <w:br/>
        <w:t xml:space="preserve">   I(x, y) = I₀ × [sinc(π·a·y/(λ·L))]² × [cos(π·d·y/(λ·L))]²</w:t>
        <w:br/>
        <w:t xml:space="preserve">   其中：a = 狭缝宽度（包络项），d = 超声波长/光栅周期（干涉项），λ = 入射光波长，L = 水槽到光屏的距离</w:t>
        <w:br/>
        <w:br/>
        <w:t>2. 颜色映射：根据光强值(0-1)映射到颜色梯度，中心为白色（光强1.0），外围为青色渐变，外层为紫色光晕</w:t>
        <w:br/>
        <w:br/>
        <w:t>3. 多层渲染：底层为垂直渐变主体，中层为垂直光纹（模拟衍射条纹），顶层为白色亮芯（最亮部分）</w:t>
        <w:br/>
        <w:br/>
        <w:t>4. 动态响应：参数变化 → 重新计算 → 重绘Canvas，使用Canvas的putImageData进行像素级渲染</w:t>
      </w:r>
    </w:p>
    <w:p>
      <w:pPr>
        <w:pStyle w:val="Heading2"/>
      </w:pPr>
      <w:r>
        <w:t>三、算法与公式相关问题</w:t>
      </w:r>
    </w:p>
    <w:p>
      <w:r>
        <w:rPr>
          <w:b/>
          <w:color w:val="1A5276"/>
          <w:sz w:val="24"/>
        </w:rPr>
        <w:t>Q9：超声光栅衍射的光强公式是什么？各参数的物理意义是什么？</w:t>
      </w:r>
    </w:p>
    <w:p>
      <w:r>
        <w:rPr>
          <w:sz w:val="22"/>
        </w:rPr>
        <w:t>超声光栅衍射遵循多缝干涉+单缝衍射的光强分布：</w:t>
        <w:br/>
        <w:br/>
        <w:t>I(θ) = I₀ × [sinc(π·a·sinθ/λ)]² × [cos(π·d·sinθ/λ)]²</w:t>
        <w:br/>
        <w:br/>
        <w:t>参数说明：</w:t>
        <w:br/>
        <w:t>- I₀：入射光强</w:t>
        <w:br/>
        <w:t>- a：狭缝宽度（超声光栅的等效缝宽）</w:t>
        <w:br/>
        <w:t>- d：光栅周期（超声波长λs = v/f）</w:t>
        <w:br/>
        <w:t>- λ：入射光波长</w:t>
        <w:br/>
        <w:t>- θ：衍射角</w:t>
        <w:br/>
        <w:br/>
        <w:t>公式分解：</w:t>
        <w:br/>
        <w:t>1. 包络项 sinc²：由单缝衍射决定，控制整体光强分布的包络形状，零点位置由狭缝宽度a决定</w:t>
        <w:br/>
        <w:t>2. 干涉项 cos²：由多缝干涉决定，产生各级衍射条纹，条纹间距由光栅周期d决定</w:t>
        <w:br/>
        <w:br/>
        <w:t>物理意义：</w:t>
        <w:br/>
        <w:t>- 改变a（狭缝宽度）→ 改变包络宽度，不改变条纹位置</w:t>
        <w:br/>
        <w:t>- 改变d（超声频率）→ 改变条纹间距，不改变包络形状</w:t>
        <w:br/>
        <w:t>- 改变λ（波长）→ 同时影响包络和条纹位置</w:t>
      </w:r>
    </w:p>
    <w:p>
      <w:r>
        <w:rPr>
          <w:b/>
          <w:color w:val="1A5276"/>
          <w:sz w:val="24"/>
        </w:rPr>
        <w:t>Q10：声速是如何计算的？与哪些因素有关？</w:t>
      </w:r>
    </w:p>
    <w:p>
      <w:r>
        <w:rPr>
          <w:sz w:val="22"/>
        </w:rPr>
        <w:t>声速计算基于氯化钠水溶液的声学特性：</w:t>
        <w:br/>
        <w:br/>
        <w:t>1. 声速公式（基于实验拟合）：</w:t>
        <w:br/>
        <w:t xml:space="preserve">   v(c, T) = v₀(T) + A·c + B·c²</w:t>
        <w:br/>
        <w:t xml:space="preserve">   其中：v₀(T)为纯水中温度T时的声速，c为NaCl浓度（g/L），A、B为拟合系数</w:t>
        <w:br/>
        <w:br/>
        <w:t>2. 纯水声速（温度依赖）：</w:t>
        <w:br/>
        <w:t xml:space="preserve">   v₀(T) = 1449.2 + 4.62·T - 0.054·T² + 2.2×10⁻⁴·T³</w:t>
        <w:br/>
        <w:br/>
        <w:t>3. NaCl溶液修正：A ≈ 1.4 (m/s per g/L)，B ≈ -0.005 (m/s per g/L²)</w:t>
        <w:br/>
        <w:br/>
        <w:t>4. 实验验证：通过衍射实验测量各级条纹间距，反推计算声速：v = λ·f·d / Δy，与理论公式对比，相对误差 &lt; 2%</w:t>
      </w:r>
    </w:p>
    <w:p>
      <w:pPr>
        <w:pStyle w:val="Heading2"/>
      </w:pPr>
      <w:r>
        <w:t>四、数据拟合与分析相关问题</w:t>
      </w:r>
    </w:p>
    <w:p>
      <w:r>
        <w:rPr>
          <w:b/>
          <w:color w:val="1A5276"/>
          <w:sz w:val="24"/>
        </w:rPr>
        <w:t>Q11：数据拟合分析是如何实现的？支持哪些拟合模式？</w:t>
      </w:r>
    </w:p>
    <w:p>
      <w:r>
        <w:rPr>
          <w:sz w:val="22"/>
        </w:rPr>
        <w:t>我们实现了三种拟合模式，对应不同的实验变量：</w:t>
        <w:br/>
        <w:br/>
        <w:t>1. 浓度影响拟合（固定波长和频率）：</w:t>
        <w:br/>
        <w:t xml:space="preserve">   - X轴：浓度 (g/L)</w:t>
        <w:br/>
        <w:t xml:space="preserve">   - Y轴：声速 (m/s)</w:t>
        <w:br/>
        <w:t xml:space="preserve">   - 拟合方式：线性拟合 v = k·c + b</w:t>
        <w:br/>
        <w:t xml:space="preserve">   - 显示拟合公式、R²值</w:t>
        <w:br/>
        <w:br/>
        <w:t>2. 频率影响拟合（固定波长和浓度）：</w:t>
        <w:br/>
        <w:t xml:space="preserve">   - X轴：频率 (MHz)</w:t>
        <w:br/>
        <w:t xml:space="preserve">   - Y轴：声速 (m/s)</w:t>
        <w:br/>
        <w:t xml:space="preserve">   - 理论关系：声速应保持恒定</w:t>
        <w:br/>
        <w:t xml:space="preserve">   - 验证：拟合曲线应为水平线</w:t>
        <w:br/>
        <w:br/>
        <w:t>3. 波长影响拟合（固定浓度和频率）：</w:t>
        <w:br/>
        <w:t xml:space="preserve">   - X轴：波长 (nm)</w:t>
        <w:br/>
        <w:t xml:space="preserve">   - Y轴：声速 (m/s)</w:t>
        <w:br/>
        <w:t xml:space="preserve">   - 理论关系：声速应保持恒定</w:t>
        <w:br/>
        <w:t xml:space="preserve">   - 验证：拟合曲线应为水平线</w:t>
        <w:br/>
        <w:br/>
        <w:t>拟合算法（最小二乘法）：</w:t>
        <w:br/>
        <w:t>k = Σ(xi-x̄)(yi-ȳ) / Σ(xi-x̄)²</w:t>
        <w:br/>
        <w:t>b = ȳ - k·x̄</w:t>
        <w:br/>
        <w:t>R² = [Σ(xi-x̄)(yi-ȳ)]² / [Σ(xi-x̄)² · Σ(yi-ȳ)²]</w:t>
      </w:r>
    </w:p>
    <w:p>
      <w:r>
        <w:rPr>
          <w:b/>
          <w:color w:val="1A5276"/>
          <w:sz w:val="24"/>
        </w:rPr>
        <w:t>Q12：如何确保实验数据的准确性和可靠性？</w:t>
      </w:r>
    </w:p>
    <w:p>
      <w:r>
        <w:rPr>
          <w:sz w:val="22"/>
        </w:rPr>
        <w:t>我们采用了多层次的数据质量保证机制：</w:t>
        <w:br/>
        <w:br/>
        <w:t>1. 数据采集阶段：</w:t>
        <w:br/>
        <w:t xml:space="preserve">   - 游标精确测量衍射条纹位置（像素级精度）</w:t>
        <w:br/>
        <w:t xml:space="preserve">   - 多次测量取平均值</w:t>
        <w:br/>
        <w:t xml:space="preserve">   - 异常值自动检测（3σ原则）</w:t>
        <w:br/>
        <w:br/>
        <w:t>2. 数据处理阶段：</w:t>
        <w:br/>
        <w:t xml:space="preserve">   - 单位转换的精确性（mm ↔ m, MHz ↔ Hz）</w:t>
        <w:br/>
        <w:t xml:space="preserve">   - 公式计算的数值稳定性</w:t>
        <w:br/>
        <w:t xml:space="preserve">   - 有效数字控制（保留4位有效数字）</w:t>
        <w:br/>
        <w:br/>
        <w:t>3. 结果验证阶段：</w:t>
        <w:br/>
        <w:t xml:space="preserve">   - 理论校验：计算值与文献理论值对比</w:t>
        <w:br/>
        <w:t xml:space="preserve">   - 一致性校验：固定参数重复测量结果应一致</w:t>
        <w:br/>
        <w:t xml:space="preserve">   - 误差分析：计算相对误差、标准差、变异系数</w:t>
        <w:br/>
        <w:br/>
        <w:t>4. 实时反馈：显示当前数据与历史数据的偏差，超出正常范围时给出警告，提供改进建议</w:t>
      </w:r>
    </w:p>
    <w:p>
      <w:pPr>
        <w:pStyle w:val="Heading2"/>
      </w:pPr>
      <w:r>
        <w:t>五、性能优化相关问题</w:t>
      </w:r>
    </w:p>
    <w:p>
      <w:r>
        <w:rPr>
          <w:b/>
          <w:color w:val="1A5276"/>
          <w:sz w:val="24"/>
        </w:rPr>
        <w:t>Q13：项目中做了哪些性能优化？</w:t>
      </w:r>
    </w:p>
    <w:p>
      <w:r>
        <w:rPr>
          <w:sz w:val="22"/>
        </w:rPr>
        <w:t>我们在多个层面进行了性能优化：</w:t>
        <w:br/>
        <w:br/>
        <w:t>1. 3D渲染优化：</w:t>
        <w:br/>
        <w:t xml:space="preserve">   - 仪器模型使用低面数几何体（基础几何体+材质）</w:t>
        <w:br/>
        <w:t xml:space="preserve">   - 启用frustum culling（视锥体剔除）</w:t>
        <w:br/>
        <w:t xml:space="preserve">   - 共享材质实例，减少GPU内存占用</w:t>
        <w:br/>
        <w:br/>
        <w:t>2. Canvas绘制优化：</w:t>
        <w:br/>
        <w:t xml:space="preserve">   - 使用requestAnimationFrame替代setTimeout</w:t>
        <w:br/>
        <w:t xml:space="preserve">   - 缓存计算结果，避免重复计算</w:t>
        <w:br/>
        <w:t xml:space="preserve">   - 使用putImageData进行像素级操作</w:t>
        <w:br/>
        <w:br/>
        <w:t>3. Vue组件优化：</w:t>
        <w:br/>
        <w:t xml:space="preserve">   - 使用v-show替代v-if控制频繁切换的元素</w:t>
        <w:br/>
        <w:t xml:space="preserve">   - 合理使用computed缓存派生数据</w:t>
        <w:br/>
        <w:t xml:space="preserve">   - 避免在watch中执行耗时操作</w:t>
        <w:br/>
        <w:br/>
        <w:t>4. 数据计算优化：</w:t>
        <w:br/>
        <w:t xml:space="preserve">   - 标定数据使用查找表（O(1)复杂度）</w:t>
        <w:br/>
        <w:t xml:space="preserve">   - 光强分布使用向量化计算</w:t>
        <w:br/>
        <w:t xml:space="preserve">   - 拟合算法使用增量更新</w:t>
      </w:r>
    </w:p>
    <w:p>
      <w:r>
        <w:rPr>
          <w:b/>
          <w:color w:val="1A5276"/>
          <w:sz w:val="24"/>
        </w:rPr>
        <w:t>Q14：在大量数据点下，拟合分析图如何保持流畅？</w:t>
      </w:r>
    </w:p>
    <w:p>
      <w:r>
        <w:rPr>
          <w:sz w:val="22"/>
        </w:rPr>
        <w:t>我们采用了以下优化策略：</w:t>
        <w:br/>
        <w:br/>
        <w:t>1. 数据抽样：当数据点超过100个时，自动进行抽样显示（保留代表性点）</w:t>
        <w:br/>
        <w:br/>
        <w:t>2. 异步计算：拟合计算使用requestIdleCallback在浏览器空闲时执行，不阻塞主线程</w:t>
        <w:br/>
        <w:br/>
        <w:t>3. 增量更新：新增数据点时，重新计算拟合参数，使用增量公式而非全量重算</w:t>
        <w:br/>
        <w:br/>
        <w:t>4. Canvas缓冲：使用离屏Canvas预渲染背景和网格，仅重绘数据点和拟合线</w:t>
        <w:br/>
        <w:br/>
        <w:t>5. 节流优化：参数变化时使用debounce（100ms），避免频繁触发重绘</w:t>
      </w:r>
    </w:p>
    <w:p>
      <w:pPr>
        <w:pStyle w:val="Heading2"/>
      </w:pPr>
      <w:r>
        <w:t>六、功能扩展与工程实现相关问题</w:t>
      </w:r>
    </w:p>
    <w:p>
      <w:r>
        <w:rPr>
          <w:b/>
          <w:color w:val="1A5276"/>
          <w:sz w:val="24"/>
        </w:rPr>
        <w:t>Q15：如何添加新的实验仪器？需要修改哪些部分？</w:t>
      </w:r>
    </w:p>
    <w:p>
      <w:r>
        <w:rPr>
          <w:sz w:val="22"/>
        </w:rPr>
        <w:t>添加新仪器遵循以下步骤：</w:t>
        <w:br/>
        <w:br/>
        <w:t>1. CATIA建模：设计新仪器的3D模型，导出为OBJ格式</w:t>
        <w:br/>
        <w:t>2. Vue组件添加：</w:t>
        <w:br/>
        <w:t xml:space="preserve">   - 在可用仪器列表中添加新仪器配置</w:t>
        <w:br/>
        <w:t xml:space="preserve">   - 创建仪器的建模和交互函数</w:t>
        <w:br/>
        <w:t xml:space="preserve">   - 实现showInstrument的创建逻辑</w:t>
        <w:br/>
        <w:t>3. 交互逻辑：添加选中、移动、旋转、缩放支持，实现与其他仪器的连接逻辑</w:t>
        <w:br/>
        <w:t>4. 参数配置：定义仪器的可调参数，实现参数与视觉效果的联动</w:t>
      </w:r>
    </w:p>
    <w:p>
      <w:r>
        <w:rPr>
          <w:b/>
          <w:color w:val="1A5276"/>
          <w:sz w:val="24"/>
        </w:rPr>
        <w:t>Q16：项目中如何处理用户的非法操作或异常情况？</w:t>
      </w:r>
    </w:p>
    <w:p>
      <w:r>
        <w:rPr>
          <w:sz w:val="22"/>
        </w:rPr>
        <w:t>我们实现了完善的异常处理机制：</w:t>
        <w:br/>
        <w:br/>
        <w:t>1. 参数范围校验：验证波长、频率等参数是否在物理合理范围内</w:t>
        <w:br/>
        <w:t>2. 物理约束限制：仪器位置不能超出桌面范围，缩放比例不能超出合理范围</w:t>
        <w:br/>
        <w:t>3. 操作提示：非法操作时弹出友好提示，指导用户进行正确操作</w:t>
        <w:br/>
        <w:t>4. 错误恢复：支持重置功能（恢复默认状态），自动保存会话状态，异常崩溃后可恢复到上一状态</w:t>
      </w:r>
    </w:p>
    <w:p>
      <w:r>
        <w:rPr>
          <w:b/>
          <w:color w:val="1A5276"/>
          <w:sz w:val="24"/>
        </w:rPr>
        <w:t>Q17：如何保证系统在不同浏览器和设备上的兼容性？</w:t>
      </w:r>
    </w:p>
    <w:p>
      <w:r>
        <w:rPr>
          <w:sz w:val="22"/>
        </w:rPr>
        <w:t>我们采取了以下兼容性措施：</w:t>
        <w:br/>
        <w:br/>
        <w:t>1. 框架选择：Vue 3 + Vite、Three.js、Canvas 2D都是主流浏览器支持良好的技术</w:t>
        <w:br/>
        <w:t>2. 特性检测：检测WebGL、Canvas等特性是否可用</w:t>
        <w:br/>
        <w:t>3. 降级方案：WebGL 2.0不可用时降级为WebGL 1.0，3D效果简化为2D投影展示</w:t>
        <w:br/>
        <w:t>4. 响应式设计：适配不同屏幕尺寸，支持触屏操作，优化性能低端设备</w:t>
      </w:r>
    </w:p>
    <w:p>
      <w:pPr>
        <w:pStyle w:val="Heading2"/>
      </w:pPr>
      <w:r>
        <w:t>七、创新点与特色相关问题</w:t>
      </w:r>
    </w:p>
    <w:p>
      <w:r>
        <w:rPr>
          <w:b/>
          <w:color w:val="1A5276"/>
          <w:sz w:val="24"/>
        </w:rPr>
        <w:t>Q18：本项目的主要创新点有哪些？</w:t>
      </w:r>
    </w:p>
    <w:p>
      <w:r>
        <w:rPr>
          <w:sz w:val="22"/>
        </w:rPr>
        <w:t>本项目的创新点主要体现在：</w:t>
        <w:br/>
        <w:br/>
        <w:t>1. 多软件协同架构：首次将CATIA、MATLAB、Visual Studio、Vue四款软件有机结合，实现了从建模到计算到展示的完整数据链路</w:t>
        <w:br/>
        <w:t>2. 物理精确性：严格遵循超声光栅衍射的物理公式，考虑了温度、浓度对声速的影响，计算精度达到工程应用要求（相对误差&lt;2%）</w:t>
        <w:br/>
        <w:t>3. 交互实时性：参数调整后&lt;50ms响应，3D场景60fps流畅渲染</w:t>
        <w:br/>
        <w:t>4. 教学友好性：步骤锁机制引导正确操作顺序，异常操作有友好提示</w:t>
        <w:br/>
        <w:t>5. 跨平台部署：支持本地运行和远程访问，浏览器免安装使用</w:t>
      </w:r>
    </w:p>
    <w:p>
      <w:r>
        <w:rPr>
          <w:b/>
          <w:color w:val="1A5276"/>
          <w:sz w:val="24"/>
        </w:rPr>
        <w:t>Q19：与同类项目相比，本项目的优势是什么？</w:t>
      </w:r>
    </w:p>
    <w:p>
      <w:r>
        <w:rPr>
          <w:sz w:val="22"/>
        </w:rPr>
        <w:t>相比同类虚拟仿真实验平台，本项目具有以下优势：</w:t>
        <w:br/>
        <w:br/>
        <w:t>1. 技术栈专业：使用专业CAD软件建模，专业计算软件处理算法</w:t>
        <w:br/>
        <w:t>2. 交互体验出色：3D场景支持完整的CAD级交互</w:t>
        <w:br/>
        <w:t>3. 物理模型精确：考虑了温度、浓度的影响，多因素耦合计算</w:t>
        <w:br/>
        <w:t>4. 教学功能完善：引导式操作流程，实时错误检测</w:t>
        <w:br/>
        <w:t>5. 可扩展性强：模块化设计便于扩展，支持新仪器和新实验的添加</w:t>
      </w:r>
    </w:p>
    <w:p>
      <w:pPr>
        <w:pStyle w:val="Heading2"/>
      </w:pPr>
      <w:r>
        <w:t>八、未来展望相关问题</w:t>
      </w:r>
    </w:p>
    <w:p>
      <w:r>
        <w:rPr>
          <w:b/>
          <w:color w:val="1A5276"/>
          <w:sz w:val="24"/>
        </w:rPr>
        <w:t>Q20：项目未来可以如何扩展和优化？</w:t>
      </w:r>
    </w:p>
    <w:p>
      <w:r>
        <w:rPr>
          <w:sz w:val="22"/>
        </w:rPr>
        <w:t>我们规划了以下扩展方向：</w:t>
        <w:br/>
        <w:br/>
        <w:t>1. 功能扩展：添加更多实验仪器（如分光计、干涉仪），支持多种实验模式</w:t>
        <w:br/>
        <w:t>2. 算法优化：使用机器学习优化声速预测模型，实现实时FFT频谱分析</w:t>
        <w:br/>
        <w:t>3. 交互增强：支持VR/AR设备，提供沉浸式体验，支持多人协作实验</w:t>
        <w:br/>
        <w:t>4. 数据互通：与实际实验设备对接，支持实验数据导出为标准格式</w:t>
        <w:br/>
        <w:t>5. 智能化升级：AI助教功能，个性化学习路径推荐</w:t>
      </w:r>
    </w:p>
    <w:p>
      <w:pPr>
        <w:pStyle w:val="Heading2"/>
      </w:pPr>
      <w:r>
        <w:t>九、综合问题</w:t>
      </w:r>
    </w:p>
    <w:p>
      <w:r>
        <w:rPr>
          <w:b/>
          <w:color w:val="1A5276"/>
          <w:sz w:val="24"/>
        </w:rPr>
        <w:t>Q21：整个项目的开发周期是多长？各阶段如何分配？</w:t>
      </w:r>
    </w:p>
    <w:p>
      <w:r>
        <w:rPr>
          <w:sz w:val="22"/>
        </w:rPr>
        <w:t>项目总开发周期约8个月，分为以下阶段：</w:t>
        <w:br/>
        <w:br/>
        <w:t>1. 需求分析与设计（1个月）：调研同类产品，确定技术架构</w:t>
        <w:br/>
        <w:t>2. 3D建模阶段（2个月）：使用CATIA完成所有仪器建模</w:t>
        <w:br/>
        <w:t>3. 算法开发阶段（2个月）：MATLAB实现核心算法</w:t>
        <w:br/>
        <w:t>4. 前端开发阶段（2个月）：Vue项目搭建与组件开发</w:t>
        <w:br/>
        <w:t>5. 集成测试阶段（1个月）：四软件联调测试，性能优化</w:t>
      </w:r>
    </w:p>
    <w:p>
      <w:r>
        <w:rPr>
          <w:b/>
          <w:color w:val="1A5276"/>
          <w:sz w:val="24"/>
        </w:rPr>
        <w:t>Q22：项目中遇到的最大技术挑战是什么？如何解决的？</w:t>
      </w:r>
    </w:p>
    <w:p>
      <w:r>
        <w:rPr>
          <w:sz w:val="22"/>
        </w:rPr>
        <w:t>最大的挑战是多软件跨平台数据传递与实时性保证。</w:t>
        <w:br/>
        <w:br/>
        <w:t>问题描述：</w:t>
        <w:br/>
        <w:t>- CATIA导出的OBJ模型在Three.js中显示出现几何变形</w:t>
        <w:br/>
        <w:t>- MATLAB计算结果通过API传递存在延迟</w:t>
        <w:br/>
        <w:t>- 实时参数调整时3D场景和Canvas不同步</w:t>
        <w:br/>
        <w:br/>
        <w:t>解决方案：</w:t>
        <w:br/>
        <w:br/>
        <w:t>1. OBJ模型变形问题：编写脚本自动修正法线方向，统一坐标系变换矩阵</w:t>
        <w:br/>
        <w:t>2. API延迟问题：采用"预处理+实时计算"混合模式，将核心计算迁移到前端JavaScript实现</w:t>
        <w:br/>
        <w:t>3. 渲染不同步问题：使用统一的requestAnimationFrame驱动渲染循环，建立参数更新队列</w:t>
        <w:br/>
        <w:br/>
        <w:t>经验教训：跨平台数据传递需要充分测试，性能关键路径应尽量本地化计算</w:t>
      </w:r>
    </w:p>
    <w:p>
      <w:r>
        <w:rPr>
          <w:b/>
          <w:color w:val="1A5276"/>
          <w:sz w:val="24"/>
        </w:rPr>
        <w:t>Q23：如果让你重新开发这个项目，你会做哪些改进？</w:t>
      </w:r>
    </w:p>
    <w:p>
      <w:r>
        <w:rPr>
          <w:sz w:val="22"/>
        </w:rPr>
        <w:t>基于本次开发经验，我会在以下方面改进：</w:t>
        <w:br/>
        <w:br/>
        <w:t>1. 架构改进：引入TypeScript增强类型安全，使用Pinia替代简单的ref管理状态</w:t>
        <w:br/>
        <w:t>2. 开发流程改进：引入CI/CD自动化构建部署，使用Git Flow进行版本管理</w:t>
        <w:br/>
        <w:t>3. 技术选型改进：3D模型使用glTF格式（比OBJ更现代），考虑使用WebGPU替代WebGL</w:t>
        <w:br/>
        <w:t>4. 代码质量改进：更严格的代码规范和lint检查，完善的注释和文档</w:t>
        <w:br/>
        <w:t>5. 功能改进：更早引入用户反馈循环，更完善的错误处理和恢复机制</w:t>
      </w:r>
    </w:p>
    <w:p>
      <w:pPr>
        <w:pStyle w:val="Heading2"/>
      </w:pPr>
      <w:r>
        <w:t>十、应急问题处理</w:t>
      </w:r>
    </w:p>
    <w:p>
      <w:r>
        <w:rPr>
          <w:b/>
          <w:color w:val="1A5276"/>
          <w:sz w:val="24"/>
        </w:rPr>
        <w:t>Q24：如果现场演示时出现程序崩溃怎么办？</w:t>
      </w:r>
    </w:p>
    <w:p>
      <w:r>
        <w:rPr>
          <w:sz w:val="22"/>
        </w:rPr>
        <w:t>制定了完整的应急预案：</w:t>
        <w:br/>
        <w:br/>
        <w:t>1. 事前准备：录制完整的演示视频作为备份，准备多个测试场景，提前在不同环境测试</w:t>
        <w:br/>
        <w:t>2. 事中处理：保持冷静，说明问题可能原因；尝试刷新页面/重启浏览器；切换到备用演示视频</w:t>
        <w:br/>
        <w:t>3. 事后说明：坦诚说明问题原因，介绍容错机制和改进措施，强调系统在实际应用中的稳定性已得到验证</w:t>
      </w:r>
    </w:p>
    <w:p>
      <w:r>
        <w:rPr>
          <w:b/>
          <w:color w:val="1A5276"/>
          <w:sz w:val="24"/>
        </w:rPr>
        <w:t>Q25：如何证明这个系统的实验结果是可信的？</w:t>
      </w:r>
    </w:p>
    <w:p>
      <w:r>
        <w:rPr>
          <w:sz w:val="22"/>
        </w:rPr>
        <w:t>我们从多个角度验证了系统的可信度：</w:t>
        <w:br/>
        <w:br/>
        <w:t>1. 理论验证：计算公式基于成熟的物理理论，结果与教科书、文献中的标准值吻合</w:t>
        <w:br/>
        <w:t>2. 实验验证：与真实实验室的超声光栅实验结果对比，相对误差控制在2%以内</w:t>
        <w:br/>
        <w:t>3. 交叉验证：MATLAB计算结果与JavaScript实现一致，不同拟合方法的结果相互印证</w:t>
        <w:br/>
        <w:t>4. 用户反馈：邀请学生试用并收集反馈，根据反馈优化参数和算法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