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4E2DF0">
      <w:pPr>
        <w:pStyle w:val="2"/>
      </w:pPr>
      <w:r>
        <w:t>基于 Hadoop 的故障检测与自动恢复项目用例文档</w:t>
      </w:r>
    </w:p>
    <w:p w14:paraId="2AA1F49D">
      <w:pPr>
        <w:pStyle w:val="3"/>
      </w:pPr>
      <w:r>
        <w:t>1. 文档概述</w:t>
      </w:r>
    </w:p>
    <w:p w14:paraId="6A66131E">
      <w:pPr>
        <w:pStyle w:val="4"/>
      </w:pPr>
      <w:r>
        <w:t>1.1 目的</w:t>
      </w:r>
    </w:p>
    <w:p w14:paraId="1BAD5A43">
      <w:pPr>
        <w:pStyle w:val="16"/>
      </w:pPr>
      <w:r>
        <w:t>定义项目的核心用户场景（用例），明确参与者与系统的交互流程，为需求评审、开发设计、测试用例编写提供依据，确保系统功能符合运维人员实际操作需求。</w:t>
      </w:r>
    </w:p>
    <w:p w14:paraId="4B7636D5">
      <w:pPr>
        <w:pStyle w:val="4"/>
      </w:pPr>
      <w:r>
        <w:t>1.2 适用范围</w:t>
      </w:r>
    </w:p>
    <w:p w14:paraId="7EEA58B1">
      <w:pPr>
        <w:pStyle w:val="16"/>
      </w:pPr>
      <w:r>
        <w:t>覆盖项目所有核心功能模块（集群监控、故障管理、日志分析、系统管理），不包含非功能需求相关场景（如系统部署、性能优化）。</w:t>
      </w:r>
    </w:p>
    <w:p w14:paraId="0DDC50B8">
      <w:pPr>
        <w:pStyle w:val="4"/>
      </w:pPr>
      <w:r>
        <w:t>1.3 术语定义</w:t>
      </w:r>
    </w:p>
    <w:p w14:paraId="0D7959A3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</w:tblGrid>
      <w:tr w14:paraId="18E52E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B6985E">
            <w:pPr>
              <w:pStyle w:val="16"/>
            </w:pPr>
            <w:r>
              <w:t>术语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6DB39E">
            <w:pPr>
              <w:pStyle w:val="16"/>
            </w:pPr>
            <w:r>
              <w:t>定义</w:t>
            </w:r>
          </w:p>
        </w:tc>
      </w:tr>
      <w:tr w14:paraId="1D4E78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171F91">
            <w:pPr>
              <w:pStyle w:val="16"/>
            </w:pPr>
            <w:r>
              <w:t>参与者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25FC45">
            <w:pPr>
              <w:pStyle w:val="16"/>
            </w:pPr>
            <w:r>
              <w:t>与系统交互的角色，本文档中主要为 “运维人员”（核心用户）、“系统管理员”（辅助角色）</w:t>
            </w:r>
          </w:p>
        </w:tc>
      </w:tr>
      <w:tr w14:paraId="257FE4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CF462D">
            <w:pPr>
              <w:pStyle w:val="16"/>
            </w:pPr>
            <w:r>
              <w:t>用例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213353">
            <w:pPr>
              <w:pStyle w:val="16"/>
            </w:pPr>
            <w:r>
              <w:t>参与者为实现特定目标与系统进行的一系列交互流程</w:t>
            </w:r>
          </w:p>
        </w:tc>
      </w:tr>
      <w:tr w14:paraId="4E2E6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8DEC34">
            <w:pPr>
              <w:pStyle w:val="16"/>
            </w:pPr>
            <w:r>
              <w:t>扩展流程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B296BF">
            <w:pPr>
              <w:pStyle w:val="16"/>
            </w:pPr>
            <w:r>
              <w:t>用例基本流程之外的异常或分支场景（如网络异常、操作失败）</w:t>
            </w:r>
          </w:p>
        </w:tc>
      </w:tr>
      <w:tr w14:paraId="3C9646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40E79A">
            <w:pPr>
              <w:pStyle w:val="16"/>
            </w:pPr>
            <w:r>
              <w:t>风险分级修复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BBD7D7">
            <w:pPr>
              <w:pStyle w:val="16"/>
            </w:pPr>
            <w:r>
              <w:t>按故障风险分为低（自动执行）、中（人工确认后执行）、高（告警 + 人工审批）三级</w:t>
            </w:r>
          </w:p>
        </w:tc>
      </w:tr>
    </w:tbl>
    <w:p w14:paraId="3863D171">
      <w:pPr>
        <w:pStyle w:val="3"/>
      </w:pPr>
      <w:r>
        <w:t>2. 参与者定义</w:t>
      </w:r>
    </w:p>
    <w:p w14:paraId="5D1577AD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5C4250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273694">
            <w:pPr>
              <w:pStyle w:val="16"/>
            </w:pPr>
            <w:r>
              <w:t>参与者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23C53D">
            <w:pPr>
              <w:pStyle w:val="16"/>
            </w:pPr>
            <w:r>
              <w:t>角色描述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6CDEF9">
            <w:pPr>
              <w:pStyle w:val="16"/>
            </w:pPr>
            <w:r>
              <w:t>核心操作场景</w:t>
            </w:r>
          </w:p>
        </w:tc>
      </w:tr>
      <w:tr w14:paraId="76E516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3D0AC9">
            <w:pPr>
              <w:pStyle w:val="16"/>
            </w:pPr>
            <w:r>
              <w:t>运维人员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5B51BA">
            <w:pPr>
              <w:pStyle w:val="16"/>
            </w:pPr>
            <w:r>
              <w:t>系统主要使用者，负责 Hadoop 集群日常运维、故障处理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191709">
            <w:pPr>
              <w:pStyle w:val="16"/>
            </w:pPr>
            <w:r>
              <w:t>查看集群状态、处理故障、分析日志、执行修复操作</w:t>
            </w:r>
          </w:p>
        </w:tc>
      </w:tr>
      <w:tr w14:paraId="4BE6E8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4666B9">
            <w:pPr>
              <w:pStyle w:val="16"/>
            </w:pPr>
            <w:r>
              <w:t>系统管理员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DD769E">
            <w:pPr>
              <w:pStyle w:val="16"/>
            </w:pPr>
            <w:r>
              <w:t>辅助角色，负责系统本身的部署、配置维护、监控数据查看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CCEC22">
            <w:pPr>
              <w:pStyle w:val="16"/>
            </w:pPr>
            <w:r>
              <w:t>配置大模型 API 密钥、查看系统运行状态（如 Flume 采集量）、管理运维人员账号</w:t>
            </w:r>
          </w:p>
        </w:tc>
      </w:tr>
    </w:tbl>
    <w:p w14:paraId="47470F16">
      <w:pPr>
        <w:pStyle w:val="3"/>
      </w:pPr>
      <w:r>
        <w:t>3. 用例图（UML 标准）</w:t>
      </w:r>
    </w:p>
    <w:p w14:paraId="10FA3D0A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916"/>
      </w:tblGrid>
      <w:tr w14:paraId="05AFDD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8C7CF5">
            <w:pPr>
              <w:pStyle w:val="16"/>
            </w:pPr>
            <w:r>
              <w:t>graph TD</w:t>
            </w:r>
          </w:p>
          <w:p w14:paraId="68A8D7B5">
            <w:pPr>
              <w:pStyle w:val="16"/>
            </w:pPr>
            <w:r>
              <w:t xml:space="preserve">    actor 运维人员</w:t>
            </w:r>
          </w:p>
          <w:p w14:paraId="1456A50F">
            <w:pPr>
              <w:pStyle w:val="16"/>
            </w:pPr>
            <w:r>
              <w:t xml:space="preserve">    actor 系统管理员</w:t>
            </w:r>
          </w:p>
          <w:p w14:paraId="4492B84E">
            <w:pPr>
              <w:pStyle w:val="16"/>
            </w:pPr>
            <w:r>
              <w:t xml:space="preserve">    </w:t>
            </w:r>
          </w:p>
          <w:p w14:paraId="521126D5">
            <w:pPr>
              <w:pStyle w:val="16"/>
            </w:pPr>
            <w:r>
              <w:t xml:space="preserve">    运维人员 --&gt; 用例1[登录系统]</w:t>
            </w:r>
          </w:p>
          <w:p w14:paraId="271F3C2D">
            <w:pPr>
              <w:pStyle w:val="16"/>
            </w:pPr>
            <w:r>
              <w:t xml:space="preserve">    运维人员 --&gt; 用例2[查看集群节点状态]</w:t>
            </w:r>
          </w:p>
          <w:p w14:paraId="54E256D9">
            <w:pPr>
              <w:pStyle w:val="16"/>
            </w:pPr>
            <w:r>
              <w:t xml:space="preserve">    运维人员 --&gt; 用例3[查看故障列表与详情]</w:t>
            </w:r>
          </w:p>
          <w:p w14:paraId="5F782EC4">
            <w:pPr>
              <w:pStyle w:val="16"/>
            </w:pPr>
            <w:r>
              <w:t xml:space="preserve">    运维人员 --&gt; 用例4[执行故障自动修复]</w:t>
            </w:r>
          </w:p>
          <w:p w14:paraId="424B4472">
            <w:pPr>
              <w:pStyle w:val="16"/>
            </w:pPr>
            <w:r>
              <w:t xml:space="preserve">    运维人员 --&gt; 用例5[提交日志至AI分析]</w:t>
            </w:r>
          </w:p>
          <w:p w14:paraId="6B032F72">
            <w:pPr>
              <w:pStyle w:val="16"/>
            </w:pPr>
            <w:r>
              <w:t xml:space="preserve">    运维人员 --&gt; 用例6[查看修复结果与操作日志]</w:t>
            </w:r>
          </w:p>
          <w:p w14:paraId="4E5AB1A0">
            <w:pPr>
              <w:pStyle w:val="16"/>
            </w:pPr>
            <w:r>
              <w:t xml:space="preserve">    </w:t>
            </w:r>
          </w:p>
          <w:p w14:paraId="7548C122">
            <w:pPr>
              <w:pStyle w:val="16"/>
            </w:pPr>
            <w:r>
              <w:t xml:space="preserve">    系统管理员 --&gt; 用例7[配置大模型API]</w:t>
            </w:r>
          </w:p>
          <w:p w14:paraId="318029F0">
            <w:pPr>
              <w:pStyle w:val="16"/>
            </w:pPr>
            <w:r>
              <w:t xml:space="preserve">    系统管理员 --&gt; 用例8[查看系统运行监控]</w:t>
            </w:r>
          </w:p>
          <w:p w14:paraId="4F177376">
            <w:pPr>
              <w:pStyle w:val="16"/>
            </w:pPr>
            <w:r>
              <w:t xml:space="preserve">    系统管理员 --&gt; 用例9[管理运维账号]</w:t>
            </w:r>
          </w:p>
          <w:p w14:paraId="56061F7E">
            <w:pPr>
              <w:pStyle w:val="16"/>
            </w:pPr>
            <w:r>
              <w:t xml:space="preserve">    </w:t>
            </w:r>
          </w:p>
          <w:p w14:paraId="337264C4">
            <w:pPr>
              <w:pStyle w:val="16"/>
            </w:pPr>
            <w:r>
              <w:t xml:space="preserve">    用例1 --&gt; 用例2</w:t>
            </w:r>
          </w:p>
          <w:p w14:paraId="2748C523">
            <w:pPr>
              <w:pStyle w:val="16"/>
            </w:pPr>
            <w:r>
              <w:t xml:space="preserve">    用例1 --&gt; 用例3</w:t>
            </w:r>
          </w:p>
          <w:p w14:paraId="455E8806">
            <w:pPr>
              <w:pStyle w:val="16"/>
            </w:pPr>
            <w:r>
              <w:t xml:space="preserve">    用例3 --&gt; 用例4</w:t>
            </w:r>
          </w:p>
          <w:p w14:paraId="72E019B9">
            <w:pPr>
              <w:pStyle w:val="16"/>
            </w:pPr>
            <w:r>
              <w:t xml:space="preserve">    用例3 --&gt; 用例5</w:t>
            </w:r>
          </w:p>
          <w:p w14:paraId="549F2FC2">
            <w:pPr>
              <w:pStyle w:val="16"/>
            </w:pPr>
            <w:r>
              <w:t xml:space="preserve">    用例4 --&gt; 用例6</w:t>
            </w:r>
          </w:p>
          <w:p w14:paraId="2F3470C2">
            <w:pPr>
              <w:pStyle w:val="16"/>
            </w:pPr>
            <w:r>
              <w:t xml:space="preserve">    用例5 --&gt; 用例3</w:t>
            </w:r>
          </w:p>
        </w:tc>
      </w:tr>
    </w:tbl>
    <w:p w14:paraId="3B71EF49">
      <w:pPr>
        <w:pStyle w:val="3"/>
      </w:pPr>
      <w:r>
        <w:t>4. 核心用例列表（按模块分类）</w:t>
      </w:r>
    </w:p>
    <w:p w14:paraId="08F36765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3"/>
        <w:gridCol w:w="1505"/>
        <w:gridCol w:w="1678"/>
        <w:gridCol w:w="1404"/>
        <w:gridCol w:w="1872"/>
        <w:gridCol w:w="1404"/>
      </w:tblGrid>
      <w:tr w14:paraId="1AF596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40B13E">
            <w:pPr>
              <w:pStyle w:val="16"/>
            </w:pPr>
            <w:r>
              <w:t>用例模块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494D85">
            <w:pPr>
              <w:pStyle w:val="16"/>
            </w:pPr>
            <w:r>
              <w:t>用例 ID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34BF8D">
            <w:pPr>
              <w:pStyle w:val="16"/>
            </w:pPr>
            <w:r>
              <w:t>用例名称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B15816">
            <w:pPr>
              <w:pStyle w:val="16"/>
            </w:pPr>
            <w:r>
              <w:t>参与者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3B23E8">
            <w:pPr>
              <w:pStyle w:val="16"/>
            </w:pPr>
            <w:r>
              <w:t>关联功能模块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3DB349">
            <w:pPr>
              <w:pStyle w:val="16"/>
            </w:pPr>
            <w:r>
              <w:t>优先级</w:t>
            </w:r>
          </w:p>
        </w:tc>
      </w:tr>
      <w:tr w14:paraId="50F2AD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30D80C">
            <w:pPr>
              <w:pStyle w:val="16"/>
            </w:pPr>
            <w:r>
              <w:t>系统登录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201FD7">
            <w:pPr>
              <w:pStyle w:val="16"/>
            </w:pPr>
            <w:r>
              <w:t>UC-001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396E59">
            <w:pPr>
              <w:pStyle w:val="16"/>
            </w:pPr>
            <w:r>
              <w:t>登录系统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601BC7">
            <w:pPr>
              <w:pStyle w:val="16"/>
            </w:pPr>
            <w:r>
              <w:t>运维人员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5BC518">
            <w:pPr>
              <w:pStyle w:val="16"/>
            </w:pPr>
            <w:r>
              <w:t>Web 应用前端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0CB4A2">
            <w:pPr>
              <w:pStyle w:val="16"/>
            </w:pPr>
            <w:r>
              <w:t>高</w:t>
            </w:r>
          </w:p>
        </w:tc>
      </w:tr>
      <w:tr w14:paraId="346DBA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3CBFB8">
            <w:pPr>
              <w:pStyle w:val="16"/>
            </w:pPr>
            <w:r>
              <w:t>集群监控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E4EB61">
            <w:pPr>
              <w:pStyle w:val="16"/>
            </w:pPr>
            <w:r>
              <w:t>UC-002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D0D6A2">
            <w:pPr>
              <w:pStyle w:val="16"/>
            </w:pPr>
            <w:r>
              <w:t>查看集群节点状态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6A9D17">
            <w:pPr>
              <w:pStyle w:val="16"/>
            </w:pPr>
            <w:r>
              <w:t>运维人员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C6BC9E">
            <w:pPr>
              <w:pStyle w:val="16"/>
            </w:pPr>
            <w:r>
              <w:t>Web 应用前端、后端集群接口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57ED5C">
            <w:pPr>
              <w:pStyle w:val="16"/>
            </w:pPr>
            <w:r>
              <w:t>高</w:t>
            </w:r>
          </w:p>
        </w:tc>
      </w:tr>
      <w:tr w14:paraId="79CB91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907A63">
            <w:pPr>
              <w:pStyle w:val="16"/>
            </w:pPr>
            <w:r>
              <w:t>集群监控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4F786C">
            <w:pPr>
              <w:pStyle w:val="16"/>
            </w:pPr>
            <w:r>
              <w:t>UC-003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59C021">
            <w:pPr>
              <w:pStyle w:val="16"/>
            </w:pPr>
            <w:r>
              <w:t>查看集群资源趋势（CPU / 磁盘）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EF56D2">
            <w:pPr>
              <w:pStyle w:val="16"/>
            </w:pPr>
            <w:r>
              <w:t>运维人员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C81FA3">
            <w:pPr>
              <w:pStyle w:val="16"/>
            </w:pPr>
            <w:r>
              <w:t>Web 应用前端（ECharts 图表）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CD0438">
            <w:pPr>
              <w:pStyle w:val="16"/>
            </w:pPr>
            <w:r>
              <w:t>中</w:t>
            </w:r>
          </w:p>
        </w:tc>
      </w:tr>
      <w:tr w14:paraId="0BD8F0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B71134">
            <w:pPr>
              <w:pStyle w:val="16"/>
            </w:pPr>
            <w:r>
              <w:t>故障管理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D5B3C3">
            <w:pPr>
              <w:pStyle w:val="16"/>
            </w:pPr>
            <w:r>
              <w:t>UC-004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800778">
            <w:pPr>
              <w:pStyle w:val="16"/>
            </w:pPr>
            <w:r>
              <w:t>查看故障列表（按状态筛选）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0C21FB">
            <w:pPr>
              <w:pStyle w:val="16"/>
            </w:pPr>
            <w:r>
              <w:t>运维人员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29A300">
            <w:pPr>
              <w:pStyle w:val="16"/>
            </w:pPr>
            <w:r>
              <w:t>Web 应用前端、MySQL 数据查询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090B57">
            <w:pPr>
              <w:pStyle w:val="16"/>
            </w:pPr>
            <w:r>
              <w:t>高</w:t>
            </w:r>
          </w:p>
        </w:tc>
      </w:tr>
      <w:tr w14:paraId="46C2CF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23023B">
            <w:pPr>
              <w:pStyle w:val="16"/>
            </w:pPr>
            <w:r>
              <w:t>故障管理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9DEAC3">
            <w:pPr>
              <w:pStyle w:val="16"/>
            </w:pPr>
            <w:r>
              <w:t>UC-005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AD7512">
            <w:pPr>
              <w:pStyle w:val="16"/>
            </w:pPr>
            <w:r>
              <w:t>查看故障详情（日志 + 诊断结果）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E9CD1A">
            <w:pPr>
              <w:pStyle w:val="16"/>
            </w:pPr>
            <w:r>
              <w:t>运维人员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957802">
            <w:pPr>
              <w:pStyle w:val="16"/>
            </w:pPr>
            <w:r>
              <w:t>Web 应用前端、后端故障接口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D18A0B">
            <w:pPr>
              <w:pStyle w:val="16"/>
            </w:pPr>
            <w:r>
              <w:t>高</w:t>
            </w:r>
          </w:p>
        </w:tc>
      </w:tr>
      <w:tr w14:paraId="751CC6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3AC987">
            <w:pPr>
              <w:pStyle w:val="16"/>
            </w:pPr>
            <w:r>
              <w:t>故障管理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8E5C98">
            <w:pPr>
              <w:pStyle w:val="16"/>
            </w:pPr>
            <w:r>
              <w:t>UC-006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CF9321">
            <w:pPr>
              <w:pStyle w:val="16"/>
            </w:pPr>
            <w:r>
              <w:t>执行故障自动修复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F8EF61">
            <w:pPr>
              <w:pStyle w:val="16"/>
            </w:pPr>
            <w:r>
              <w:t>运维人员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E6888E">
            <w:pPr>
              <w:pStyle w:val="16"/>
            </w:pPr>
            <w:r>
              <w:t>自动修复模块、后端脚本调用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E4177C">
            <w:pPr>
              <w:pStyle w:val="16"/>
            </w:pPr>
            <w:r>
              <w:t>高</w:t>
            </w:r>
          </w:p>
        </w:tc>
      </w:tr>
      <w:tr w14:paraId="0AE5EB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A014DE">
            <w:pPr>
              <w:pStyle w:val="16"/>
            </w:pPr>
            <w:r>
              <w:t>日志分析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085F6A">
            <w:pPr>
              <w:pStyle w:val="16"/>
            </w:pPr>
            <w:r>
              <w:t>UC-007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153B6C">
            <w:pPr>
              <w:pStyle w:val="16"/>
            </w:pPr>
            <w:r>
              <w:t>按条件查询结构化日志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AE2136">
            <w:pPr>
              <w:pStyle w:val="16"/>
            </w:pPr>
            <w:r>
              <w:t>运维人员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D0704E">
            <w:pPr>
              <w:pStyle w:val="16"/>
            </w:pPr>
            <w:r>
              <w:t>Web 应用前端、后端日志接口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1FB82D">
            <w:pPr>
              <w:pStyle w:val="16"/>
            </w:pPr>
            <w:r>
              <w:t>中</w:t>
            </w:r>
          </w:p>
        </w:tc>
      </w:tr>
      <w:tr w14:paraId="29855F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C23165">
            <w:pPr>
              <w:pStyle w:val="16"/>
            </w:pPr>
            <w:r>
              <w:t>日志分析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4DE290">
            <w:pPr>
              <w:pStyle w:val="16"/>
            </w:pPr>
            <w:r>
              <w:t>UC-008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5DD3A9">
            <w:pPr>
              <w:pStyle w:val="16"/>
            </w:pPr>
            <w:r>
              <w:t>提交日志至 AI 分析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4EB0C3">
            <w:pPr>
              <w:pStyle w:val="16"/>
            </w:pPr>
            <w:r>
              <w:t>运维人员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E9C246">
            <w:pPr>
              <w:pStyle w:val="16"/>
            </w:pPr>
            <w:r>
              <w:t>智能诊断模块、大模型接口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3E36F6">
            <w:pPr>
              <w:pStyle w:val="16"/>
            </w:pPr>
            <w:r>
              <w:t>高</w:t>
            </w:r>
          </w:p>
        </w:tc>
      </w:tr>
      <w:tr w14:paraId="01913B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D70C41">
            <w:pPr>
              <w:pStyle w:val="16"/>
            </w:pPr>
            <w:r>
              <w:t>结果查看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8D6882">
            <w:pPr>
              <w:pStyle w:val="16"/>
            </w:pPr>
            <w:r>
              <w:t>UC-009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528034">
            <w:pPr>
              <w:pStyle w:val="16"/>
            </w:pPr>
            <w:r>
              <w:t>查看修复结果与操作日志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512A1F">
            <w:pPr>
              <w:pStyle w:val="16"/>
            </w:pPr>
            <w:r>
              <w:t>运维人员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AAA184">
            <w:pPr>
              <w:pStyle w:val="16"/>
            </w:pPr>
            <w:r>
              <w:t>Web 应用前端、MySQL 数据查询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B91392">
            <w:pPr>
              <w:pStyle w:val="16"/>
            </w:pPr>
            <w:r>
              <w:t>中</w:t>
            </w:r>
          </w:p>
        </w:tc>
      </w:tr>
      <w:tr w14:paraId="559A2A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3AC266">
            <w:pPr>
              <w:pStyle w:val="16"/>
            </w:pPr>
            <w:r>
              <w:t>系统管理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3FB48A">
            <w:pPr>
              <w:pStyle w:val="16"/>
            </w:pPr>
            <w:r>
              <w:t>UC-010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732629">
            <w:pPr>
              <w:pStyle w:val="16"/>
            </w:pPr>
            <w:r>
              <w:t>配置大模型 API 密钥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4ECEFE">
            <w:pPr>
              <w:pStyle w:val="16"/>
            </w:pPr>
            <w:r>
              <w:t>系统管理员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8E455F">
            <w:pPr>
              <w:pStyle w:val="16"/>
            </w:pPr>
            <w:r>
              <w:t>智能诊断模块、后端配置接口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519911">
            <w:pPr>
              <w:pStyle w:val="16"/>
            </w:pPr>
            <w:r>
              <w:t>高</w:t>
            </w:r>
          </w:p>
        </w:tc>
      </w:tr>
      <w:tr w14:paraId="54C725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397865">
            <w:pPr>
              <w:pStyle w:val="16"/>
            </w:pPr>
            <w:r>
              <w:t>系统管理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42DCF0">
            <w:pPr>
              <w:pStyle w:val="16"/>
            </w:pPr>
            <w:r>
              <w:t>UC-011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E6982E">
            <w:pPr>
              <w:pStyle w:val="16"/>
            </w:pPr>
            <w:r>
              <w:t>查看系统运行监控（采集量 / 成功率）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142F12">
            <w:pPr>
              <w:pStyle w:val="16"/>
            </w:pPr>
            <w:r>
              <w:t>系统管理员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D63AED">
            <w:pPr>
              <w:pStyle w:val="16"/>
            </w:pPr>
            <w:r>
              <w:t>Web 应用前端、运维监控模块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14087A">
            <w:pPr>
              <w:pStyle w:val="16"/>
            </w:pPr>
            <w:r>
              <w:t>中</w:t>
            </w:r>
          </w:p>
        </w:tc>
      </w:tr>
      <w:tr w14:paraId="17C76B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74BAF2">
            <w:pPr>
              <w:pStyle w:val="16"/>
            </w:pPr>
            <w:r>
              <w:t>系统管理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5A882B">
            <w:pPr>
              <w:pStyle w:val="16"/>
            </w:pPr>
            <w:r>
              <w:t>UC-012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3EF43E">
            <w:pPr>
              <w:pStyle w:val="16"/>
            </w:pPr>
            <w:r>
              <w:t>新增 / 禁用运维人员账号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378439">
            <w:pPr>
              <w:pStyle w:val="16"/>
            </w:pPr>
            <w:r>
              <w:t>系统管理员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CDC676">
            <w:pPr>
              <w:pStyle w:val="16"/>
            </w:pPr>
            <w:r>
              <w:t>Web 应用前端、MySQL 用户表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034C1F">
            <w:pPr>
              <w:pStyle w:val="16"/>
            </w:pPr>
            <w:r>
              <w:t>中</w:t>
            </w:r>
          </w:p>
        </w:tc>
      </w:tr>
    </w:tbl>
    <w:p w14:paraId="176CBB28">
      <w:pPr>
        <w:pStyle w:val="3"/>
      </w:pPr>
      <w:r>
        <w:t>5. 详细用例描述（高优先级用例）</w:t>
      </w:r>
    </w:p>
    <w:p w14:paraId="5E66A345">
      <w:pPr>
        <w:pStyle w:val="4"/>
      </w:pPr>
      <w:r>
        <w:t>5.1 用例 ID：UC-001 用例名称：登录系统</w:t>
      </w:r>
    </w:p>
    <w:p w14:paraId="7734B144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</w:tblGrid>
      <w:tr w14:paraId="7F099F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64393A">
            <w:pPr>
              <w:pStyle w:val="16"/>
            </w:pPr>
            <w:r>
              <w:t>字段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BAEE10">
            <w:pPr>
              <w:pStyle w:val="16"/>
            </w:pPr>
            <w:r>
              <w:t>描述</w:t>
            </w:r>
          </w:p>
        </w:tc>
      </w:tr>
      <w:tr w14:paraId="60C102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706178">
            <w:pPr>
              <w:pStyle w:val="16"/>
            </w:pPr>
            <w:r>
              <w:t>参与者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B65E70">
            <w:pPr>
              <w:pStyle w:val="16"/>
            </w:pPr>
            <w:r>
              <w:t>运维人员</w:t>
            </w:r>
          </w:p>
        </w:tc>
      </w:tr>
      <w:tr w14:paraId="79F9E6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A4EC1C">
            <w:pPr>
              <w:pStyle w:val="16"/>
            </w:pPr>
            <w:r>
              <w:t>用例目标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585627">
            <w:pPr>
              <w:pStyle w:val="16"/>
            </w:pPr>
            <w:r>
              <w:t>运维人员通过账号密码验证，获取系统操作权限</w:t>
            </w:r>
          </w:p>
        </w:tc>
      </w:tr>
      <w:tr w14:paraId="19F130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6A5FA7">
            <w:pPr>
              <w:pStyle w:val="16"/>
            </w:pPr>
            <w:r>
              <w:t>前置条件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A3C09B">
            <w:pPr>
              <w:pStyle w:val="16"/>
            </w:pPr>
            <w:r>
              <w:t>1. 运维人员已获取系统账号（由系统管理员创建）；2. 前端系统已部署并可访问</w:t>
            </w:r>
          </w:p>
        </w:tc>
      </w:tr>
      <w:tr w14:paraId="049126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B314CE">
            <w:pPr>
              <w:pStyle w:val="16"/>
            </w:pPr>
            <w:r>
              <w:t>后置条件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053884">
            <w:pPr>
              <w:pStyle w:val="16"/>
            </w:pPr>
            <w:r>
              <w:t>1. 验证成功：跳转至系统首页（集群监控页），生成登录 Token（有效期 8 小时）；2. 验证失败：提示 “账号或密码错误”</w:t>
            </w:r>
          </w:p>
        </w:tc>
      </w:tr>
      <w:tr w14:paraId="770F29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157F80">
            <w:pPr>
              <w:pStyle w:val="16"/>
            </w:pPr>
            <w:r>
              <w:t>基本流程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BC4DC0">
            <w:pPr>
              <w:pStyle w:val="16"/>
            </w:pPr>
            <w:r>
              <w:t>1. 运维人员访问系统登录地址（如</w:t>
            </w:r>
            <w:r>
              <w:fldChar w:fldCharType="begin"/>
            </w:r>
            <w:r>
              <w:instrText xml:space="preserve"> HYPERLINK "http://xxx.xxx.xxx.xxx:80" </w:instrText>
            </w:r>
            <w:r>
              <w:fldChar w:fldCharType="separate"/>
            </w:r>
            <w:r>
              <w:rPr>
                <w:rStyle w:val="12"/>
              </w:rPr>
              <w:t>http://xxx.xxx</w:t>
            </w:r>
            <w:r>
              <w:rPr>
                <w:rStyle w:val="12"/>
              </w:rPr>
              <w:fldChar w:fldCharType="end"/>
            </w:r>
            <w:r>
              <w:fldChar w:fldCharType="begin"/>
            </w:r>
            <w:r>
              <w:instrText xml:space="preserve"> HYPERLINK "http://xxx.xxx.xxx.xxx:80" </w:instrText>
            </w:r>
            <w:r>
              <w:fldChar w:fldCharType="separate"/>
            </w:r>
            <w:r>
              <w:rPr>
                <w:rStyle w:val="12"/>
              </w:rPr>
              <w:t>.xxx</w:t>
            </w:r>
            <w:r>
              <w:rPr>
                <w:rStyle w:val="12"/>
              </w:rPr>
              <w:fldChar w:fldCharType="end"/>
            </w:r>
            <w:r>
              <w:fldChar w:fldCharType="begin"/>
            </w:r>
            <w:r>
              <w:instrText xml:space="preserve"> HYPERLINK "http://xxx.xxx.xxx.xxx:80" </w:instrText>
            </w:r>
            <w:r>
              <w:fldChar w:fldCharType="separate"/>
            </w:r>
            <w:r>
              <w:rPr>
                <w:rStyle w:val="12"/>
              </w:rPr>
              <w:t>.xxx:80</w:t>
            </w:r>
            <w:r>
              <w:rPr>
                <w:rStyle w:val="12"/>
              </w:rPr>
              <w:fldChar w:fldCharType="end"/>
            </w:r>
            <w:r>
              <w:t>）；2. 系统展示登录表单（账号输入框、密码输入框、“登录” 按钮）；3. 运维人员输入账号（如 admin）、密码（如 123456@abc）；4. 运维人员点击 “登录” 按钮；5. 前端将账号密码加密后发送至后端</w:t>
            </w:r>
            <w:r>
              <w:rPr>
                <w:highlight w:val="cyan"/>
                <w:bdr w:val="single" w:color="DEE0E3" w:sz="4" w:space="0"/>
              </w:rPr>
              <w:t>/api/user/login</w:t>
            </w:r>
            <w:r>
              <w:t>接口；6. 后端验证账号密码（查询 MySQL</w:t>
            </w:r>
            <w:r>
              <w:rPr>
                <w:highlight w:val="cyan"/>
                <w:bdr w:val="single" w:color="DEE0E3" w:sz="4" w:space="0"/>
              </w:rPr>
              <w:t>user</w:t>
            </w:r>
            <w:r>
              <w:t>表）；7. 验证成功：后端返回 Token，前端存储 Token 并跳转至首页；8. 验证失败：后端返回错误信息，前端展示错误提示</w:t>
            </w:r>
          </w:p>
        </w:tc>
      </w:tr>
      <w:tr w14:paraId="6A4E15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78E4A6">
            <w:pPr>
              <w:pStyle w:val="16"/>
            </w:pPr>
            <w:r>
              <w:t>扩展流程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240DFC">
            <w:pPr>
              <w:pStyle w:val="16"/>
            </w:pPr>
            <w:r>
              <w:t>1. 扩展点：步骤 6 中账号被禁用（系统管理员设置）；   处理：后端返回 “账号已禁用，请联系管理员”，前端展示该提示；2. 扩展点：步骤 5 中网络异常；   处理：前端提示 “网络连接失败，请重试”，提供 “重新提交” 按钮</w:t>
            </w:r>
          </w:p>
        </w:tc>
      </w:tr>
    </w:tbl>
    <w:p w14:paraId="17D095D0">
      <w:pPr>
        <w:pStyle w:val="4"/>
      </w:pPr>
      <w:r>
        <w:t>5.2 用例 ID：UC-002 用例名称：查看集群节点状态</w:t>
      </w:r>
    </w:p>
    <w:p w14:paraId="06419347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</w:tblGrid>
      <w:tr w14:paraId="5B949A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8CE896">
            <w:pPr>
              <w:pStyle w:val="16"/>
            </w:pPr>
            <w:r>
              <w:t>字段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33AC83">
            <w:pPr>
              <w:pStyle w:val="16"/>
            </w:pPr>
            <w:r>
              <w:t>描述</w:t>
            </w:r>
          </w:p>
        </w:tc>
      </w:tr>
      <w:tr w14:paraId="3977B1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3DC6D5">
            <w:pPr>
              <w:pStyle w:val="16"/>
            </w:pPr>
            <w:r>
              <w:t>参与者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0B2EE1">
            <w:pPr>
              <w:pStyle w:val="16"/>
            </w:pPr>
            <w:r>
              <w:t>运维人员</w:t>
            </w:r>
          </w:p>
        </w:tc>
      </w:tr>
      <w:tr w14:paraId="2DBA57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3F43F3">
            <w:pPr>
              <w:pStyle w:val="16"/>
            </w:pPr>
            <w:r>
              <w:t>用例目标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D593BC">
            <w:pPr>
              <w:pStyle w:val="16"/>
            </w:pPr>
            <w:r>
              <w:t>运维人员查看 Hadoop 集群所有节点的在线状态、角色及核心资源使用情况</w:t>
            </w:r>
          </w:p>
        </w:tc>
      </w:tr>
      <w:tr w14:paraId="46F1D2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57C6D7">
            <w:pPr>
              <w:pStyle w:val="16"/>
            </w:pPr>
            <w:r>
              <w:t>前置条件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0B64F6">
            <w:pPr>
              <w:pStyle w:val="16"/>
            </w:pPr>
            <w:r>
              <w:t>1. 运维人员已登录系统；2. 后端已获取 Hadoop 集群节点数据（缓存至 Redis）</w:t>
            </w:r>
          </w:p>
        </w:tc>
      </w:tr>
      <w:tr w14:paraId="60CFF2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A33AC9">
            <w:pPr>
              <w:pStyle w:val="16"/>
            </w:pPr>
            <w:r>
              <w:t>后置条件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328A71">
            <w:pPr>
              <w:pStyle w:val="16"/>
            </w:pPr>
            <w:r>
              <w:t>系统在 “集群监控页” 展示节点列表，标注异常节点（如磁盘使用率 &gt; 90% 标红）</w:t>
            </w:r>
          </w:p>
        </w:tc>
      </w:tr>
      <w:tr w14:paraId="126BF2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ABC6F9">
            <w:pPr>
              <w:pStyle w:val="16"/>
            </w:pPr>
            <w:r>
              <w:t>基本流程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5E53E9">
            <w:pPr>
              <w:pStyle w:val="16"/>
            </w:pPr>
            <w:r>
              <w:t>1. 运维人员登录后，系统默认跳转至 “集群监控页”；2. 前端调用后端</w:t>
            </w:r>
            <w:r>
              <w:rPr>
                <w:highlight w:val="cyan"/>
                <w:bdr w:val="single" w:color="DEE0E3" w:sz="4" w:space="0"/>
              </w:rPr>
              <w:t>/api/cluster/status</w:t>
            </w:r>
            <w:r>
              <w:t>接口，传入登录 Token；3. 后端验证 Token 有效性，从 Redis 获取缓存的节点数据（若缓存过期，调用 Hadoop API 实时获取并更新缓存）；4. 后端返回节点数据（含节点 IP、角色、状态、CPU 使用率、磁盘使用率、内存使用率）；5. 前端以表格形式展示节点列表，按角色分组（NameNode、DataNode、ResourceManager）；6. 前端对异常状态标注（如 “离线” 节点标红、磁盘使用率 &gt; 90% 标橙）；7. 运维人员可点击 “刷新” 按钮，触发前端重新调用接口获取最新数据</w:t>
            </w:r>
          </w:p>
        </w:tc>
      </w:tr>
      <w:tr w14:paraId="726FB9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231451">
            <w:pPr>
              <w:pStyle w:val="16"/>
            </w:pPr>
            <w:r>
              <w:t>扩展流程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EE6C1C">
            <w:pPr>
              <w:pStyle w:val="16"/>
            </w:pPr>
            <w:r>
              <w:t>1. 扩展点：步骤 3 中 Hadoop API 调用失败（如 NameNode 服务宕机）；   处理：后端返回 “集群连接失败”，前端展示 “当前无法获取集群状态，请稍后重试”，提供 “重试” 按钮；2. 扩展点：步骤 5 中节点数量为 0；   处理：前端展示 “未检测到集群节点，请联系系统管理员配置”</w:t>
            </w:r>
          </w:p>
        </w:tc>
      </w:tr>
    </w:tbl>
    <w:p w14:paraId="1972DBDE">
      <w:pPr>
        <w:pStyle w:val="4"/>
      </w:pPr>
      <w:r>
        <w:t>5.3 用例 ID：UC-006 用例名称：执行故障自动修复</w:t>
      </w:r>
    </w:p>
    <w:p w14:paraId="6A582441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</w:tblGrid>
      <w:tr w14:paraId="6700DD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AD023A">
            <w:pPr>
              <w:pStyle w:val="16"/>
            </w:pPr>
            <w:r>
              <w:t>字段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06D9C0">
            <w:pPr>
              <w:pStyle w:val="16"/>
            </w:pPr>
            <w:r>
              <w:t>描述</w:t>
            </w:r>
          </w:p>
        </w:tc>
      </w:tr>
      <w:tr w14:paraId="0A7111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CBAD25">
            <w:pPr>
              <w:pStyle w:val="16"/>
            </w:pPr>
            <w:r>
              <w:t>参与者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A5D307">
            <w:pPr>
              <w:pStyle w:val="16"/>
            </w:pPr>
            <w:r>
              <w:t>运维人员</w:t>
            </w:r>
          </w:p>
        </w:tc>
      </w:tr>
      <w:tr w14:paraId="0821C5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9FD021">
            <w:pPr>
              <w:pStyle w:val="16"/>
            </w:pPr>
            <w:r>
              <w:t>用例目标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FAF730">
            <w:pPr>
              <w:pStyle w:val="16"/>
            </w:pPr>
            <w:r>
              <w:t>运维人员根据故障风险等级，触发系统执行对应的修复操作</w:t>
            </w:r>
          </w:p>
        </w:tc>
      </w:tr>
      <w:tr w14:paraId="69AAB4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5CC12D">
            <w:pPr>
              <w:pStyle w:val="16"/>
            </w:pPr>
            <w:r>
              <w:t>前置条件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E73535">
            <w:pPr>
              <w:pStyle w:val="16"/>
            </w:pPr>
            <w:r>
              <w:t>1. 运维人员已登录系统；2. 运维人员已查看故障详情（UC-005）；3. 故障状态为 “未修复”</w:t>
            </w:r>
          </w:p>
        </w:tc>
      </w:tr>
      <w:tr w14:paraId="10379B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FC5667">
            <w:pPr>
              <w:pStyle w:val="16"/>
            </w:pPr>
            <w:r>
              <w:t>后置条件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DECB6C">
            <w:pPr>
              <w:pStyle w:val="16"/>
            </w:pPr>
            <w:r>
              <w:t>1. 修复成功：故障状态更新为 “已修复”，记录执行日志；2. 修复失败：故障状态更新为 “修复失败”，展示失败原因</w:t>
            </w:r>
          </w:p>
        </w:tc>
      </w:tr>
      <w:tr w14:paraId="05D6ED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D8A3DE">
            <w:pPr>
              <w:pStyle w:val="16"/>
            </w:pPr>
            <w:r>
              <w:t>基本流程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0C0035">
            <w:pPr>
              <w:pStyle w:val="16"/>
            </w:pPr>
            <w:r>
              <w:t>1. 运维人员在 “故障详情页” 查看故障信息（含故障类型、风险等级、修复脚本预览）；2. 系统根据风险等级展示操作按钮：   - 低风险（如临时文件清理）：展示 “自动修复” 按钮；   - 中风险（如重启 DataNode）：展示 “确认修复” 按钮；   - 高风险（如修改核心配置）：展示 “申请审批” 按钮（并提示 “需管理员审批后执行”）；3. 若为低风险：运维人员点击 “自动修复” 按钮；4. 前端调用后端</w:t>
            </w:r>
            <w:r>
              <w:rPr>
                <w:highlight w:val="cyan"/>
                <w:bdr w:val="single" w:color="DEE0E3" w:sz="4" w:space="0"/>
              </w:rPr>
              <w:t>/api/fault/execute</w:t>
            </w:r>
            <w:r>
              <w:t>接口，传入故障 ID；5. 后端调用对应的修复脚本（如</w:t>
            </w:r>
            <w:r>
              <w:rPr>
                <w:highlight w:val="cyan"/>
                <w:bdr w:val="single" w:color="DEE0E3" w:sz="4" w:space="0"/>
              </w:rPr>
              <w:t>clean_temp.sh</w:t>
            </w:r>
            <w:r>
              <w:t>），实时获取执行日志；6. 修复完成后，后端更新 MySQL</w:t>
            </w:r>
            <w:r>
              <w:rPr>
                <w:highlight w:val="cyan"/>
                <w:bdr w:val="single" w:color="DEE0E3" w:sz="4" w:space="0"/>
              </w:rPr>
              <w:t>fault_record</w:t>
            </w:r>
            <w:r>
              <w:t>表的 “修复状态”“执行日志”；7. 前端实时展示执行日志，修复成功后提示 “修复完成”，并刷新故障状态；8. 若为中风险：步骤 3 中点击 “确认修复” 后，前端弹出确认弹窗（含 “确定”“取消” 按钮），点击 “确定” 后执行步骤 4-7</w:t>
            </w:r>
          </w:p>
        </w:tc>
      </w:tr>
      <w:tr w14:paraId="083494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B5EF29">
            <w:pPr>
              <w:pStyle w:val="16"/>
            </w:pPr>
            <w:r>
              <w:t>扩展流程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DC3401">
            <w:pPr>
              <w:pStyle w:val="16"/>
            </w:pPr>
            <w:r>
              <w:t>1. 扩展点：步骤 5 中脚本执行失败（如权限不足）；   处理：后端返回 “修复失败：权限不足”，前端展示失败原因，并提供 “重试”“手动处理” 按钮；2. 扩展点：步骤 4 中接口调用超时（如网络卡顿）；   处理：前端提示 “请求超时，正在查询修复状态...”，自动调用</w:t>
            </w:r>
            <w:r>
              <w:rPr>
                <w:highlight w:val="cyan"/>
                <w:bdr w:val="single" w:color="DEE0E3" w:sz="4" w:space="0"/>
              </w:rPr>
              <w:t>/api/fault/status</w:t>
            </w:r>
            <w:r>
              <w:t>接口查询最新状态；3. 扩展点：高风险故障申请后，管理员未审批通过；   处理：前端收到审批结果通知（WebSocket），展示 “修复申请未通过，原因：xxx”</w:t>
            </w:r>
          </w:p>
        </w:tc>
      </w:tr>
    </w:tbl>
    <w:p w14:paraId="15034F36">
      <w:pPr>
        <w:pStyle w:val="4"/>
      </w:pPr>
      <w:r>
        <w:t>5.4 用例 ID：UC-008 用例名称：提交日志至 AI 分析</w:t>
      </w:r>
    </w:p>
    <w:p w14:paraId="4E9C2C67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</w:tblGrid>
      <w:tr w14:paraId="4D2137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2A3215">
            <w:pPr>
              <w:pStyle w:val="16"/>
            </w:pPr>
            <w:r>
              <w:t>字段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426301">
            <w:pPr>
              <w:pStyle w:val="16"/>
            </w:pPr>
            <w:r>
              <w:t>描述</w:t>
            </w:r>
          </w:p>
        </w:tc>
      </w:tr>
      <w:tr w14:paraId="629CF9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1D4D67">
            <w:pPr>
              <w:pStyle w:val="16"/>
            </w:pPr>
            <w:r>
              <w:t>参与者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E9873A">
            <w:pPr>
              <w:pStyle w:val="16"/>
            </w:pPr>
            <w:r>
              <w:t>运维人员</w:t>
            </w:r>
          </w:p>
        </w:tc>
      </w:tr>
      <w:tr w14:paraId="55D51A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0D7688">
            <w:pPr>
              <w:pStyle w:val="16"/>
            </w:pPr>
            <w:r>
              <w:t>用例目标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0DC4BC">
            <w:pPr>
              <w:pStyle w:val="16"/>
            </w:pPr>
            <w:r>
              <w:t>运维人员将未识别的日志提交至大模型，获取故障诊断结果</w:t>
            </w:r>
          </w:p>
        </w:tc>
      </w:tr>
      <w:tr w14:paraId="328A68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0EE799">
            <w:pPr>
              <w:pStyle w:val="16"/>
            </w:pPr>
            <w:r>
              <w:t>前置条件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0AA3DA">
            <w:pPr>
              <w:pStyle w:val="16"/>
            </w:pPr>
            <w:r>
              <w:t>1. 运维人员已登录系统；2. 运维人员已查询到目标日志（UC-007）；3. 大模型 API 已配置（UC-010）</w:t>
            </w:r>
          </w:p>
        </w:tc>
      </w:tr>
      <w:tr w14:paraId="1B822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4A822E">
            <w:pPr>
              <w:pStyle w:val="16"/>
            </w:pPr>
            <w:r>
              <w:t>后置条件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9E8189">
            <w:pPr>
              <w:pStyle w:val="16"/>
            </w:pPr>
            <w:r>
              <w:t>1. 分析成功：生成故障诊断结果，新增故障记录至 MySQL；2. 分析失败：提示 “AI 分析失败，请重试”</w:t>
            </w:r>
          </w:p>
        </w:tc>
      </w:tr>
      <w:tr w14:paraId="2BE1BE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4DDA47">
            <w:pPr>
              <w:pStyle w:val="16"/>
            </w:pPr>
            <w:r>
              <w:t>基本流程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40F9AD">
            <w:pPr>
              <w:pStyle w:val="16"/>
            </w:pPr>
            <w:r>
              <w:t>1. 运维人员在 “日志查询页” 勾选需分析的日志（支持多选，最多 10 条）；2. 运维人员点击 “提交 AI 分析” 按钮；3. 前端弹出确认弹窗（提示 “分析过程约 30 秒，请耐心等待”），运维人员点击 “确定”；4. 前端调用后端</w:t>
            </w:r>
            <w:r>
              <w:rPr>
                <w:highlight w:val="cyan"/>
                <w:bdr w:val="single" w:color="DEE0E3" w:sz="4" w:space="0"/>
              </w:rPr>
              <w:t>/api/llm/diagnose</w:t>
            </w:r>
            <w:r>
              <w:t>接口，传入选中的日志数据；5. 后端对日志进行结构化处理（补充时间戳、组件信息）；6. 后端调用大模型 API，传递结构化日志与 Prompt（强制输出故障类型、原因、修复脚本、风险等级）；7. 大模型返回分析结果，后端验证结果格式（是否符合</w:t>
            </w:r>
            <w:r>
              <w:rPr>
                <w:highlight w:val="cyan"/>
                <w:bdr w:val="single" w:color="DEE0E3" w:sz="4" w:space="0"/>
              </w:rPr>
              <w:t>FixCommand</w:t>
            </w:r>
            <w:r>
              <w:t>类定义）；8. 验证通过：后端新增故障记录至 MySQL</w:t>
            </w:r>
            <w:r>
              <w:rPr>
                <w:highlight w:val="cyan"/>
                <w:bdr w:val="single" w:color="DEE0E3" w:sz="4" w:space="0"/>
              </w:rPr>
              <w:t>fault_record</w:t>
            </w:r>
            <w:r>
              <w:t>表，返回诊断结果至前端；9. 前端展示诊断结果（含故障类型、原因、修复脚本预览），并提供 “查看故障详情”“执行修复” 按钮；10. 验证失败：后端返回 “AI 分析结果格式异常”，前端提示 “分析失败，请重试”</w:t>
            </w:r>
          </w:p>
        </w:tc>
      </w:tr>
      <w:tr w14:paraId="453E8F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347C10">
            <w:pPr>
              <w:pStyle w:val="16"/>
            </w:pPr>
            <w:r>
              <w:t>扩展流程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6856DA">
            <w:pPr>
              <w:pStyle w:val="16"/>
            </w:pPr>
            <w:r>
              <w:t>1. 扩展点：步骤 6 中大模型 API 调用失败（如密钥过期）；   处理：后端返回 “大模型连接失败，请联系管理员检查 API 配置”，前端展示该提示；2. 扩展点：步骤 6 中分析超时（超过 30 秒）；   处理：后端返回 “分析超时”，前端提示 “分析耗时过长，已后台继续处理，结果将通过通知推送”，后续通过 WebSocket 推送结果</w:t>
            </w:r>
          </w:p>
        </w:tc>
      </w:tr>
    </w:tbl>
    <w:p w14:paraId="2095C75F">
      <w:pPr>
        <w:pStyle w:val="3"/>
      </w:pPr>
      <w:r>
        <w:t>6. 用例优先级说明</w:t>
      </w:r>
    </w:p>
    <w:p w14:paraId="25DF0B08">
      <w:pPr>
        <w:pStyle w:val="16"/>
        <w:numPr>
          <w:ilvl w:val="0"/>
          <w:numId w:val="1"/>
        </w:numPr>
      </w:pPr>
      <w:r>
        <w:rPr>
          <w:b/>
          <w:bCs/>
        </w:rPr>
        <w:t>高优先级用例</w:t>
      </w:r>
      <w:r>
        <w:t>：直接影响运维核心工作（登录、集群监控、故障修复、AI 分析），需在项目开发第一阶段（前 4 周）完成；</w:t>
      </w:r>
    </w:p>
    <w:p w14:paraId="138B1ACE">
      <w:pPr>
        <w:pStyle w:val="16"/>
        <w:numPr>
          <w:ilvl w:val="0"/>
          <w:numId w:val="1"/>
        </w:numPr>
      </w:pPr>
      <w:r>
        <w:rPr>
          <w:b/>
          <w:bCs/>
        </w:rPr>
        <w:t>中优先级用例</w:t>
      </w:r>
      <w:r>
        <w:t>：辅助运维工作（资源趋势查看、操作日志查看、系统监控），需在项目开发第二阶段（第 5-6 周）完成；</w:t>
      </w:r>
    </w:p>
    <w:p w14:paraId="73369B9F">
      <w:pPr>
        <w:pStyle w:val="16"/>
        <w:numPr>
          <w:ilvl w:val="0"/>
          <w:numId w:val="1"/>
        </w:numPr>
      </w:pPr>
      <w:r>
        <w:rPr>
          <w:b/>
          <w:bCs/>
        </w:rPr>
        <w:t>低优先级用例</w:t>
      </w:r>
      <w:r>
        <w:t>：非核心辅助功能（如日志导出、自定义告警阈值），可根据项目进度灵活调整，若时间紧张可延后至上线后迭代。</w:t>
      </w:r>
    </w:p>
    <w:p w14:paraId="493C97B0">
      <w:pPr>
        <w:pStyle w:val="3"/>
      </w:pPr>
      <w:r>
        <w:t>7. 异常场景补充</w:t>
      </w:r>
    </w:p>
    <w:p w14:paraId="0C18D99E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3E8174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B5BA38">
            <w:pPr>
              <w:pStyle w:val="16"/>
            </w:pPr>
            <w:bookmarkStart w:id="0" w:name="_GoBack" w:colFirst="0" w:colLast="2"/>
            <w:r>
              <w:t>异常场景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4D4A5E">
            <w:pPr>
              <w:pStyle w:val="16"/>
            </w:pPr>
            <w:r>
              <w:t>影响用例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ECCEA6">
            <w:pPr>
              <w:pStyle w:val="16"/>
            </w:pPr>
            <w:r>
              <w:t>处理策略</w:t>
            </w:r>
          </w:p>
        </w:tc>
      </w:tr>
      <w:tr w14:paraId="17EF47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219883">
            <w:pPr>
              <w:pStyle w:val="16"/>
            </w:pPr>
            <w:r>
              <w:t>大模型 API 密钥过期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2F89F5">
            <w:pPr>
              <w:pStyle w:val="16"/>
            </w:pPr>
            <w:r>
              <w:t>UC-008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3517DD">
            <w:pPr>
              <w:pStyle w:val="16"/>
            </w:pPr>
            <w:r>
              <w:t>系统管理员收到钉钉告警，执行 UC-010（重新配置密钥），前端提示 “AI 服务暂不可用”</w:t>
            </w:r>
          </w:p>
        </w:tc>
      </w:tr>
      <w:tr w14:paraId="04D3D4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7AEC5A">
            <w:pPr>
              <w:pStyle w:val="16"/>
            </w:pPr>
            <w:r>
              <w:t>Hadoop 集群连接中断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59609F">
            <w:pPr>
              <w:pStyle w:val="16"/>
            </w:pPr>
            <w:r>
              <w:t>UC-002、UC-006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E5155D">
            <w:pPr>
              <w:pStyle w:val="16"/>
            </w:pPr>
            <w:r>
              <w:t>前端展示 “集群连接失败”，运维人员检查 Hadoop 集群状态，修复后点击 “重试”</w:t>
            </w:r>
          </w:p>
        </w:tc>
      </w:tr>
      <w:tr w14:paraId="2DE358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4FD1A3">
            <w:pPr>
              <w:pStyle w:val="16"/>
            </w:pPr>
            <w:r>
              <w:t>修复脚本执行后故障复发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6A0A99">
            <w:pPr>
              <w:pStyle w:val="16"/>
            </w:pPr>
            <w:r>
              <w:t>UC-006、UC-009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881C39">
            <w:pPr>
              <w:pStyle w:val="16"/>
            </w:pPr>
            <w:r>
              <w:t>系统自动标记故障为 “复发”，触发钉钉告警，提示运维人员手动排查</w:t>
            </w:r>
          </w:p>
        </w:tc>
      </w:tr>
      <w:tr w14:paraId="38D1D3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CF641F">
            <w:pPr>
              <w:pStyle w:val="16"/>
            </w:pPr>
            <w:r>
              <w:t>前端页面加载缓慢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1F49CF">
            <w:pPr>
              <w:pStyle w:val="16"/>
            </w:pPr>
            <w:r>
              <w:t>所有 Web 相关用例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5A56BB">
            <w:pPr>
              <w:pStyle w:val="16"/>
            </w:pPr>
            <w:r>
              <w:t>前端优化（图表懒加载、接口缓存），后端优化（减少数据库查询次数）</w:t>
            </w:r>
          </w:p>
        </w:tc>
      </w:tr>
      <w:bookmarkEnd w:id="0"/>
    </w:tbl>
    <w:p w14:paraId="38A38EEB">
      <w:pPr>
        <w:pStyle w:val="17"/>
        <w:pBdr>
          <w:left w:val="single" w:color="BBBFC4" w:sz="18" w:space="0"/>
        </w:pBdr>
      </w:pPr>
      <w:r>
        <w:t>（注：文档部分内容可能由 AI 生成）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•"/>
      <w:lvlJc w:val="left"/>
      <w:pPr>
        <w:ind w:left="288" w:hanging="288"/>
      </w:pPr>
      <w:rPr>
        <w:color w:val="3370FF"/>
        <w:sz w:val="22"/>
        <w:szCs w:val="22"/>
      </w:rPr>
    </w:lvl>
    <w:lvl w:ilvl="1" w:tentative="0">
      <w:start w:val="1"/>
      <w:numFmt w:val="bullet"/>
      <w:lvlText w:val="◦"/>
      <w:lvlJc w:val="left"/>
      <w:pPr>
        <w:ind w:left="720" w:hanging="288"/>
      </w:pPr>
      <w:rPr>
        <w:color w:val="3370FF"/>
        <w:sz w:val="22"/>
        <w:szCs w:val="22"/>
      </w:rPr>
    </w:lvl>
    <w:lvl w:ilvl="2" w:tentative="0">
      <w:start w:val="1"/>
      <w:numFmt w:val="bullet"/>
      <w:lvlText w:val="▪"/>
      <w:lvlJc w:val="left"/>
      <w:pPr>
        <w:ind w:left="1152" w:hanging="288"/>
      </w:pPr>
      <w:rPr>
        <w:color w:val="3370FF"/>
        <w:sz w:val="22"/>
        <w:szCs w:val="22"/>
      </w:rPr>
    </w:lvl>
    <w:lvl w:ilvl="3" w:tentative="0">
      <w:start w:val="1"/>
      <w:numFmt w:val="bullet"/>
      <w:lvlText w:val="•"/>
      <w:lvlJc w:val="left"/>
      <w:pPr>
        <w:ind w:left="1583" w:hanging="288"/>
      </w:pPr>
      <w:rPr>
        <w:color w:val="3370FF"/>
        <w:sz w:val="22"/>
        <w:szCs w:val="22"/>
      </w:rPr>
    </w:lvl>
    <w:lvl w:ilvl="4" w:tentative="0">
      <w:start w:val="1"/>
      <w:numFmt w:val="bullet"/>
      <w:lvlText w:val="◦"/>
      <w:lvlJc w:val="left"/>
      <w:pPr>
        <w:ind w:left="2015" w:hanging="288"/>
      </w:pPr>
      <w:rPr>
        <w:color w:val="3370FF"/>
        <w:sz w:val="22"/>
        <w:szCs w:val="22"/>
      </w:rPr>
    </w:lvl>
    <w:lvl w:ilvl="5" w:tentative="0">
      <w:start w:val="1"/>
      <w:numFmt w:val="bullet"/>
      <w:lvlText w:val="▪"/>
      <w:lvlJc w:val="left"/>
      <w:pPr>
        <w:ind w:left="2448" w:hanging="288"/>
      </w:pPr>
      <w:rPr>
        <w:color w:val="3370FF"/>
        <w:sz w:val="22"/>
        <w:szCs w:val="22"/>
      </w:rPr>
    </w:lvl>
    <w:lvl w:ilvl="6" w:tentative="0">
      <w:start w:val="1"/>
      <w:numFmt w:val="bullet"/>
      <w:lvlText w:val="•"/>
      <w:lvlJc w:val="left"/>
      <w:pPr>
        <w:ind w:left="2879" w:hanging="288"/>
      </w:pPr>
      <w:rPr>
        <w:color w:val="3370FF"/>
        <w:sz w:val="22"/>
        <w:szCs w:val="22"/>
      </w:rPr>
    </w:lvl>
    <w:lvl w:ilvl="7" w:tentative="0">
      <w:start w:val="1"/>
      <w:numFmt w:val="bullet"/>
      <w:lvlText w:val="◦"/>
      <w:lvlJc w:val="left"/>
      <w:pPr>
        <w:ind w:left="3312" w:hanging="288"/>
      </w:pPr>
      <w:rPr>
        <w:color w:val="3370FF"/>
        <w:sz w:val="22"/>
        <w:szCs w:val="22"/>
      </w:rPr>
    </w:lvl>
    <w:lvl w:ilvl="8" w:tentative="0">
      <w:start w:val="1"/>
      <w:numFmt w:val="bullet"/>
      <w:lvlText w:val="▪"/>
      <w:lvlJc w:val="left"/>
      <w:pPr>
        <w:ind w:left="3744" w:hanging="288"/>
      </w:pPr>
      <w:rPr>
        <w:color w:val="3370FF"/>
        <w:sz w:val="22"/>
        <w:szCs w:val="22"/>
      </w:r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76072A1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paragraph" w:styleId="2">
    <w:name w:val="heading 1"/>
    <w:next w:val="1"/>
    <w:qFormat/>
    <w:uiPriority w:val="0"/>
    <w:pPr>
      <w:spacing w:before="380" w:after="140" w:line="288" w:lineRule="auto"/>
      <w:ind w:left="0"/>
      <w:jc w:val="left"/>
      <w:outlineLvl w:val="0"/>
    </w:pPr>
    <w:rPr>
      <w:rFonts w:ascii="Arial" w:hAnsi="Arial" w:eastAsia="等线" w:cs="Arial"/>
      <w:b/>
      <w:bCs/>
      <w:sz w:val="36"/>
      <w:szCs w:val="36"/>
    </w:rPr>
  </w:style>
  <w:style w:type="paragraph" w:styleId="3">
    <w:name w:val="heading 2"/>
    <w:next w:val="1"/>
    <w:qFormat/>
    <w:uiPriority w:val="0"/>
    <w:pPr>
      <w:spacing w:before="320" w:after="120" w:line="288" w:lineRule="auto"/>
      <w:ind w:left="0"/>
      <w:jc w:val="left"/>
      <w:outlineLvl w:val="1"/>
    </w:pPr>
    <w:rPr>
      <w:rFonts w:ascii="Arial" w:hAnsi="Arial" w:eastAsia="等线" w:cs="Arial"/>
      <w:b/>
      <w:bCs/>
      <w:sz w:val="32"/>
      <w:szCs w:val="32"/>
    </w:rPr>
  </w:style>
  <w:style w:type="paragraph" w:styleId="4">
    <w:name w:val="heading 3"/>
    <w:next w:val="1"/>
    <w:qFormat/>
    <w:uiPriority w:val="0"/>
    <w:pPr>
      <w:spacing w:before="300" w:after="120" w:line="288" w:lineRule="auto"/>
      <w:ind w:left="0"/>
      <w:jc w:val="left"/>
      <w:outlineLvl w:val="2"/>
    </w:pPr>
    <w:rPr>
      <w:rFonts w:ascii="Arial" w:hAnsi="Arial" w:eastAsia="等线" w:cs="Arial"/>
      <w:b/>
      <w:bCs/>
      <w:sz w:val="30"/>
      <w:szCs w:val="30"/>
    </w:rPr>
  </w:style>
  <w:style w:type="paragraph" w:styleId="5">
    <w:name w:val="heading 4"/>
    <w:next w:val="1"/>
    <w:qFormat/>
    <w:uiPriority w:val="0"/>
    <w:pPr>
      <w:spacing w:before="260" w:after="120" w:line="288" w:lineRule="auto"/>
      <w:ind w:left="0"/>
      <w:jc w:val="left"/>
      <w:outlineLvl w:val="3"/>
    </w:pPr>
    <w:rPr>
      <w:rFonts w:ascii="Arial" w:hAnsi="Arial" w:eastAsia="等线" w:cs="Arial"/>
      <w:b/>
      <w:bCs/>
      <w:sz w:val="28"/>
      <w:szCs w:val="28"/>
    </w:rPr>
  </w:style>
  <w:style w:type="paragraph" w:styleId="6">
    <w:name w:val="heading 5"/>
    <w:next w:val="1"/>
    <w:qFormat/>
    <w:uiPriority w:val="0"/>
    <w:pPr>
      <w:spacing w:before="240" w:after="120" w:line="288" w:lineRule="auto"/>
      <w:ind w:left="0"/>
      <w:jc w:val="left"/>
      <w:outlineLvl w:val="4"/>
    </w:pPr>
    <w:rPr>
      <w:rFonts w:ascii="Arial" w:hAnsi="Arial" w:eastAsia="等线" w:cs="Arial"/>
      <w:b/>
      <w:bCs/>
      <w:sz w:val="24"/>
      <w:szCs w:val="24"/>
    </w:rPr>
  </w:style>
  <w:style w:type="paragraph" w:styleId="7">
    <w:name w:val="heading 6"/>
    <w:next w:val="1"/>
    <w:qFormat/>
    <w:uiPriority w:val="0"/>
    <w:pPr>
      <w:spacing w:before="240" w:after="120" w:line="288" w:lineRule="auto"/>
      <w:ind w:left="0"/>
      <w:jc w:val="left"/>
      <w:outlineLvl w:val="5"/>
    </w:pPr>
    <w:rPr>
      <w:rFonts w:ascii="Arial" w:hAnsi="Arial" w:eastAsia="等线" w:cs="Arial"/>
      <w:b/>
      <w:bCs/>
      <w:sz w:val="24"/>
      <w:szCs w:val="24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5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9">
    <w:name w:val="Title"/>
    <w:qFormat/>
    <w:uiPriority w:val="0"/>
    <w:pPr>
      <w:spacing w:before="480" w:after="480" w:line="288" w:lineRule="auto"/>
      <w:ind w:left="0"/>
    </w:pPr>
    <w:rPr>
      <w:rFonts w:ascii="Arial" w:hAnsi="Arial" w:eastAsia="等线" w:cs="Arial"/>
      <w:b/>
      <w:bCs/>
      <w:sz w:val="52"/>
      <w:szCs w:val="52"/>
    </w:rPr>
  </w:style>
  <w:style w:type="character" w:styleId="12">
    <w:name w:val="Hyperlink"/>
    <w:unhideWhenUsed/>
    <w:uiPriority w:val="99"/>
    <w:rPr>
      <w:color w:val="0563C1"/>
      <w:u w:val="single"/>
    </w:rPr>
  </w:style>
  <w:style w:type="character" w:styleId="13">
    <w:name w:val="footnote reference"/>
    <w:semiHidden/>
    <w:unhideWhenUsed/>
    <w:uiPriority w:val="99"/>
    <w:rPr>
      <w:vertAlign w:val="superscript"/>
    </w:rPr>
  </w:style>
  <w:style w:type="paragraph" w:styleId="14">
    <w:name w:val="List Paragraph"/>
    <w:qFormat/>
    <w:uiPriority w:val="0"/>
    <w:rPr>
      <w:sz w:val="21"/>
      <w:szCs w:val="22"/>
    </w:rPr>
  </w:style>
  <w:style w:type="character" w:customStyle="1" w:styleId="15">
    <w:name w:val="Footnote Text Char"/>
    <w:link w:val="8"/>
    <w:semiHidden/>
    <w:unhideWhenUsed/>
    <w:qFormat/>
    <w:uiPriority w:val="99"/>
    <w:rPr>
      <w:sz w:val="20"/>
      <w:szCs w:val="20"/>
    </w:rPr>
  </w:style>
  <w:style w:type="paragraph" w:customStyle="1" w:styleId="16">
    <w:name w:val="_Style 13"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sz w:val="22"/>
      <w:szCs w:val="22"/>
    </w:rPr>
  </w:style>
  <w:style w:type="paragraph" w:customStyle="1" w:styleId="17">
    <w:name w:val="_Style 14"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color w:val="8F959E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CCE8C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12</Pages>
  <Words>385</Words>
  <Characters>403</Characters>
  <TotalTime>1</TotalTime>
  <ScaleCrop>false</ScaleCrop>
  <LinksUpToDate>false</LinksUpToDate>
  <CharactersWithSpaces>415</CharactersWithSpaces>
  <Application>WPS Office_12.1.0.19770_F1E327BC-269C-435d-A152-05C5408002CA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2025-10-26T06:28:00Z</dcterms:created>
  <dc:creator>Un-named</dc:creator>
  <cp:lastModifiedBy>shen-永夜</cp:lastModifiedBy>
  <dcterms:modified xsi:type="dcterms:W3CDTF">2025-10-26T06:33:38Z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eyJoZGlkIjoiZTRiZjdhYzk1OTkyZWRhZGFjZjY3NzFmMWE0MTliZmEiLCJ1c2VySWQiOiI2MTUzNjk2NjgifQ==</vt:lpwstr>
  </property>
  <property fmtid="{D5CDD505-2E9C-101B-9397-08002B2CF9AE}" pid="3" name="KSOProductBuildVer">
    <vt:lpwstr>2052-12.1.0.19770</vt:lpwstr>
  </property>
  <property fmtid="{D5CDD505-2E9C-101B-9397-08002B2CF9AE}" pid="4" name="ICV">
    <vt:lpwstr>52E2DECB3BAA4D1C93275CDB59B9A9A2_12</vt:lpwstr>
  </property>
</Properties>
</file>