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C2779">
      <w:pPr>
        <w:adjustRightInd w:val="0"/>
        <w:snapToGrid w:val="0"/>
        <w:spacing w:after="20" w:afterLines="20" w:line="288" w:lineRule="auto"/>
        <w:ind w:firstLine="1961" w:firstLineChars="700"/>
        <w:rPr>
          <w:rStyle w:val="7"/>
          <w:rFonts w:hint="eastAsia"/>
          <w:b/>
          <w:bCs/>
          <w:snapToGrid/>
          <w:sz w:val="28"/>
          <w:szCs w:val="28"/>
          <w:lang w:val="en-US" w:eastAsia="zh-CN"/>
        </w:rPr>
      </w:pPr>
      <w:bookmarkStart w:id="0" w:name="_GoBack"/>
      <w:r>
        <w:rPr>
          <w:rStyle w:val="7"/>
          <w:rFonts w:hint="eastAsia"/>
          <w:b/>
          <w:bCs/>
          <w:snapToGrid/>
          <w:sz w:val="28"/>
          <w:szCs w:val="28"/>
          <w:lang w:val="en-US" w:eastAsia="zh-CN"/>
        </w:rPr>
        <w:t>基于U-Net模型视网膜血管分割实验</w:t>
      </w:r>
    </w:p>
    <w:bookmarkEnd w:id="0"/>
    <w:p w14:paraId="4A699D62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8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案例背景书</w:t>
      </w:r>
    </w:p>
    <w:p w14:paraId="03CCA15D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本案例聚焦糖尿病视网膜病变早期诊断的临床实际需求，糖尿病视网膜病变作为全球主要致盲原因之一，眼底照相是其常规筛查手段，但数百万张眼底图像的人工分析存在成本高、易出错的问题，核心需解决医生对眼底照片中血管位置的快速精准识别需求——血管异常是病变发生的重要预兆，而传统手工标注方式耗时耗力，无法实现大规模临床应用；本案例采用DRIVE公开数据集开展研究，该数据集包含40张584×565分辨率的高质量眼底照片，及由医学专家手工标注的配套血管掩码，学生将通过本案例掌握自动化视网膜血管检测系统的构建方法，为糖尿病视网膜病变临床筛查的决策支持奠定技术基础。</w:t>
      </w:r>
    </w:p>
    <w:p w14:paraId="4A3F2097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教学目标</w:t>
      </w:r>
    </w:p>
    <w:p w14:paraId="3E7793B2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学生完成本案例后，将能够掌握U-Net编码-解码结构与跳连接的神经网络架构设计思路，理解医学图像分割中Dice Loss与BCE Loss组合的损失函数设计原理，熟练运用PyTorch完整实现深度学习模型从训练到评估的全流程，并熟悉医学图像分割常用的评估指标，包括准确率、Dice系数、精确率、召回率与F1值。</w:t>
      </w:r>
    </w:p>
    <w:p w14:paraId="6118CB76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数据集</w:t>
      </w:r>
    </w:p>
    <w:p w14:paraId="3187D4F4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DRIVE数据集（Digital Retinal Images for Vessel Extraction）专为视网膜血管分割任务打造，总计包含40张584×565像素的RGB彩色眼底照片，按训练集、测试集各20张划分，其中训练集配套医学专家手工标注标签，测试集附带参考标签；数据集文件格式上，原始图像为*.tif格式，血管标签掩码为*_manual1.gif格式的灰度二值图，任务为血管/非血管二分类，该数据集具备数据质量高、标注精准的特点，已被广泛应用于视网膜血管分割相关算法的基准测试</w:t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。</w:t>
      </w:r>
    </w:p>
    <w:p w14:paraId="1C5DAA4C">
      <w:pPr>
        <w:adjustRightInd/>
        <w:snapToGrid/>
        <w:spacing w:after="0" w:afterLines="-2147483648" w:line="240" w:lineRule="auto"/>
        <w:ind w:left="0" w:leftChars="0" w:firstLine="0" w:firstLineChars="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数据集获取链接：</w:t>
      </w:r>
    </w:p>
    <w:p w14:paraId="46579DEB">
      <w:pPr>
        <w:adjustRightInd/>
        <w:snapToGrid/>
        <w:spacing w:after="0" w:afterLines="-2147483648" w:line="240" w:lineRule="auto"/>
        <w:ind w:left="0" w:leftChars="0" w:firstLine="0" w:firstLineChars="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fldChar w:fldCharType="begin"/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instrText xml:space="preserve"> HYPERLINK "https://www.kaggle.com/datasets/andrewmvd/retinal-vessel-segmentation。" </w:instrTex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fldChar w:fldCharType="separate"/>
      </w:r>
      <w:r>
        <w:rPr>
          <w:rStyle w:val="6"/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https://www.kaggle.com/datasets/andrewmvd/retinal-vessel-segmentation。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fldChar w:fldCharType="end"/>
      </w:r>
    </w:p>
    <w:p w14:paraId="705404AC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实施指南</w:t>
      </w:r>
    </w:p>
    <w:p w14:paraId="44AE5CB7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1. 从Kaggle下载DRIVE数据集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解压到项目目录；理解数据集结构（training/test文件夹、images/1st_manual子文件夹）。</w:t>
      </w:r>
    </w:p>
    <w:p w14:paraId="4D85A580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</w:p>
    <w:p w14:paraId="1FADC0EC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2. 实现VesselSegmentationDataset类：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读取眼底照片和对应标签，将文件名从_training.tif映射到_manual1.gif，统一图像大小为512×512，归一化到[0,1]范围。</w:t>
      </w:r>
    </w:p>
    <w:p w14:paraId="2F7F078C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p w14:paraId="43E505B0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3. 创建DataLoader：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将数据集划分为训练集(80%)、验证集(20%)、测试集(20)；设置batch_size=4加载数据。</w:t>
      </w:r>
    </w:p>
    <w:p w14:paraId="44F91A3F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p w14:paraId="6DDED5E8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4. 构建U-Net模型：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实现4层编码器(64→128→256→512→1024)、瓶颈层、4层解码器，在对应层级添加跳连接拼接编码器特征。</w:t>
      </w:r>
    </w:p>
    <w:p w14:paraId="6B429437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p w14:paraId="6EB0CADB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5. 定义损失函数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Dice Loss与BCEWithLogitsLoss的0.5:0.5组合，选择Adam优化器(lr=1e-4)，配置ReduceLROnPlateau学习率调度器处理验证损失不改进。</w:t>
      </w:r>
    </w:p>
    <w:p w14:paraId="16A1F926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p w14:paraId="39AB4AFF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6. 执行训练循环：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每个epoch进行前向传播→计算损失→反向传播→参数更新，同时运行验证集评估；设置早停patience=10，验证损失改进时保存最佳模型。</w:t>
      </w:r>
    </w:p>
    <w:p w14:paraId="0DD5D8BD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</w:p>
    <w:p w14:paraId="21DF0CC0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7. 加载最佳模型在测试集评估：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计算Accuracy、Precision、Recall、F1、Dice系数，输出混淆矩阵和分类报告。</w:t>
      </w:r>
    </w:p>
    <w:p w14:paraId="7DC8A4F1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</w:p>
    <w:p w14:paraId="19577F65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8. 绘制损失曲线观察收敛情况</w:t>
      </w: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展示6个测试样本的原始图像+真实标签+预测概率+预测二值结果对比，分析模型在血管检测中的表现。</w:t>
      </w:r>
    </w:p>
    <w:p w14:paraId="0C407CC9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p w14:paraId="6E1BB836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2"/>
      </w:pPr>
      <w:r>
        <w:separator/>
      </w:r>
    </w:p>
  </w:endnote>
  <w:endnote w:type="continuationSeparator" w:id="1">
    <w:p>
      <w:pPr>
        <w:spacing w:line="240" w:lineRule="auto"/>
        <w:ind w:firstLine="48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2"/>
      </w:pPr>
      <w:r>
        <w:separator/>
      </w:r>
    </w:p>
  </w:footnote>
  <w:footnote w:type="continuationSeparator" w:id="1">
    <w:p>
      <w:pPr>
        <w:spacing w:line="360" w:lineRule="auto"/>
        <w:ind w:firstLine="48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1">
    <w:nsid w:val="62C53182"/>
    <w:multiLevelType w:val="singleLevel"/>
    <w:tmpl w:val="62C53182"/>
    <w:lvl w:ilvl="0" w:tentative="0">
      <w:start w:val="1"/>
      <w:numFmt w:val="chineseCounting"/>
      <w:suff w:val="nothing"/>
      <w:lvlText w:val="%1、"/>
      <w:lvlJc w:val="left"/>
      <w:pPr>
        <w:ind w:left="1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E0374"/>
    <w:rsid w:val="61725F0A"/>
    <w:rsid w:val="628E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Ascii" w:hAnsiTheme="minorAscii" w:eastAsiaTheme="minorEastAsia" w:cstheme="minorBidi"/>
      <w:b/>
      <w:bCs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7"/>
    <w:qFormat/>
    <w:uiPriority w:val="9"/>
    <w:pPr>
      <w:keepNext/>
      <w:keepLines/>
      <w:numPr>
        <w:ilvl w:val="0"/>
        <w:numId w:val="1"/>
      </w:numPr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ubtitle"/>
    <w:basedOn w:val="1"/>
    <w:next w:val="1"/>
    <w:link w:val="8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kern w:val="28"/>
      <w:sz w:val="36"/>
      <w:szCs w:val="36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customStyle="1" w:styleId="7">
    <w:name w:val="标题 1 Char"/>
    <w:link w:val="2"/>
    <w:qFormat/>
    <w:uiPriority w:val="0"/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customStyle="1" w:styleId="8">
    <w:name w:val="副标题 字符"/>
    <w:basedOn w:val="5"/>
    <w:link w:val="3"/>
    <w:qFormat/>
    <w:uiPriority w:val="11"/>
    <w:rPr>
      <w:rFonts w:ascii="微软雅黑" w:hAnsi="微软雅黑"/>
      <w:kern w:val="28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2026-02-12T06:40:00Z</dcterms:created>
  <dc:creator>云中惊雷起</dc:creator>
  <cp:lastModifiedBy>云中惊雷起</cp:lastModifiedBy>
  <dcterms:modified xsi:type="dcterms:W3CDTF">2026-02-12T06:49:37Z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308AE454C9834CF691139B8B33EEB381_11</vt:lpwstr>
  </property>
  <property fmtid="{D5CDD505-2E9C-101B-9397-08002B2CF9AE}" pid="4" name="KSOTemplateDocerSaveRecord">
    <vt:lpwstr>eyJoZGlkIjoiMzc5MTJlNWExYjUwYTc3NDA0ZmNjZDdiZDMwNDhkN2EiLCJ1c2VySWQiOiI4Mjk2Njk2ODkifQ==</vt:lpwstr>
  </property>
</Properties>
</file>